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BYAAABkcnMvUEsB&#10;AhQAFAAAAAgAh07iQHLwJlDWAAAACgEAAA8AAAAAAAAAAQAgAAAAOAAAAGRycy9kb3ducmV2Lnht&#10;bFBLAQIUABQAAAAIAIdO4kBHv5PHVwIAAJoEAAAOAAAAAAAAAAEAIAAAADsBAABkcnMvZTJvRG9j&#10;LnhtbFBLBQYAAAAABgAGAFkBAAAEBgAAAAA=&#10;">
                <v:fill on="t" focussize="0,0"/>
                <v:stroke on="f" weight="0.5pt"/>
                <v:imagedata o:title=""/>
                <o:lock v:ext="edit" aspectratio="f"/>
                <v:textbox>
                  <w:txbxContent>
                    <w:p>
                      <w:pPr>
                        <w:rPr>
                          <w:rFonts w:hint="eastAsia" w:ascii="楷体" w:hAnsi="楷体" w:eastAsia="楷体" w:cs="楷体"/>
                          <w:sz w:val="30"/>
                          <w:szCs w:val="30"/>
                          <w:lang w:val="en-US" w:eastAsia="zh-CN"/>
                        </w:rPr>
                      </w:pPr>
                      <w:r>
                        <w:rPr>
                          <w:rFonts w:hint="eastAsia" w:ascii="楷体" w:hAnsi="楷体" w:eastAsia="楷体" w:cs="楷体"/>
                          <w:sz w:val="30"/>
                          <w:szCs w:val="30"/>
                          <w:lang w:eastAsia="zh-CN"/>
                        </w:rPr>
                        <w:t>附件</w:t>
                      </w:r>
                      <w:r>
                        <w:rPr>
                          <w:rFonts w:hint="eastAsia" w:ascii="楷体" w:hAnsi="楷体" w:eastAsia="楷体" w:cs="楷体"/>
                          <w:sz w:val="30"/>
                          <w:szCs w:val="30"/>
                          <w:lang w:val="en-US" w:eastAsia="zh-CN"/>
                        </w:rPr>
                        <w:t>1：</w:t>
                      </w:r>
                    </w:p>
                  </w:txbxContent>
                </v:textbox>
              </v:shape>
            </w:pict>
          </mc:Fallback>
        </mc:AlternateContent>
      </w: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202</w:t>
      </w:r>
      <w:r>
        <w:rPr>
          <w:rFonts w:hint="eastAsia" w:ascii="方正小标宋_GBK" w:hAnsi="方正小标宋_GBK" w:eastAsia="方正小标宋_GBK" w:cs="方正小标宋_GBK"/>
          <w:sz w:val="72"/>
          <w:szCs w:val="72"/>
          <w:lang w:val="en-US" w:eastAsia="zh-CN"/>
        </w:rPr>
        <w:t>3</w:t>
      </w:r>
      <w:r>
        <w:rPr>
          <w:rFonts w:hint="eastAsia" w:ascii="方正小标宋_GBK" w:hAnsi="方正小标宋_GBK" w:eastAsia="方正小标宋_GBK" w:cs="方正小标宋_GBK"/>
          <w:sz w:val="72"/>
          <w:szCs w:val="72"/>
        </w:rPr>
        <w:t>年度</w:t>
      </w:r>
    </w:p>
    <w:p>
      <w:pPr>
        <w:pStyle w:val="13"/>
        <w:jc w:val="center"/>
        <w:rPr>
          <w:rFonts w:hint="eastAsia" w:ascii="方正小标宋_GBK" w:hAnsi="方正小标宋_GBK" w:eastAsia="方正小标宋_GBK" w:cs="方正小标宋_GBK"/>
          <w:sz w:val="72"/>
          <w:szCs w:val="72"/>
          <w:lang w:eastAsia="zh-CN"/>
        </w:rPr>
      </w:pPr>
      <w:r>
        <w:rPr>
          <w:rFonts w:hint="eastAsia" w:ascii="方正小标宋_GBK" w:hAnsi="方正小标宋_GBK" w:eastAsia="方正小标宋_GBK" w:cs="方正小标宋_GBK"/>
          <w:sz w:val="72"/>
          <w:szCs w:val="72"/>
          <w:lang w:eastAsia="zh-CN"/>
        </w:rPr>
        <w:t>湘潭县行政审批服务局</w:t>
      </w: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部门决算</w:t>
      </w:r>
    </w:p>
    <w:p>
      <w:pPr>
        <w:pStyle w:val="13"/>
        <w:jc w:val="center"/>
        <w:rPr>
          <w:rFonts w:hint="eastAsia" w:ascii="方正小标宋_GBK" w:hAnsi="方正小标宋_GBK" w:eastAsia="方正小标宋_GBK" w:cs="方正小标宋_GBK"/>
          <w:sz w:val="56"/>
          <w:szCs w:val="56"/>
        </w:rPr>
      </w:pPr>
    </w:p>
    <w:p>
      <w:pPr>
        <w:pStyle w:val="13"/>
        <w:jc w:val="center"/>
        <w:rPr>
          <w:sz w:val="56"/>
          <w:szCs w:val="56"/>
        </w:rPr>
      </w:pPr>
    </w:p>
    <w:p>
      <w:pPr>
        <w:pStyle w:val="13"/>
        <w:jc w:val="both"/>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40" w:lineRule="exact"/>
        <w:jc w:val="center"/>
        <w:rPr>
          <w:sz w:val="56"/>
          <w:szCs w:val="56"/>
        </w:rPr>
      </w:pPr>
    </w:p>
    <w:p>
      <w:pPr>
        <w:pStyle w:val="13"/>
        <w:spacing w:line="500" w:lineRule="exact"/>
        <w:jc w:val="both"/>
        <w:rPr>
          <w:b/>
          <w:sz w:val="36"/>
          <w:szCs w:val="28"/>
        </w:rPr>
      </w:pPr>
    </w:p>
    <w:p>
      <w:pPr>
        <w:pStyle w:val="13"/>
        <w:spacing w:line="500" w:lineRule="exact"/>
        <w:jc w:val="center"/>
        <w:rPr>
          <w:rFonts w:hint="eastAsia"/>
          <w:b/>
          <w:sz w:val="36"/>
          <w:szCs w:val="28"/>
        </w:rPr>
      </w:pPr>
      <w:r>
        <w:rPr>
          <w:rFonts w:hint="eastAsia"/>
          <w:b/>
          <w:sz w:val="36"/>
          <w:szCs w:val="28"/>
        </w:rPr>
        <w:t>目</w:t>
      </w:r>
      <w:r>
        <w:rPr>
          <w:rFonts w:hint="eastAsia"/>
          <w:b/>
          <w:sz w:val="36"/>
          <w:szCs w:val="28"/>
          <w:lang w:val="en-US" w:eastAsia="zh-CN"/>
        </w:rPr>
        <w:t xml:space="preserve">  </w:t>
      </w:r>
      <w:r>
        <w:rPr>
          <w:rFonts w:hint="eastAsia"/>
          <w:b/>
          <w:sz w:val="36"/>
          <w:szCs w:val="28"/>
        </w:rPr>
        <w:t>录</w:t>
      </w:r>
    </w:p>
    <w:p>
      <w:pPr>
        <w:pStyle w:val="13"/>
        <w:spacing w:line="500" w:lineRule="exact"/>
        <w:jc w:val="center"/>
        <w:rPr>
          <w:rFonts w:hint="eastAsia"/>
          <w:b/>
          <w:sz w:val="36"/>
          <w:szCs w:val="28"/>
        </w:rPr>
      </w:pP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湘潭县行政审批服务局</w:t>
      </w:r>
      <w:r>
        <w:rPr>
          <w:rFonts w:hint="eastAsia" w:ascii="黑体" w:hAnsi="黑体" w:eastAsia="黑体" w:cs="黑体"/>
          <w:b w:val="0"/>
          <w:bCs/>
          <w:sz w:val="28"/>
          <w:szCs w:val="28"/>
        </w:rPr>
        <w:t>概况</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pStyle w:val="13"/>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pPr>
        <w:pStyle w:val="13"/>
        <w:spacing w:line="500" w:lineRule="exact"/>
        <w:rPr>
          <w:rFonts w:hint="eastAsia" w:ascii="黑体" w:hAnsi="黑体" w:eastAsia="黑体" w:cs="黑体"/>
          <w:b w:val="0"/>
          <w:bCs/>
          <w:sz w:val="28"/>
          <w:szCs w:val="28"/>
        </w:rPr>
      </w:pPr>
    </w:p>
    <w:p>
      <w:pPr>
        <w:jc w:val="center"/>
        <w:rPr>
          <w:sz w:val="72"/>
          <w:szCs w:val="72"/>
        </w:rPr>
      </w:pPr>
    </w:p>
    <w:p>
      <w:pPr>
        <w:jc w:val="center"/>
        <w:rPr>
          <w:sz w:val="72"/>
          <w:szCs w:val="72"/>
        </w:rPr>
      </w:pPr>
    </w:p>
    <w:p>
      <w:pPr>
        <w:jc w:val="center"/>
        <w:rPr>
          <w:sz w:val="72"/>
          <w:szCs w:val="72"/>
        </w:rPr>
      </w:pPr>
    </w:p>
    <w:p>
      <w:pPr>
        <w:pStyle w:val="7"/>
        <w:rPr>
          <w:sz w:val="72"/>
          <w:szCs w:val="72"/>
        </w:rPr>
      </w:pPr>
    </w:p>
    <w:p>
      <w:pPr>
        <w:pStyle w:val="3"/>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rPr>
          <w:sz w:val="72"/>
          <w:szCs w:val="72"/>
        </w:rPr>
      </w:pPr>
    </w:p>
    <w:p>
      <w:pPr>
        <w:pStyle w:val="7"/>
        <w:rPr>
          <w:sz w:val="72"/>
          <w:szCs w:val="72"/>
        </w:rPr>
      </w:pPr>
    </w:p>
    <w:p>
      <w:pPr>
        <w:spacing w:before="37" w:afterLines="50" w:line="20" w:lineRule="atLeast"/>
        <w:ind w:right="1575"/>
        <w:jc w:val="center"/>
        <w:rPr>
          <w:rFonts w:hint="eastAsia" w:ascii="黑体" w:hAnsi="黑体" w:eastAsia="黑体" w:cs="黑体"/>
          <w:b/>
          <w:sz w:val="44"/>
          <w:szCs w:val="44"/>
        </w:rPr>
      </w:pPr>
      <w:r>
        <w:rPr>
          <w:rFonts w:hint="eastAsia" w:ascii="黑体" w:hAnsi="黑体" w:eastAsia="黑体" w:cs="黑体"/>
          <w:b/>
          <w:sz w:val="44"/>
          <w:szCs w:val="44"/>
          <w:lang w:val="en-US" w:eastAsia="zh-CN"/>
        </w:rPr>
        <w:t xml:space="preserve">   </w:t>
      </w:r>
      <w:r>
        <w:rPr>
          <w:rFonts w:hint="eastAsia" w:ascii="黑体" w:hAnsi="黑体" w:eastAsia="黑体" w:cs="黑体"/>
          <w:b/>
          <w:sz w:val="44"/>
          <w:szCs w:val="44"/>
        </w:rPr>
        <w:t>第一部分</w:t>
      </w:r>
    </w:p>
    <w:p>
      <w:pPr>
        <w:spacing w:before="37" w:afterLines="50" w:line="20" w:lineRule="atLeast"/>
        <w:ind w:right="1575"/>
        <w:jc w:val="center"/>
        <w:rPr>
          <w:rFonts w:hint="eastAsia" w:ascii="黑体" w:hAnsi="黑体" w:eastAsia="黑体" w:cs="黑体"/>
          <w:b/>
          <w:sz w:val="44"/>
          <w:szCs w:val="44"/>
        </w:rPr>
      </w:pPr>
    </w:p>
    <w:p>
      <w:pPr>
        <w:spacing w:before="37" w:afterLines="50" w:line="20" w:lineRule="atLeast"/>
        <w:ind w:right="1575"/>
        <w:jc w:val="center"/>
        <w:rPr>
          <w:rFonts w:hint="eastAsia" w:ascii="黑体" w:hAnsi="黑体" w:eastAsia="黑体" w:cs="黑体"/>
          <w:b/>
          <w:sz w:val="44"/>
          <w:szCs w:val="44"/>
        </w:rPr>
      </w:pPr>
      <w:r>
        <w:rPr>
          <w:rFonts w:hint="eastAsia" w:ascii="黑体" w:hAnsi="黑体" w:eastAsia="黑体" w:cs="黑体"/>
          <w:b/>
          <w:sz w:val="44"/>
          <w:szCs w:val="44"/>
          <w:lang w:val="en-US" w:eastAsia="zh-CN"/>
        </w:rPr>
        <w:t xml:space="preserve">   </w:t>
      </w:r>
      <w:r>
        <w:rPr>
          <w:rFonts w:hint="eastAsia" w:ascii="黑体" w:hAnsi="黑体" w:eastAsia="黑体" w:cs="黑体"/>
          <w:b/>
          <w:sz w:val="44"/>
          <w:szCs w:val="44"/>
          <w:lang w:eastAsia="zh-CN"/>
        </w:rPr>
        <w:t>湘潭县行政审批服务局</w:t>
      </w:r>
      <w:r>
        <w:rPr>
          <w:rFonts w:hint="eastAsia" w:ascii="黑体" w:hAnsi="黑体" w:eastAsia="黑体" w:cs="黑体"/>
          <w:b/>
          <w:sz w:val="44"/>
          <w:szCs w:val="4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sz w:val="72"/>
          <w:szCs w:val="72"/>
        </w:rPr>
      </w:pPr>
    </w:p>
    <w:p>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1.负责组织拟订全县行政审批制度改革、政务公开协调、政务服务、电子政务管理、县长热线管理相关政策，制定、起草有关规定、制度和管理办法，并组织实施。对县直单位和乡镇进行业务指导。</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2"/>
        <w:textAlignment w:val="auto"/>
        <w:rPr>
          <w:rFonts w:ascii="仿宋" w:hAnsi="仿宋" w:eastAsia="仿宋"/>
          <w:sz w:val="32"/>
          <w:szCs w:val="24"/>
        </w:rPr>
      </w:pPr>
      <w:r>
        <w:rPr>
          <w:rFonts w:hint="eastAsia" w:ascii="仿宋" w:hAnsi="仿宋" w:eastAsia="仿宋"/>
          <w:sz w:val="32"/>
          <w:szCs w:val="24"/>
        </w:rPr>
        <w:t>2.负责指导、协调、推进全县行政审批制度改革工作，承担协调指导全县“放管服”改革的日常工作。负责统筹推进全县审批服务便民化改革，负责指导、协调、监督全县三级政务服务体系和政务服务标准化建设。牵头组织规范全县行政审批和政务服务行为。</w:t>
      </w:r>
    </w:p>
    <w:p>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3.负责推进、指导、协调、监督全县政务公开（政府信息公开、办事公开）工作，并负责县政府的政府信息公开的日常工作。负责全县政府网站建设管理工作，承担县政府门户网站主办职责，统筹规划、监督全县政府系统网站。</w:t>
      </w:r>
    </w:p>
    <w:p>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4.统筹推进、协调、监督全县政府系统电子政务、“互联网+政务服务”、政务数据资源体系建设与管理工作。</w:t>
      </w:r>
    </w:p>
    <w:p>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5.统筹推进县长热线和“县长信箱”工作。负责市民通过县长热线向县政府进行的咨询建议、投诉、求助等事项的处理。</w:t>
      </w:r>
    </w:p>
    <w:p>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6.负责全县中介超市管理工作，承担中介超市标准化建设和管理职能，指导、协调、考评各单位中介超市管理机构业务工作。</w:t>
      </w:r>
    </w:p>
    <w:p>
      <w:pPr>
        <w:widowControl/>
        <w:shd w:val="clear" w:color="auto" w:fill="FFFFFF"/>
        <w:spacing w:line="480" w:lineRule="auto"/>
        <w:ind w:firstLine="480"/>
        <w:rPr>
          <w:rFonts w:ascii="仿宋" w:hAnsi="仿宋" w:eastAsia="仿宋"/>
          <w:sz w:val="32"/>
          <w:szCs w:val="24"/>
        </w:rPr>
      </w:pPr>
      <w:r>
        <w:rPr>
          <w:rFonts w:hint="eastAsia" w:ascii="仿宋" w:hAnsi="仿宋" w:eastAsia="仿宋"/>
          <w:sz w:val="32"/>
          <w:szCs w:val="24"/>
        </w:rPr>
        <w:t>7.完成县委、县人民政府交办的其他任务。</w:t>
      </w:r>
    </w:p>
    <w:p>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widowControl/>
        <w:spacing w:line="360" w:lineRule="auto"/>
        <w:rPr>
          <w:rFonts w:ascii="仿宋" w:hAnsi="仿宋" w:eastAsia="仿宋"/>
          <w:sz w:val="32"/>
          <w:szCs w:val="24"/>
        </w:rPr>
      </w:pPr>
      <w:r>
        <w:rPr>
          <w:rFonts w:hint="eastAsia" w:ascii="仿宋" w:hAnsi="仿宋" w:eastAsia="仿宋"/>
          <w:sz w:val="32"/>
          <w:szCs w:val="24"/>
        </w:rPr>
        <w:t>（一）内设机构设置。</w:t>
      </w:r>
    </w:p>
    <w:p>
      <w:pPr>
        <w:widowControl/>
        <w:spacing w:line="360" w:lineRule="auto"/>
        <w:ind w:firstLine="640" w:firstLineChars="200"/>
        <w:rPr>
          <w:rFonts w:ascii="仿宋" w:hAnsi="仿宋" w:eastAsia="仿宋"/>
          <w:sz w:val="32"/>
          <w:szCs w:val="24"/>
        </w:rPr>
      </w:pPr>
      <w:r>
        <w:rPr>
          <w:rFonts w:ascii="仿宋" w:hAnsi="仿宋" w:eastAsia="仿宋"/>
          <w:sz w:val="32"/>
          <w:szCs w:val="24"/>
        </w:rPr>
        <w:t>局内设办公室、行政审批改革股、政务公开股、政务服务股4个股室；下设政务服务中心（副科级）、电子政务管理中心（副科级）、12345公共服务与投诉举报平台3个二级机构。</w:t>
      </w:r>
    </w:p>
    <w:p>
      <w:pPr>
        <w:widowControl/>
        <w:numPr>
          <w:ilvl w:val="0"/>
          <w:numId w:val="2"/>
        </w:numPr>
        <w:spacing w:line="360" w:lineRule="auto"/>
        <w:rPr>
          <w:rFonts w:ascii="仿宋" w:hAnsi="仿宋" w:eastAsia="仿宋" w:cs="仿宋"/>
          <w:kern w:val="0"/>
          <w:sz w:val="32"/>
          <w:szCs w:val="32"/>
        </w:rPr>
      </w:pPr>
      <w:r>
        <w:rPr>
          <w:rFonts w:hint="eastAsia" w:ascii="仿宋" w:hAnsi="仿宋" w:eastAsia="仿宋" w:cs="仿宋"/>
          <w:kern w:val="0"/>
          <w:sz w:val="32"/>
          <w:szCs w:val="32"/>
        </w:rPr>
        <w:t>决算单位构成。</w:t>
      </w:r>
    </w:p>
    <w:p>
      <w:pPr>
        <w:spacing w:line="360" w:lineRule="auto"/>
        <w:ind w:firstLine="640" w:firstLineChars="200"/>
        <w:jc w:val="left"/>
        <w:rPr>
          <w:rFonts w:ascii="仿宋" w:hAnsi="仿宋" w:eastAsia="仿宋" w:cs="仿宋"/>
          <w:kern w:val="0"/>
          <w:sz w:val="32"/>
          <w:szCs w:val="32"/>
        </w:rPr>
      </w:pPr>
      <w:r>
        <w:rPr>
          <w:rFonts w:hint="eastAsia" w:ascii="仿宋" w:hAnsi="仿宋" w:eastAsia="仿宋" w:cs="仿宋"/>
          <w:kern w:val="0"/>
          <w:sz w:val="32"/>
          <w:szCs w:val="32"/>
        </w:rPr>
        <w:t>湘潭县行政审批服务局</w:t>
      </w:r>
      <w:r>
        <w:rPr>
          <w:rFonts w:hint="eastAsia" w:ascii="仿宋" w:hAnsi="仿宋" w:eastAsia="仿宋" w:cs="仿宋"/>
          <w:kern w:val="0"/>
          <w:sz w:val="32"/>
          <w:szCs w:val="32"/>
          <w:lang w:eastAsia="zh-CN"/>
        </w:rPr>
        <w:t>202</w:t>
      </w: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年部门决算汇总公开单位构成包括：湘潭县行政审批服务局本级。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pStyle w:val="13"/>
        <w:jc w:val="both"/>
        <w:rPr>
          <w:rFonts w:hint="eastAsia" w:ascii="方正小标宋_GBK" w:hAnsi="方正小标宋_GBK" w:eastAsia="方正小标宋_GBK" w:cs="方正小标宋_GBK"/>
          <w:sz w:val="84"/>
          <w:szCs w:val="84"/>
        </w:rPr>
      </w:pPr>
    </w:p>
    <w:p>
      <w:pPr>
        <w:pStyle w:val="13"/>
        <w:jc w:val="center"/>
        <w:rPr>
          <w:rFonts w:hint="eastAsia" w:ascii="黑体" w:hAnsi="黑体" w:eastAsia="黑体" w:cs="黑体"/>
          <w:b/>
          <w:color w:val="auto"/>
          <w:kern w:val="2"/>
          <w:sz w:val="44"/>
          <w:szCs w:val="44"/>
          <w:lang w:val="en-US" w:eastAsia="zh-CN" w:bidi="ar-SA"/>
        </w:rPr>
      </w:pPr>
      <w:r>
        <w:rPr>
          <w:rFonts w:hint="eastAsia" w:ascii="黑体" w:hAnsi="黑体" w:eastAsia="黑体" w:cs="黑体"/>
          <w:b/>
          <w:color w:val="auto"/>
          <w:kern w:val="2"/>
          <w:sz w:val="44"/>
          <w:szCs w:val="44"/>
          <w:lang w:val="en-US" w:eastAsia="zh-CN" w:bidi="ar-SA"/>
        </w:rPr>
        <w:t>第二部分</w:t>
      </w:r>
    </w:p>
    <w:p>
      <w:pPr>
        <w:pStyle w:val="13"/>
        <w:jc w:val="center"/>
        <w:rPr>
          <w:rFonts w:hint="eastAsia" w:ascii="黑体" w:hAnsi="黑体" w:eastAsia="黑体" w:cs="黑体"/>
          <w:b/>
          <w:color w:val="auto"/>
          <w:kern w:val="2"/>
          <w:sz w:val="44"/>
          <w:szCs w:val="44"/>
          <w:lang w:val="en-US" w:eastAsia="zh-CN" w:bidi="ar-SA"/>
        </w:rPr>
      </w:pPr>
    </w:p>
    <w:p>
      <w:pPr>
        <w:pStyle w:val="13"/>
        <w:jc w:val="center"/>
        <w:rPr>
          <w:rFonts w:hint="eastAsia" w:ascii="黑体" w:hAnsi="黑体" w:eastAsia="黑体" w:cs="黑体"/>
          <w:b/>
          <w:color w:val="auto"/>
          <w:kern w:val="2"/>
          <w:sz w:val="44"/>
          <w:szCs w:val="44"/>
          <w:lang w:val="en-US" w:eastAsia="zh-CN" w:bidi="ar-SA"/>
        </w:rPr>
      </w:pPr>
      <w:r>
        <w:rPr>
          <w:rFonts w:hint="eastAsia" w:ascii="黑体" w:hAnsi="黑体" w:eastAsia="黑体" w:cs="黑体"/>
          <w:b/>
          <w:color w:val="auto"/>
          <w:kern w:val="2"/>
          <w:sz w:val="44"/>
          <w:szCs w:val="44"/>
          <w:lang w:val="en-US" w:eastAsia="zh-CN" w:bidi="ar-SA"/>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440" w:right="1800" w:bottom="1440" w:left="1800" w:header="851" w:footer="992" w:gutter="0"/>
          <w:cols w:space="425" w:num="1"/>
          <w:docGrid w:type="lines" w:linePitch="312" w:charSpace="0"/>
        </w:sectPr>
      </w:pPr>
    </w:p>
    <w:tbl>
      <w:tblPr>
        <w:tblStyle w:val="9"/>
        <w:tblW w:w="14634" w:type="dxa"/>
        <w:tblInd w:w="0" w:type="dxa"/>
        <w:tblLayout w:type="fixed"/>
        <w:tblCellMar>
          <w:top w:w="0" w:type="dxa"/>
          <w:left w:w="0" w:type="dxa"/>
          <w:bottom w:w="0" w:type="dxa"/>
          <w:right w:w="0" w:type="dxa"/>
        </w:tblCellMar>
      </w:tblPr>
      <w:tblGrid>
        <w:gridCol w:w="548"/>
        <w:gridCol w:w="548"/>
        <w:gridCol w:w="4299"/>
        <w:gridCol w:w="977"/>
        <w:gridCol w:w="1318"/>
        <w:gridCol w:w="1318"/>
        <w:gridCol w:w="1318"/>
        <w:gridCol w:w="1318"/>
        <w:gridCol w:w="1318"/>
        <w:gridCol w:w="1672"/>
      </w:tblGrid>
      <w:tr>
        <w:tblPrEx>
          <w:tblCellMar>
            <w:top w:w="0" w:type="dxa"/>
            <w:left w:w="0" w:type="dxa"/>
            <w:bottom w:w="0" w:type="dxa"/>
            <w:right w:w="0" w:type="dxa"/>
          </w:tblCellMar>
        </w:tblPrEx>
        <w:trPr>
          <w:trHeight w:val="435" w:hRule="atLeast"/>
        </w:trPr>
        <w:tc>
          <w:tcPr>
            <w:tcW w:w="14634"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4604"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33"/>
              <w:gridCol w:w="769"/>
              <w:gridCol w:w="1023"/>
              <w:gridCol w:w="4070"/>
              <w:gridCol w:w="770"/>
              <w:gridCol w:w="511"/>
              <w:gridCol w:w="512"/>
              <w:gridCol w:w="21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4604"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833"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76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1023"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4070"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1281"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2628"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4833"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部门：湘潭县行政审批服务局</w:t>
                  </w:r>
                </w:p>
              </w:tc>
              <w:tc>
                <w:tcPr>
                  <w:tcW w:w="76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1023"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4070"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1281"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1"/>
                      <w:szCs w:val="21"/>
                      <w:u w:val="none"/>
                    </w:rPr>
                  </w:pPr>
                </w:p>
              </w:tc>
              <w:tc>
                <w:tcPr>
                  <w:tcW w:w="2628"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6625"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收入</w:t>
                  </w:r>
                </w:p>
              </w:tc>
              <w:tc>
                <w:tcPr>
                  <w:tcW w:w="5863"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62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    目</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行次</w:t>
                  </w:r>
                </w:p>
              </w:tc>
              <w:tc>
                <w:tcPr>
                  <w:tcW w:w="10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决算数</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    目</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行次</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栏    次</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1"/>
                      <w:szCs w:val="21"/>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栏    次</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1"/>
                      <w:szCs w:val="21"/>
                      <w:u w:val="none"/>
                    </w:rPr>
                  </w:pP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一、一般公共预算财政拨款收入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661.98</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一、一般公共服务支出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672.26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二、政府性基金预算财政拨款收入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二、外交支出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三、国有资本经营预算财政拨款收入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三、国防支出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四、上级补助收入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四、公共安全支出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五、事业收入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五、教育支出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六、经营收入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六、科学技术支出</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七、附属单位上缴收入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八、其他收入</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10.28</w:t>
                  </w: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1"/>
                      <w:szCs w:val="21"/>
                      <w:u w:val="none"/>
                    </w:rPr>
                  </w:pP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1"/>
                      <w:szCs w:val="21"/>
                      <w:u w:val="none"/>
                    </w:rPr>
                  </w:pP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1"/>
                      <w:szCs w:val="21"/>
                      <w:u w:val="none"/>
                    </w:rPr>
                  </w:pP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本年收入合计</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672.26</w:t>
                  </w: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本年支出合计</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672.26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使用非财政拨款结余（含专用结余）</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结余分配</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62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年初结转和结余</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40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                年末结转和结余</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750" w:type="dxa"/>
                <w:trHeight w:val="448" w:hRule="atLeast"/>
              </w:trPr>
              <w:tc>
                <w:tcPr>
                  <w:tcW w:w="4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总计</w:t>
                  </w:r>
                </w:p>
              </w:tc>
              <w:tc>
                <w:tcPr>
                  <w:tcW w:w="76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10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672.26</w:t>
                  </w:r>
                </w:p>
              </w:tc>
              <w:tc>
                <w:tcPr>
                  <w:tcW w:w="40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总计</w:t>
                  </w:r>
                </w:p>
              </w:tc>
              <w:tc>
                <w:tcPr>
                  <w:tcW w:w="77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26</w:t>
                  </w:r>
                </w:p>
              </w:tc>
              <w:tc>
                <w:tcPr>
                  <w:tcW w:w="102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宋体" w:hAnsi="宋体" w:eastAsia="宋体" w:cs="宋体"/>
                      <w:b/>
                      <w:i w:val="0"/>
                      <w:color w:val="000000"/>
                      <w:sz w:val="21"/>
                      <w:szCs w:val="21"/>
                      <w:u w:val="none"/>
                      <w:lang w:val="en-US" w:eastAsia="zh-CN"/>
                    </w:rPr>
                  </w:pPr>
                  <w:r>
                    <w:rPr>
                      <w:rFonts w:hint="eastAsia" w:ascii="宋体" w:hAnsi="宋体" w:eastAsia="宋体" w:cs="宋体"/>
                      <w:b/>
                      <w:i w:val="0"/>
                      <w:color w:val="000000"/>
                      <w:sz w:val="21"/>
                      <w:szCs w:val="21"/>
                      <w:u w:val="none"/>
                      <w:lang w:val="en-US" w:eastAsia="zh-CN"/>
                    </w:rPr>
                    <w:t>672.26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4604"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注：1.本表反映部门本年度的总收支和年末结转结余情况。</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 xml:space="preserve">    2.本套报表金额单位转换时可能存在尾数误差。</w:t>
                  </w:r>
                </w:p>
              </w:tc>
            </w:tr>
          </w:tbl>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5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5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429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97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67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1"/>
                <w:szCs w:val="21"/>
              </w:rPr>
            </w:pPr>
            <w:r>
              <w:rPr>
                <w:rFonts w:hint="eastAsia"/>
                <w:color w:val="000000"/>
                <w:sz w:val="21"/>
                <w:szCs w:val="21"/>
              </w:rPr>
              <w:t>公开02表</w:t>
            </w:r>
          </w:p>
        </w:tc>
      </w:tr>
      <w:tr>
        <w:tblPrEx>
          <w:tblCellMar>
            <w:top w:w="0" w:type="dxa"/>
            <w:left w:w="0" w:type="dxa"/>
            <w:bottom w:w="0" w:type="dxa"/>
            <w:right w:w="0" w:type="dxa"/>
          </w:tblCellMar>
        </w:tblPrEx>
        <w:trPr>
          <w:trHeight w:val="285" w:hRule="atLeast"/>
        </w:trPr>
        <w:tc>
          <w:tcPr>
            <w:tcW w:w="109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1"/>
                <w:szCs w:val="21"/>
              </w:rPr>
            </w:pPr>
            <w:r>
              <w:rPr>
                <w:rFonts w:hint="eastAsia"/>
                <w:color w:val="000000"/>
                <w:sz w:val="21"/>
                <w:szCs w:val="21"/>
              </w:rPr>
              <w:t>部门：</w:t>
            </w:r>
          </w:p>
        </w:tc>
        <w:tc>
          <w:tcPr>
            <w:tcW w:w="4299"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ascii="宋体" w:hAnsi="宋体" w:eastAsia="宋体" w:cs="宋体"/>
                <w:sz w:val="21"/>
                <w:szCs w:val="21"/>
              </w:rPr>
            </w:pPr>
            <w:r>
              <w:rPr>
                <w:rFonts w:hint="eastAsia" w:ascii="宋体" w:hAnsi="宋体" w:eastAsia="宋体" w:cs="宋体"/>
                <w:i w:val="0"/>
                <w:color w:val="000000"/>
                <w:kern w:val="0"/>
                <w:sz w:val="21"/>
                <w:szCs w:val="21"/>
                <w:u w:val="none"/>
                <w:lang w:val="en-US" w:eastAsia="zh-CN" w:bidi="ar"/>
              </w:rPr>
              <w:t>湘潭县行政审批服务局</w:t>
            </w:r>
            <w:r>
              <w:rPr>
                <w:rFonts w:hint="eastAsia"/>
                <w:sz w:val="21"/>
                <w:szCs w:val="21"/>
              </w:rPr>
              <w:t>　</w:t>
            </w:r>
          </w:p>
        </w:tc>
        <w:tc>
          <w:tcPr>
            <w:tcW w:w="97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1"/>
                <w:szCs w:val="21"/>
              </w:rPr>
            </w:pPr>
            <w:r>
              <w:rPr>
                <w:rFonts w:hint="eastAsia"/>
                <w:color w:val="000000"/>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67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1"/>
                <w:szCs w:val="21"/>
              </w:rPr>
            </w:pPr>
            <w:r>
              <w:rPr>
                <w:rFonts w:hint="eastAsia"/>
                <w:color w:val="000000"/>
                <w:sz w:val="21"/>
                <w:szCs w:val="21"/>
              </w:rPr>
              <w:t>单位：万元</w:t>
            </w:r>
          </w:p>
        </w:tc>
      </w:tr>
      <w:tr>
        <w:tblPrEx>
          <w:tblCellMar>
            <w:top w:w="0" w:type="dxa"/>
            <w:left w:w="0" w:type="dxa"/>
            <w:bottom w:w="0" w:type="dxa"/>
            <w:right w:w="0" w:type="dxa"/>
          </w:tblCellMar>
        </w:tblPrEx>
        <w:trPr>
          <w:trHeight w:val="450" w:hRule="atLeast"/>
        </w:trPr>
        <w:tc>
          <w:tcPr>
            <w:tcW w:w="539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项    目</w:t>
            </w:r>
          </w:p>
        </w:tc>
        <w:tc>
          <w:tcPr>
            <w:tcW w:w="97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本年收入合计</w:t>
            </w:r>
          </w:p>
        </w:tc>
        <w:tc>
          <w:tcPr>
            <w:tcW w:w="131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财政拨款收入</w:t>
            </w:r>
          </w:p>
        </w:tc>
        <w:tc>
          <w:tcPr>
            <w:tcW w:w="13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上级补助收入</w:t>
            </w:r>
          </w:p>
        </w:tc>
        <w:tc>
          <w:tcPr>
            <w:tcW w:w="13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事业收入</w:t>
            </w:r>
          </w:p>
        </w:tc>
        <w:tc>
          <w:tcPr>
            <w:tcW w:w="13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经营收入</w:t>
            </w:r>
          </w:p>
        </w:tc>
        <w:tc>
          <w:tcPr>
            <w:tcW w:w="13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附属单位上缴收入</w:t>
            </w:r>
          </w:p>
        </w:tc>
        <w:tc>
          <w:tcPr>
            <w:tcW w:w="167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其他收入</w:t>
            </w:r>
          </w:p>
        </w:tc>
      </w:tr>
      <w:tr>
        <w:tblPrEx>
          <w:tblCellMar>
            <w:top w:w="0" w:type="dxa"/>
            <w:left w:w="0" w:type="dxa"/>
            <w:bottom w:w="0" w:type="dxa"/>
            <w:right w:w="0" w:type="dxa"/>
          </w:tblCellMar>
        </w:tblPrEx>
        <w:trPr>
          <w:trHeight w:val="450" w:hRule="atLeast"/>
        </w:trPr>
        <w:tc>
          <w:tcPr>
            <w:tcW w:w="109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功能分类科目编码</w:t>
            </w:r>
          </w:p>
        </w:tc>
        <w:tc>
          <w:tcPr>
            <w:tcW w:w="4299"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科目名称</w:t>
            </w:r>
          </w:p>
        </w:tc>
        <w:tc>
          <w:tcPr>
            <w:tcW w:w="97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67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r>
      <w:tr>
        <w:tblPrEx>
          <w:tblCellMar>
            <w:top w:w="0" w:type="dxa"/>
            <w:left w:w="0" w:type="dxa"/>
            <w:bottom w:w="0" w:type="dxa"/>
            <w:right w:w="0" w:type="dxa"/>
          </w:tblCellMar>
        </w:tblPrEx>
        <w:trPr>
          <w:trHeight w:val="450" w:hRule="atLeast"/>
        </w:trPr>
        <w:tc>
          <w:tcPr>
            <w:tcW w:w="1096"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4299"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97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31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c>
          <w:tcPr>
            <w:tcW w:w="167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1"/>
                <w:szCs w:val="21"/>
              </w:rPr>
            </w:pPr>
          </w:p>
        </w:tc>
      </w:tr>
      <w:tr>
        <w:tblPrEx>
          <w:tblCellMar>
            <w:top w:w="0" w:type="dxa"/>
            <w:left w:w="0" w:type="dxa"/>
            <w:bottom w:w="0" w:type="dxa"/>
            <w:right w:w="0" w:type="dxa"/>
          </w:tblCellMar>
        </w:tblPrEx>
        <w:trPr>
          <w:trHeight w:val="450" w:hRule="atLeast"/>
        </w:trPr>
        <w:tc>
          <w:tcPr>
            <w:tcW w:w="539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栏次</w:t>
            </w:r>
          </w:p>
        </w:tc>
        <w:tc>
          <w:tcPr>
            <w:tcW w:w="97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1</w:t>
            </w:r>
          </w:p>
        </w:tc>
        <w:tc>
          <w:tcPr>
            <w:tcW w:w="13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2</w:t>
            </w:r>
          </w:p>
        </w:tc>
        <w:tc>
          <w:tcPr>
            <w:tcW w:w="13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3</w:t>
            </w:r>
          </w:p>
        </w:tc>
        <w:tc>
          <w:tcPr>
            <w:tcW w:w="13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4</w:t>
            </w:r>
          </w:p>
        </w:tc>
        <w:tc>
          <w:tcPr>
            <w:tcW w:w="13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5</w:t>
            </w:r>
          </w:p>
        </w:tc>
        <w:tc>
          <w:tcPr>
            <w:tcW w:w="13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6</w:t>
            </w:r>
          </w:p>
        </w:tc>
        <w:tc>
          <w:tcPr>
            <w:tcW w:w="167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7</w:t>
            </w:r>
          </w:p>
        </w:tc>
      </w:tr>
      <w:tr>
        <w:tblPrEx>
          <w:tblCellMar>
            <w:top w:w="0" w:type="dxa"/>
            <w:left w:w="0" w:type="dxa"/>
            <w:bottom w:w="0" w:type="dxa"/>
            <w:right w:w="0" w:type="dxa"/>
          </w:tblCellMar>
        </w:tblPrEx>
        <w:trPr>
          <w:trHeight w:val="450" w:hRule="atLeast"/>
        </w:trPr>
        <w:tc>
          <w:tcPr>
            <w:tcW w:w="539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1"/>
                <w:szCs w:val="21"/>
              </w:rPr>
            </w:pPr>
            <w:r>
              <w:rPr>
                <w:rFonts w:hint="eastAsia"/>
                <w:sz w:val="21"/>
                <w:szCs w:val="21"/>
              </w:rPr>
              <w:t>合计</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b/>
                <w:bCs/>
                <w:i w:val="0"/>
                <w:iCs w:val="0"/>
                <w:color w:val="000000"/>
                <w:kern w:val="0"/>
                <w:sz w:val="22"/>
                <w:szCs w:val="22"/>
                <w:u w:val="none"/>
                <w:lang w:val="en-US" w:eastAsia="zh-CN" w:bidi="ar"/>
              </w:rPr>
              <w:t>672.26</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b/>
                <w:bCs/>
                <w:i w:val="0"/>
                <w:iCs w:val="0"/>
                <w:color w:val="000000"/>
                <w:kern w:val="0"/>
                <w:sz w:val="22"/>
                <w:szCs w:val="22"/>
                <w:u w:val="none"/>
                <w:lang w:val="en-US" w:eastAsia="zh-CN" w:bidi="ar"/>
              </w:rPr>
              <w:t>661.98</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b/>
                <w:bCs/>
                <w:i w:val="0"/>
                <w:iCs w:val="0"/>
                <w:color w:val="000000"/>
                <w:kern w:val="0"/>
                <w:sz w:val="22"/>
                <w:szCs w:val="22"/>
                <w:u w:val="none"/>
                <w:lang w:val="en-US" w:eastAsia="zh-CN" w:bidi="ar"/>
              </w:rPr>
              <w:t>10.28</w:t>
            </w: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2010399</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296.06</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296.06</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2080505</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华文中宋" w:hAnsi="华文中宋" w:eastAsia="华文中宋"/>
                <w:sz w:val="21"/>
                <w:szCs w:val="21"/>
              </w:rPr>
            </w:pPr>
            <w:r>
              <w:rPr>
                <w:rFonts w:hint="eastAsia" w:ascii="宋体" w:hAnsi="宋体" w:eastAsia="宋体" w:cs="宋体"/>
                <w:i w:val="0"/>
                <w:iCs w:val="0"/>
                <w:color w:val="000000"/>
                <w:kern w:val="0"/>
                <w:sz w:val="22"/>
                <w:szCs w:val="22"/>
                <w:u w:val="none"/>
                <w:lang w:val="en-US" w:eastAsia="zh-CN" w:bidi="ar"/>
              </w:rPr>
              <w:t>21.25</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21.25</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2010302</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华文中宋" w:hAnsi="华文中宋" w:eastAsia="华文中宋"/>
                <w:sz w:val="21"/>
                <w:szCs w:val="21"/>
              </w:rPr>
            </w:pPr>
            <w:r>
              <w:rPr>
                <w:rFonts w:hint="eastAsia" w:ascii="宋体" w:hAnsi="宋体" w:eastAsia="宋体" w:cs="宋体"/>
                <w:i w:val="0"/>
                <w:iCs w:val="0"/>
                <w:color w:val="000000"/>
                <w:kern w:val="0"/>
                <w:sz w:val="22"/>
                <w:szCs w:val="22"/>
                <w:u w:val="none"/>
                <w:lang w:val="en-US" w:eastAsia="zh-CN" w:bidi="ar"/>
              </w:rPr>
              <w:t>24.63</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21.50</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3.13</w:t>
            </w: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2210201</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华文中宋" w:hAnsi="华文中宋" w:eastAsia="华文中宋"/>
                <w:sz w:val="21"/>
                <w:szCs w:val="21"/>
              </w:rPr>
            </w:pPr>
            <w:r>
              <w:rPr>
                <w:rFonts w:hint="eastAsia" w:ascii="宋体" w:hAnsi="宋体" w:eastAsia="宋体" w:cs="宋体"/>
                <w:i w:val="0"/>
                <w:iCs w:val="0"/>
                <w:color w:val="000000"/>
                <w:kern w:val="0"/>
                <w:sz w:val="22"/>
                <w:szCs w:val="22"/>
                <w:u w:val="none"/>
                <w:lang w:val="en-US" w:eastAsia="zh-CN" w:bidi="ar"/>
              </w:rPr>
              <w:t>18.23</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18.23</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2010102</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华文中宋" w:hAnsi="华文中宋" w:eastAsia="华文中宋"/>
                <w:sz w:val="21"/>
                <w:szCs w:val="21"/>
              </w:rPr>
            </w:pPr>
            <w:r>
              <w:rPr>
                <w:rFonts w:hint="eastAsia" w:ascii="宋体" w:hAnsi="宋体" w:eastAsia="宋体" w:cs="宋体"/>
                <w:i w:val="0"/>
                <w:iCs w:val="0"/>
                <w:color w:val="000000"/>
                <w:kern w:val="0"/>
                <w:sz w:val="22"/>
                <w:szCs w:val="22"/>
                <w:u w:val="none"/>
                <w:lang w:val="en-US" w:eastAsia="zh-CN" w:bidi="ar"/>
              </w:rPr>
              <w:t>7.15</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1"/>
                <w:szCs w:val="21"/>
              </w:rPr>
            </w:pP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sz w:val="21"/>
                <w:szCs w:val="21"/>
              </w:rPr>
            </w:pPr>
            <w:r>
              <w:rPr>
                <w:rFonts w:hint="eastAsia" w:ascii="宋体" w:hAnsi="宋体" w:eastAsia="宋体" w:cs="宋体"/>
                <w:i w:val="0"/>
                <w:iCs w:val="0"/>
                <w:color w:val="000000"/>
                <w:kern w:val="0"/>
                <w:sz w:val="22"/>
                <w:szCs w:val="22"/>
                <w:u w:val="none"/>
                <w:lang w:val="en-US" w:eastAsia="zh-CN" w:bidi="ar"/>
              </w:rPr>
              <w:t>7.15</w:t>
            </w: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2010301</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行政运行</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华文中宋" w:hAnsi="华文中宋" w:eastAsia="华文中宋" w:cs="宋体"/>
                <w:sz w:val="21"/>
                <w:szCs w:val="21"/>
              </w:rPr>
            </w:pPr>
            <w:r>
              <w:rPr>
                <w:rFonts w:hint="eastAsia" w:ascii="宋体" w:hAnsi="宋体" w:eastAsia="宋体" w:cs="宋体"/>
                <w:i w:val="0"/>
                <w:iCs w:val="0"/>
                <w:color w:val="000000"/>
                <w:kern w:val="0"/>
                <w:sz w:val="22"/>
                <w:szCs w:val="22"/>
                <w:u w:val="none"/>
                <w:lang w:val="en-US" w:eastAsia="zh-CN" w:bidi="ar"/>
              </w:rPr>
              <w:t>290.56</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290.56</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2010306</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政务公开审批</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2.10</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2.10</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2101101</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行政单位医疗</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12.27</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12.27</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0" w:type="dxa"/>
            <w:bottom w:w="0" w:type="dxa"/>
            <w:right w:w="0" w:type="dxa"/>
          </w:tblCellMar>
        </w:tblPrEx>
        <w:trPr>
          <w:trHeight w:val="450" w:hRule="atLeast"/>
        </w:trPr>
        <w:tc>
          <w:tcPr>
            <w:tcW w:w="109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2080505</w:t>
            </w:r>
          </w:p>
        </w:tc>
        <w:tc>
          <w:tcPr>
            <w:tcW w:w="429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1"/>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97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b/>
                <w:bCs/>
                <w:i w:val="0"/>
                <w:iCs w:val="0"/>
                <w:color w:val="000000"/>
                <w:kern w:val="0"/>
                <w:sz w:val="22"/>
                <w:szCs w:val="22"/>
                <w:u w:val="none"/>
                <w:lang w:val="en-US" w:eastAsia="zh-CN" w:bidi="ar"/>
              </w:rPr>
              <w:t>672.26</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b/>
                <w:bCs/>
                <w:i w:val="0"/>
                <w:iCs w:val="0"/>
                <w:color w:val="000000"/>
                <w:kern w:val="0"/>
                <w:sz w:val="22"/>
                <w:szCs w:val="22"/>
                <w:u w:val="none"/>
                <w:lang w:val="en-US" w:eastAsia="zh-CN" w:bidi="ar"/>
              </w:rPr>
              <w:t>661.98</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3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1"/>
                <w:szCs w:val="21"/>
              </w:rPr>
            </w:pPr>
            <w:r>
              <w:rPr>
                <w:rFonts w:hint="eastAsia"/>
                <w:sz w:val="21"/>
                <w:szCs w:val="21"/>
              </w:rPr>
              <w:t>　</w:t>
            </w:r>
          </w:p>
        </w:tc>
        <w:tc>
          <w:tcPr>
            <w:tcW w:w="167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ascii="宋体" w:hAnsi="宋体" w:eastAsia="宋体" w:cs="宋体"/>
                <w:sz w:val="21"/>
                <w:szCs w:val="21"/>
              </w:rPr>
            </w:pPr>
            <w:r>
              <w:rPr>
                <w:rFonts w:hint="eastAsia" w:ascii="宋体" w:hAnsi="宋体" w:eastAsia="宋体" w:cs="宋体"/>
                <w:b/>
                <w:bCs/>
                <w:i w:val="0"/>
                <w:iCs w:val="0"/>
                <w:color w:val="000000"/>
                <w:kern w:val="0"/>
                <w:sz w:val="22"/>
                <w:szCs w:val="22"/>
                <w:u w:val="none"/>
                <w:lang w:val="en-US" w:eastAsia="zh-CN" w:bidi="ar"/>
              </w:rPr>
              <w:t>10.28</w:t>
            </w:r>
          </w:p>
        </w:tc>
      </w:tr>
      <w:tr>
        <w:tblPrEx>
          <w:tblCellMar>
            <w:top w:w="0" w:type="dxa"/>
            <w:left w:w="0" w:type="dxa"/>
            <w:bottom w:w="0" w:type="dxa"/>
            <w:right w:w="0" w:type="dxa"/>
          </w:tblCellMar>
        </w:tblPrEx>
        <w:trPr>
          <w:trHeight w:val="615" w:hRule="atLeast"/>
        </w:trPr>
        <w:tc>
          <w:tcPr>
            <w:tcW w:w="14634"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1"/>
                <w:szCs w:val="21"/>
              </w:rPr>
            </w:pPr>
            <w:r>
              <w:rPr>
                <w:rFonts w:hint="eastAsia"/>
                <w:sz w:val="21"/>
                <w:szCs w:val="21"/>
              </w:rPr>
              <w:t>注：本表反映部门本年度取得的各项收入情况。</w:t>
            </w:r>
          </w:p>
        </w:tc>
      </w:tr>
    </w:tbl>
    <w:p>
      <w:pPr>
        <w:widowControl/>
        <w:jc w:val="left"/>
        <w:rPr>
          <w:rFonts w:ascii="Times New Roman" w:hAnsi="Times New Roman" w:eastAsia="方正小标宋_GBK" w:cs="Times New Roman"/>
          <w:color w:val="000000"/>
          <w:kern w:val="0"/>
          <w:sz w:val="36"/>
          <w:szCs w:val="36"/>
        </w:rPr>
      </w:pPr>
    </w:p>
    <w:tbl>
      <w:tblPr>
        <w:tblStyle w:val="9"/>
        <w:tblW w:w="15640" w:type="dxa"/>
        <w:tblInd w:w="93" w:type="dxa"/>
        <w:tblLayout w:type="fixed"/>
        <w:tblCellMar>
          <w:top w:w="0" w:type="dxa"/>
          <w:left w:w="108" w:type="dxa"/>
          <w:bottom w:w="0" w:type="dxa"/>
          <w:right w:w="108" w:type="dxa"/>
        </w:tblCellMar>
      </w:tblPr>
      <w:tblGrid>
        <w:gridCol w:w="745"/>
        <w:gridCol w:w="330"/>
        <w:gridCol w:w="4320"/>
        <w:gridCol w:w="1530"/>
        <w:gridCol w:w="1500"/>
        <w:gridCol w:w="1590"/>
        <w:gridCol w:w="1845"/>
        <w:gridCol w:w="1470"/>
        <w:gridCol w:w="2310"/>
      </w:tblGrid>
      <w:tr>
        <w:tblPrEx>
          <w:tblCellMar>
            <w:top w:w="0" w:type="dxa"/>
            <w:left w:w="108" w:type="dxa"/>
            <w:bottom w:w="0" w:type="dxa"/>
            <w:right w:w="108" w:type="dxa"/>
          </w:tblCellMar>
        </w:tblPrEx>
        <w:trPr>
          <w:trHeight w:val="642" w:hRule="atLeast"/>
        </w:trPr>
        <w:tc>
          <w:tcPr>
            <w:tcW w:w="1564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74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32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9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84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1"/>
                <w:szCs w:val="21"/>
              </w:rPr>
            </w:pPr>
            <w:r>
              <w:rPr>
                <w:rFonts w:hint="eastAsia" w:ascii="宋体" w:hAnsi="宋体" w:eastAsia="宋体" w:cs="宋体"/>
                <w:color w:val="000000"/>
                <w:kern w:val="0"/>
                <w:sz w:val="21"/>
                <w:szCs w:val="21"/>
              </w:rPr>
              <w:t>公开03表</w:t>
            </w:r>
          </w:p>
        </w:tc>
      </w:tr>
      <w:tr>
        <w:tblPrEx>
          <w:tblCellMar>
            <w:top w:w="0" w:type="dxa"/>
            <w:left w:w="108" w:type="dxa"/>
            <w:bottom w:w="0" w:type="dxa"/>
            <w:right w:w="108" w:type="dxa"/>
          </w:tblCellMar>
        </w:tblPrEx>
        <w:trPr>
          <w:trHeight w:val="403" w:hRule="atLeast"/>
        </w:trPr>
        <w:tc>
          <w:tcPr>
            <w:tcW w:w="74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部门：</w:t>
            </w:r>
          </w:p>
        </w:tc>
        <w:tc>
          <w:tcPr>
            <w:tcW w:w="3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320" w:type="dxa"/>
            <w:tcBorders>
              <w:top w:val="nil"/>
              <w:left w:val="nil"/>
              <w:bottom w:val="nil"/>
              <w:right w:val="nil"/>
            </w:tcBorders>
            <w:shd w:val="clear" w:color="000000" w:fill="FFFFFF"/>
            <w:noWrap/>
            <w:vAlign w:val="center"/>
          </w:tcPr>
          <w:p>
            <w:pPr>
              <w:widowControl/>
              <w:jc w:val="left"/>
              <w:rPr>
                <w:rFonts w:ascii="宋体" w:hAnsi="宋体" w:eastAsia="宋体" w:cs="宋体"/>
                <w:kern w:val="0"/>
                <w:sz w:val="21"/>
                <w:szCs w:val="21"/>
              </w:rPr>
            </w:pPr>
            <w:r>
              <w:rPr>
                <w:rFonts w:hint="eastAsia" w:ascii="宋体" w:hAnsi="宋体" w:eastAsia="宋体" w:cs="宋体"/>
                <w:i w:val="0"/>
                <w:color w:val="000000"/>
                <w:kern w:val="0"/>
                <w:sz w:val="21"/>
                <w:szCs w:val="21"/>
                <w:u w:val="none"/>
                <w:lang w:val="en-US" w:eastAsia="zh-CN" w:bidi="ar"/>
              </w:rPr>
              <w:t>湘潭县行政审批服务局</w:t>
            </w:r>
            <w:r>
              <w:rPr>
                <w:rFonts w:hint="eastAsia" w:ascii="宋体" w:hAnsi="宋体" w:eastAsia="宋体" w:cs="宋体"/>
                <w:kern w:val="0"/>
                <w:sz w:val="21"/>
                <w:szCs w:val="21"/>
              </w:rPr>
              <w:t>　</w:t>
            </w:r>
          </w:p>
        </w:tc>
        <w:tc>
          <w:tcPr>
            <w:tcW w:w="153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9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84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1"/>
                <w:szCs w:val="21"/>
              </w:rPr>
            </w:pPr>
            <w:r>
              <w:rPr>
                <w:rFonts w:hint="eastAsia" w:ascii="宋体" w:hAnsi="宋体" w:eastAsia="宋体" w:cs="宋体"/>
                <w:color w:val="000000"/>
                <w:kern w:val="0"/>
                <w:sz w:val="21"/>
                <w:szCs w:val="21"/>
              </w:rPr>
              <w:t>单位：万元</w:t>
            </w:r>
          </w:p>
        </w:tc>
      </w:tr>
      <w:tr>
        <w:tblPrEx>
          <w:tblCellMar>
            <w:top w:w="0" w:type="dxa"/>
            <w:left w:w="108" w:type="dxa"/>
            <w:bottom w:w="0" w:type="dxa"/>
            <w:right w:w="108" w:type="dxa"/>
          </w:tblCellMar>
        </w:tblPrEx>
        <w:trPr>
          <w:trHeight w:val="555" w:hRule="atLeast"/>
        </w:trPr>
        <w:tc>
          <w:tcPr>
            <w:tcW w:w="539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项    目</w:t>
            </w:r>
          </w:p>
        </w:tc>
        <w:tc>
          <w:tcPr>
            <w:tcW w:w="15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本年支出合计</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基本支出</w:t>
            </w:r>
          </w:p>
        </w:tc>
        <w:tc>
          <w:tcPr>
            <w:tcW w:w="159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项目支出</w:t>
            </w:r>
          </w:p>
        </w:tc>
        <w:tc>
          <w:tcPr>
            <w:tcW w:w="184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上缴上级支出</w:t>
            </w:r>
          </w:p>
        </w:tc>
        <w:tc>
          <w:tcPr>
            <w:tcW w:w="147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经营支出</w:t>
            </w:r>
          </w:p>
        </w:tc>
        <w:tc>
          <w:tcPr>
            <w:tcW w:w="23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对附属单位补助支出</w:t>
            </w:r>
          </w:p>
        </w:tc>
      </w:tr>
      <w:tr>
        <w:tblPrEx>
          <w:tblCellMar>
            <w:top w:w="0" w:type="dxa"/>
            <w:left w:w="108" w:type="dxa"/>
            <w:bottom w:w="0" w:type="dxa"/>
            <w:right w:w="108" w:type="dxa"/>
          </w:tblCellMar>
        </w:tblPrEx>
        <w:trPr>
          <w:trHeight w:val="595" w:hRule="atLeast"/>
        </w:trPr>
        <w:tc>
          <w:tcPr>
            <w:tcW w:w="107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功能分类科目编码</w:t>
            </w:r>
          </w:p>
        </w:tc>
        <w:tc>
          <w:tcPr>
            <w:tcW w:w="4320"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科目名称</w:t>
            </w:r>
          </w:p>
        </w:tc>
        <w:tc>
          <w:tcPr>
            <w:tcW w:w="15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8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4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23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r>
      <w:tr>
        <w:tblPrEx>
          <w:tblCellMar>
            <w:top w:w="0" w:type="dxa"/>
            <w:left w:w="108" w:type="dxa"/>
            <w:bottom w:w="0" w:type="dxa"/>
            <w:right w:w="108" w:type="dxa"/>
          </w:tblCellMar>
        </w:tblPrEx>
        <w:trPr>
          <w:trHeight w:val="312" w:hRule="atLeast"/>
        </w:trPr>
        <w:tc>
          <w:tcPr>
            <w:tcW w:w="1075"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43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5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8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14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c>
          <w:tcPr>
            <w:tcW w:w="23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1"/>
                <w:szCs w:val="21"/>
              </w:rPr>
            </w:pPr>
          </w:p>
        </w:tc>
      </w:tr>
      <w:tr>
        <w:tblPrEx>
          <w:tblCellMar>
            <w:top w:w="0" w:type="dxa"/>
            <w:left w:w="108" w:type="dxa"/>
            <w:bottom w:w="0" w:type="dxa"/>
            <w:right w:w="108" w:type="dxa"/>
          </w:tblCellMar>
        </w:tblPrEx>
        <w:trPr>
          <w:trHeight w:val="445" w:hRule="atLeast"/>
        </w:trPr>
        <w:tc>
          <w:tcPr>
            <w:tcW w:w="539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栏次</w:t>
            </w:r>
          </w:p>
        </w:tc>
        <w:tc>
          <w:tcPr>
            <w:tcW w:w="153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15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159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1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14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23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6</w:t>
            </w:r>
          </w:p>
        </w:tc>
      </w:tr>
      <w:tr>
        <w:tblPrEx>
          <w:tblCellMar>
            <w:top w:w="0" w:type="dxa"/>
            <w:left w:w="108" w:type="dxa"/>
            <w:bottom w:w="0" w:type="dxa"/>
            <w:right w:w="108" w:type="dxa"/>
          </w:tblCellMar>
        </w:tblPrEx>
        <w:trPr>
          <w:trHeight w:val="595" w:hRule="atLeast"/>
        </w:trPr>
        <w:tc>
          <w:tcPr>
            <w:tcW w:w="539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合计</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b/>
                <w:bCs/>
                <w:i w:val="0"/>
                <w:iCs w:val="0"/>
                <w:color w:val="000000"/>
                <w:kern w:val="0"/>
                <w:sz w:val="22"/>
                <w:szCs w:val="22"/>
                <w:u w:val="none"/>
                <w:lang w:val="en-US" w:eastAsia="zh-CN" w:bidi="ar"/>
              </w:rPr>
              <w:t>672.26</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b/>
                <w:bCs/>
                <w:i w:val="0"/>
                <w:iCs w:val="0"/>
                <w:color w:val="000000"/>
                <w:kern w:val="0"/>
                <w:sz w:val="22"/>
                <w:szCs w:val="22"/>
                <w:u w:val="none"/>
                <w:lang w:val="en-US" w:eastAsia="zh-CN" w:bidi="ar"/>
              </w:rPr>
              <w:t>241.10</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b/>
                <w:bCs/>
                <w:i w:val="0"/>
                <w:iCs w:val="0"/>
                <w:color w:val="000000"/>
                <w:kern w:val="0"/>
                <w:sz w:val="22"/>
                <w:szCs w:val="22"/>
                <w:u w:val="none"/>
                <w:lang w:val="en-US" w:eastAsia="zh-CN" w:bidi="ar"/>
              </w:rPr>
              <w:t>431.16</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2010399</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296.06</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296.06</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2080505</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21.25</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21.25</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2010302</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24.63</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24.63</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2210201</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18.23</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18.23</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1"/>
                <w:szCs w:val="21"/>
              </w:rPr>
            </w:pP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2010102</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7.15</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7.15</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2010301</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行政运行</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290.56</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189.34</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101.22</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2010306</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政务公开审批</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2.10</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2.10</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595" w:hRule="atLeast"/>
        </w:trPr>
        <w:tc>
          <w:tcPr>
            <w:tcW w:w="10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2101101</w:t>
            </w:r>
          </w:p>
        </w:tc>
        <w:tc>
          <w:tcPr>
            <w:tcW w:w="4320"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行政单位医疗</w:t>
            </w:r>
          </w:p>
        </w:tc>
        <w:tc>
          <w:tcPr>
            <w:tcW w:w="153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12.27</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12.27</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1845"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47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23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注：本表反映部门本年度各项支出情况。</w:t>
            </w:r>
          </w:p>
        </w:tc>
      </w:tr>
    </w:tbl>
    <w:p>
      <w:pPr>
        <w:widowControl/>
        <w:jc w:val="both"/>
        <w:rPr>
          <w:rFonts w:ascii="Times New Roman" w:hAnsi="Times New Roman" w:eastAsia="方正小标宋_GBK" w:cs="Times New Roman"/>
          <w:color w:val="000000"/>
          <w:kern w:val="0"/>
          <w:sz w:val="36"/>
          <w:szCs w:val="21"/>
        </w:rPr>
      </w:pPr>
    </w:p>
    <w:tbl>
      <w:tblPr>
        <w:tblStyle w:val="9"/>
        <w:tblW w:w="15522" w:type="dxa"/>
        <w:tblInd w:w="93" w:type="dxa"/>
        <w:tblLayout w:type="autofit"/>
        <w:tblCellMar>
          <w:top w:w="0" w:type="dxa"/>
          <w:left w:w="108" w:type="dxa"/>
          <w:bottom w:w="0" w:type="dxa"/>
          <w:right w:w="108" w:type="dxa"/>
        </w:tblCellMar>
      </w:tblPr>
      <w:tblGrid>
        <w:gridCol w:w="3596"/>
        <w:gridCol w:w="436"/>
        <w:gridCol w:w="1078"/>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22"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1"/>
                <w:szCs w:val="21"/>
              </w:rPr>
            </w:pPr>
            <w:r>
              <w:rPr>
                <w:rFonts w:hint="eastAsia" w:ascii="宋体" w:hAnsi="宋体" w:eastAsia="宋体" w:cs="宋体"/>
                <w:color w:val="000000"/>
                <w:kern w:val="0"/>
                <w:sz w:val="21"/>
                <w:szCs w:val="21"/>
              </w:rPr>
              <w:t>公开04表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1"/>
                <w:szCs w:val="21"/>
              </w:rPr>
            </w:pPr>
            <w:r>
              <w:rPr>
                <w:rFonts w:hint="eastAsia" w:ascii="宋体" w:hAnsi="宋体" w:eastAsia="宋体" w:cs="宋体"/>
                <w:color w:val="000000"/>
                <w:kern w:val="0"/>
                <w:sz w:val="21"/>
                <w:szCs w:val="21"/>
              </w:rPr>
              <w:t>部门：</w:t>
            </w:r>
            <w:r>
              <w:rPr>
                <w:rFonts w:hint="eastAsia" w:ascii="宋体" w:hAnsi="宋体" w:eastAsia="宋体" w:cs="宋体"/>
                <w:i w:val="0"/>
                <w:color w:val="000000"/>
                <w:kern w:val="0"/>
                <w:sz w:val="21"/>
                <w:szCs w:val="21"/>
                <w:u w:val="none"/>
                <w:lang w:val="en-US" w:eastAsia="zh-CN" w:bidi="ar"/>
              </w:rPr>
              <w:t>湘潭县行政审批服务局</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1"/>
                <w:szCs w:val="21"/>
              </w:rPr>
            </w:pPr>
            <w:r>
              <w:rPr>
                <w:rFonts w:hint="eastAsia" w:ascii="宋体" w:hAnsi="宋体" w:eastAsia="宋体" w:cs="宋体"/>
                <w:color w:val="000000"/>
                <w:kern w:val="0"/>
                <w:sz w:val="21"/>
                <w:szCs w:val="21"/>
              </w:rPr>
              <w:t>单位：万元</w:t>
            </w:r>
          </w:p>
        </w:tc>
      </w:tr>
      <w:tr>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金额</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lang w:val="en-US" w:eastAsia="zh-CN"/>
              </w:rPr>
              <w:t>661.98</w:t>
            </w: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661.98</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661.98</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lang w:val="en-US" w:eastAsia="zh-CN"/>
              </w:rPr>
              <w:t>661.98</w:t>
            </w: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1"/>
                <w:szCs w:val="21"/>
                <w:lang w:val="en-US" w:eastAsia="zh-CN"/>
              </w:rPr>
            </w:pPr>
            <w:r>
              <w:rPr>
                <w:rFonts w:hint="eastAsia" w:ascii="宋体" w:hAnsi="宋体" w:eastAsia="宋体" w:cs="宋体"/>
                <w:kern w:val="0"/>
                <w:sz w:val="21"/>
                <w:szCs w:val="21"/>
              </w:rPr>
              <w:t>　</w:t>
            </w:r>
            <w:r>
              <w:rPr>
                <w:rFonts w:hint="eastAsia" w:ascii="宋体" w:hAnsi="宋体" w:eastAsia="宋体" w:cs="宋体"/>
                <w:kern w:val="0"/>
                <w:sz w:val="21"/>
                <w:szCs w:val="21"/>
                <w:lang w:val="en-US" w:eastAsia="zh-CN"/>
              </w:rPr>
              <w:t>661.98</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661.98</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1"/>
                <w:szCs w:val="21"/>
              </w:rPr>
            </w:pPr>
            <w:r>
              <w:rPr>
                <w:rFonts w:hint="eastAsia" w:ascii="宋体" w:hAnsi="宋体" w:eastAsia="宋体" w:cs="宋体"/>
                <w:b/>
                <w:bCs/>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1"/>
                <w:szCs w:val="21"/>
              </w:rPr>
            </w:pPr>
            <w:r>
              <w:rPr>
                <w:rFonts w:hint="eastAsia" w:ascii="宋体" w:hAnsi="宋体" w:eastAsia="宋体" w:cs="宋体"/>
                <w:kern w:val="0"/>
                <w:sz w:val="21"/>
                <w:szCs w:val="21"/>
                <w:lang w:val="en-US" w:eastAsia="zh-CN"/>
              </w:rPr>
              <w:t>661.98</w:t>
            </w:r>
            <w:r>
              <w:rPr>
                <w:rFonts w:hint="eastAsia" w:ascii="宋体" w:hAnsi="宋体" w:eastAsia="宋体" w:cs="宋体"/>
                <w:kern w:val="0"/>
                <w:sz w:val="21"/>
                <w:szCs w:val="21"/>
              </w:rPr>
              <w:t>　</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1"/>
                <w:szCs w:val="21"/>
              </w:rPr>
            </w:pPr>
            <w:r>
              <w:rPr>
                <w:rFonts w:hint="eastAsia" w:ascii="宋体" w:hAnsi="宋体" w:eastAsia="宋体" w:cs="宋体"/>
                <w:b/>
                <w:bCs/>
                <w:kern w:val="0"/>
                <w:sz w:val="21"/>
                <w:szCs w:val="21"/>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661.98</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1"/>
                <w:szCs w:val="21"/>
              </w:rPr>
            </w:pPr>
            <w:r>
              <w:rPr>
                <w:rFonts w:hint="eastAsia" w:ascii="宋体" w:hAnsi="宋体" w:eastAsia="宋体" w:cs="宋体"/>
                <w:kern w:val="0"/>
                <w:sz w:val="21"/>
                <w:szCs w:val="21"/>
                <w:lang w:val="en-US" w:eastAsia="zh-CN"/>
              </w:rPr>
              <w:t>661.98</w:t>
            </w:r>
            <w:r>
              <w:rPr>
                <w:rFonts w:hint="eastAsia" w:ascii="宋体" w:hAnsi="宋体" w:eastAsia="宋体" w:cs="宋体"/>
                <w:kern w:val="0"/>
                <w:sz w:val="21"/>
                <w:szCs w:val="21"/>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1"/>
                <w:szCs w:val="21"/>
              </w:rPr>
            </w:pPr>
            <w:r>
              <w:rPr>
                <w:rFonts w:hint="eastAsia" w:ascii="宋体" w:hAnsi="宋体" w:eastAsia="宋体" w:cs="宋体"/>
                <w:b/>
                <w:bCs/>
                <w:kern w:val="0"/>
                <w:sz w:val="21"/>
                <w:szCs w:val="21"/>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1"/>
                <w:szCs w:val="21"/>
              </w:rPr>
            </w:pPr>
            <w:r>
              <w:rPr>
                <w:rFonts w:hint="eastAsia" w:ascii="宋体" w:hAnsi="宋体" w:eastAsia="宋体" w:cs="宋体"/>
                <w:b/>
                <w:bCs/>
                <w:kern w:val="0"/>
                <w:sz w:val="21"/>
                <w:szCs w:val="21"/>
              </w:rPr>
              <w:t>　</w:t>
            </w:r>
          </w:p>
        </w:tc>
      </w:tr>
      <w:tr>
        <w:tblPrEx>
          <w:tblCellMar>
            <w:top w:w="0" w:type="dxa"/>
            <w:left w:w="108" w:type="dxa"/>
            <w:bottom w:w="0" w:type="dxa"/>
            <w:right w:w="108" w:type="dxa"/>
          </w:tblCellMar>
        </w:tblPrEx>
        <w:trPr>
          <w:trHeight w:val="585" w:hRule="atLeast"/>
        </w:trPr>
        <w:tc>
          <w:tcPr>
            <w:tcW w:w="15522"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1"/>
                <w:szCs w:val="21"/>
              </w:rPr>
            </w:pPr>
            <w:r>
              <w:rPr>
                <w:rFonts w:hint="eastAsia" w:ascii="宋体" w:hAnsi="宋体" w:eastAsia="宋体" w:cs="宋体"/>
                <w:kern w:val="0"/>
                <w:sz w:val="21"/>
                <w:szCs w:val="21"/>
              </w:rPr>
              <w:t>注：本表反映部门本年度一般公共预算财政拨款、政府性基金预算财政拨款和国有资本经营预算财政拨款的总收支和年末结转结余情况。</w:t>
            </w:r>
          </w:p>
        </w:tc>
      </w:tr>
    </w:tbl>
    <w:p>
      <w:pPr>
        <w:widowControl/>
        <w:jc w:val="both"/>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 w:val="21"/>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 w:val="21"/>
          <w:szCs w:val="21"/>
        </w:rPr>
        <w:t xml:space="preserve">部门：  </w:t>
      </w:r>
      <w:r>
        <w:rPr>
          <w:rFonts w:hint="eastAsia" w:ascii="宋体" w:hAnsi="宋体" w:eastAsia="宋体" w:cs="宋体"/>
          <w:i w:val="0"/>
          <w:color w:val="000000"/>
          <w:kern w:val="0"/>
          <w:sz w:val="21"/>
          <w:szCs w:val="21"/>
          <w:u w:val="none"/>
          <w:lang w:val="en-US" w:eastAsia="zh-CN" w:bidi="ar"/>
        </w:rPr>
        <w:t>湘潭县行政审批服务局</w:t>
      </w:r>
      <w:r>
        <w:rPr>
          <w:rFonts w:ascii="Times New Roman" w:hAnsi="Times New Roman" w:eastAsia="仿宋_GB2312" w:cs="Times New Roman"/>
          <w:color w:val="000000"/>
          <w:kern w:val="0"/>
          <w:sz w:val="21"/>
          <w:szCs w:val="21"/>
        </w:rPr>
        <w:t xml:space="preserve">                   </w:t>
      </w:r>
      <w:r>
        <w:rPr>
          <w:rFonts w:hint="eastAsia" w:ascii="Times New Roman" w:hAnsi="Times New Roman" w:eastAsia="仿宋_GB2312" w:cs="Times New Roman"/>
          <w:color w:val="000000"/>
          <w:kern w:val="0"/>
          <w:sz w:val="21"/>
          <w:szCs w:val="21"/>
        </w:rPr>
        <w:t xml:space="preserve">               </w:t>
      </w:r>
      <w:r>
        <w:rPr>
          <w:rFonts w:hint="eastAsia" w:ascii="Times New Roman" w:hAnsi="Times New Roman" w:eastAsia="仿宋_GB2312" w:cs="Times New Roman"/>
          <w:color w:val="000000"/>
          <w:kern w:val="0"/>
          <w:sz w:val="21"/>
          <w:szCs w:val="21"/>
          <w:lang w:val="en-US" w:eastAsia="zh-CN"/>
        </w:rPr>
        <w:t xml:space="preserve">   </w:t>
      </w:r>
      <w:r>
        <w:rPr>
          <w:rFonts w:hint="eastAsia" w:ascii="Times New Roman" w:hAnsi="Times New Roman" w:eastAsia="仿宋_GB2312" w:cs="Times New Roman"/>
          <w:color w:val="000000"/>
          <w:kern w:val="0"/>
          <w:sz w:val="21"/>
          <w:szCs w:val="21"/>
        </w:rPr>
        <w:t xml:space="preserve">    </w:t>
      </w:r>
      <w:r>
        <w:rPr>
          <w:rFonts w:ascii="Times New Roman" w:hAnsi="Times New Roman" w:eastAsia="仿宋_GB2312" w:cs="Times New Roman"/>
          <w:color w:val="000000"/>
          <w:kern w:val="0"/>
          <w:sz w:val="21"/>
          <w:szCs w:val="21"/>
        </w:rPr>
        <w:t xml:space="preserve">                                            </w:t>
      </w:r>
      <w:r>
        <w:rPr>
          <w:rFonts w:hint="eastAsia" w:ascii="Times New Roman" w:hAnsi="Times New Roman" w:eastAsia="仿宋_GB2312" w:cs="Times New Roman"/>
          <w:color w:val="000000"/>
          <w:kern w:val="0"/>
          <w:sz w:val="21"/>
          <w:szCs w:val="21"/>
          <w:lang w:val="en-US" w:eastAsia="zh-CN"/>
        </w:rPr>
        <w:t xml:space="preserve">        </w:t>
      </w:r>
      <w:r>
        <w:rPr>
          <w:rFonts w:ascii="Times New Roman" w:hAnsi="Times New Roman" w:eastAsia="仿宋_GB2312" w:cs="Times New Roman"/>
          <w:color w:val="000000"/>
          <w:kern w:val="0"/>
          <w:sz w:val="21"/>
          <w:szCs w:val="21"/>
        </w:rPr>
        <w:t xml:space="preserve">    公开05表</w:t>
      </w:r>
    </w:p>
    <w:p>
      <w:pPr>
        <w:widowControl/>
        <w:jc w:val="left"/>
        <w:rPr>
          <w:rFonts w:ascii="Times New Roman" w:hAnsi="Times New Roman" w:eastAsia="宋体" w:cs="Times New Roman"/>
          <w:color w:val="000000"/>
          <w:kern w:val="0"/>
          <w:sz w:val="21"/>
          <w:szCs w:val="21"/>
        </w:rPr>
      </w:pPr>
      <w:r>
        <w:rPr>
          <w:rFonts w:ascii="Times New Roman" w:hAnsi="Times New Roman" w:eastAsia="仿宋_GB2312" w:cs="Times New Roman"/>
          <w:color w:val="000000"/>
          <w:kern w:val="0"/>
          <w:sz w:val="21"/>
          <w:szCs w:val="21"/>
        </w:rPr>
        <w:t xml:space="preserve">                                                                                                                     </w:t>
      </w:r>
      <w:r>
        <w:rPr>
          <w:rFonts w:hint="eastAsia" w:ascii="Times New Roman" w:hAnsi="Times New Roman" w:eastAsia="仿宋_GB2312" w:cs="Times New Roman"/>
          <w:color w:val="000000"/>
          <w:kern w:val="0"/>
          <w:sz w:val="21"/>
          <w:szCs w:val="21"/>
        </w:rPr>
        <w:t xml:space="preserve">      </w:t>
      </w:r>
      <w:r>
        <w:rPr>
          <w:rFonts w:ascii="Times New Roman" w:hAnsi="Times New Roman" w:eastAsia="仿宋_GB2312" w:cs="Times New Roman"/>
          <w:color w:val="000000"/>
          <w:kern w:val="0"/>
          <w:sz w:val="21"/>
          <w:szCs w:val="21"/>
        </w:rPr>
        <w:t xml:space="preserve">       单位：万元</w:t>
      </w:r>
    </w:p>
    <w:tbl>
      <w:tblPr>
        <w:tblStyle w:val="9"/>
        <w:tblW w:w="14820" w:type="dxa"/>
        <w:jc w:val="center"/>
        <w:tblLayout w:type="autofit"/>
        <w:tblCellMar>
          <w:top w:w="0" w:type="dxa"/>
          <w:left w:w="108" w:type="dxa"/>
          <w:bottom w:w="0" w:type="dxa"/>
          <w:right w:w="108" w:type="dxa"/>
        </w:tblCellMar>
      </w:tblPr>
      <w:tblGrid>
        <w:gridCol w:w="290"/>
        <w:gridCol w:w="636"/>
        <w:gridCol w:w="238"/>
        <w:gridCol w:w="87"/>
        <w:gridCol w:w="208"/>
        <w:gridCol w:w="993"/>
        <w:gridCol w:w="1879"/>
        <w:gridCol w:w="72"/>
        <w:gridCol w:w="700"/>
        <w:gridCol w:w="1124"/>
        <w:gridCol w:w="113"/>
        <w:gridCol w:w="170"/>
        <w:gridCol w:w="1428"/>
        <w:gridCol w:w="401"/>
        <w:gridCol w:w="117"/>
        <w:gridCol w:w="554"/>
        <w:gridCol w:w="1125"/>
        <w:gridCol w:w="341"/>
        <w:gridCol w:w="963"/>
        <w:gridCol w:w="1065"/>
        <w:gridCol w:w="1645"/>
        <w:gridCol w:w="348"/>
        <w:gridCol w:w="60"/>
        <w:gridCol w:w="263"/>
      </w:tblGrid>
      <w:tr>
        <w:tblPrEx>
          <w:tblCellMar>
            <w:top w:w="0" w:type="dxa"/>
            <w:left w:w="108" w:type="dxa"/>
            <w:bottom w:w="0" w:type="dxa"/>
            <w:right w:w="108" w:type="dxa"/>
          </w:tblCellMar>
        </w:tblPrEx>
        <w:trPr>
          <w:gridBefore w:val="1"/>
          <w:gridAfter w:val="2"/>
          <w:wBefore w:w="300" w:type="dxa"/>
          <w:wAfter w:w="301" w:type="dxa"/>
          <w:trHeight w:val="405" w:hRule="atLeast"/>
          <w:jc w:val="center"/>
        </w:trPr>
        <w:tc>
          <w:tcPr>
            <w:tcW w:w="6073" w:type="dxa"/>
            <w:gridSpan w:val="10"/>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 xml:space="preserve">项 </w:t>
            </w:r>
            <w:r>
              <w:rPr>
                <w:rFonts w:ascii="Times New Roman" w:hAnsi="Times New Roman" w:eastAsia="仿宋_GB2312" w:cs="Times New Roman"/>
                <w:b/>
                <w:color w:val="000000"/>
                <w:kern w:val="0"/>
                <w:sz w:val="21"/>
                <w:szCs w:val="21"/>
              </w:rPr>
              <w:t xml:space="preserve">   </w:t>
            </w:r>
            <w:r>
              <w:rPr>
                <w:rFonts w:ascii="Times New Roman" w:hAnsi="Times New Roman" w:eastAsia="仿宋_GB2312" w:cs="Times New Roman"/>
                <w:b/>
                <w:kern w:val="0"/>
                <w:sz w:val="21"/>
                <w:szCs w:val="21"/>
              </w:rPr>
              <w:t>目</w:t>
            </w:r>
          </w:p>
        </w:tc>
        <w:tc>
          <w:tcPr>
            <w:tcW w:w="8146" w:type="dxa"/>
            <w:gridSpan w:val="11"/>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本年支出</w:t>
            </w:r>
          </w:p>
        </w:tc>
      </w:tr>
      <w:tr>
        <w:tblPrEx>
          <w:tblCellMar>
            <w:top w:w="0" w:type="dxa"/>
            <w:left w:w="108" w:type="dxa"/>
            <w:bottom w:w="0" w:type="dxa"/>
            <w:right w:w="108" w:type="dxa"/>
          </w:tblCellMar>
        </w:tblPrEx>
        <w:trPr>
          <w:gridBefore w:val="1"/>
          <w:gridAfter w:val="2"/>
          <w:wBefore w:w="300" w:type="dxa"/>
          <w:wAfter w:w="301" w:type="dxa"/>
          <w:trHeight w:val="495" w:hRule="atLeast"/>
          <w:jc w:val="center"/>
        </w:trPr>
        <w:tc>
          <w:tcPr>
            <w:tcW w:w="1200" w:type="dxa"/>
            <w:gridSpan w:val="4"/>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功能分类科目编码</w:t>
            </w:r>
          </w:p>
        </w:tc>
        <w:tc>
          <w:tcPr>
            <w:tcW w:w="4873" w:type="dxa"/>
            <w:gridSpan w:val="6"/>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科目名称</w:t>
            </w:r>
          </w:p>
        </w:tc>
        <w:tc>
          <w:tcPr>
            <w:tcW w:w="1654"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小计</w:t>
            </w:r>
          </w:p>
        </w:tc>
        <w:tc>
          <w:tcPr>
            <w:tcW w:w="3492" w:type="dxa"/>
            <w:gridSpan w:val="6"/>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基本支出</w:t>
            </w:r>
          </w:p>
        </w:tc>
        <w:tc>
          <w:tcPr>
            <w:tcW w:w="3000" w:type="dxa"/>
            <w:gridSpan w:val="3"/>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 w:val="21"/>
                <w:szCs w:val="21"/>
              </w:rPr>
            </w:pPr>
            <w:r>
              <w:rPr>
                <w:rFonts w:ascii="Times New Roman" w:hAnsi="Times New Roman" w:eastAsia="仿宋_GB2312" w:cs="Times New Roman"/>
                <w:b/>
                <w:kern w:val="0"/>
                <w:sz w:val="21"/>
                <w:szCs w:val="21"/>
              </w:rPr>
              <w:t>项目支出</w:t>
            </w:r>
          </w:p>
        </w:tc>
      </w:tr>
      <w:tr>
        <w:tblPrEx>
          <w:tblCellMar>
            <w:top w:w="0" w:type="dxa"/>
            <w:left w:w="108" w:type="dxa"/>
            <w:bottom w:w="0" w:type="dxa"/>
            <w:right w:w="108" w:type="dxa"/>
          </w:tblCellMar>
        </w:tblPrEx>
        <w:trPr>
          <w:gridBefore w:val="1"/>
          <w:gridAfter w:val="2"/>
          <w:wBefore w:w="300" w:type="dxa"/>
          <w:wAfter w:w="301" w:type="dxa"/>
          <w:trHeight w:val="360" w:hRule="atLeast"/>
          <w:jc w:val="center"/>
        </w:trPr>
        <w:tc>
          <w:tcPr>
            <w:tcW w:w="1200" w:type="dxa"/>
            <w:gridSpan w:val="4"/>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4873" w:type="dxa"/>
            <w:gridSpan w:val="6"/>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1654"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3492" w:type="dxa"/>
            <w:gridSpan w:val="6"/>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3000" w:type="dxa"/>
            <w:gridSpan w:val="3"/>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 w:val="21"/>
                <w:szCs w:val="21"/>
              </w:rPr>
            </w:pPr>
          </w:p>
        </w:tc>
      </w:tr>
      <w:tr>
        <w:tblPrEx>
          <w:tblCellMar>
            <w:top w:w="0" w:type="dxa"/>
            <w:left w:w="108" w:type="dxa"/>
            <w:bottom w:w="0" w:type="dxa"/>
            <w:right w:w="108" w:type="dxa"/>
          </w:tblCellMar>
        </w:tblPrEx>
        <w:trPr>
          <w:gridBefore w:val="1"/>
          <w:gridAfter w:val="2"/>
          <w:wBefore w:w="300" w:type="dxa"/>
          <w:wAfter w:w="301" w:type="dxa"/>
          <w:trHeight w:val="312" w:hRule="atLeast"/>
          <w:jc w:val="center"/>
        </w:trPr>
        <w:tc>
          <w:tcPr>
            <w:tcW w:w="1200" w:type="dxa"/>
            <w:gridSpan w:val="4"/>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4873" w:type="dxa"/>
            <w:gridSpan w:val="6"/>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1654"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3492" w:type="dxa"/>
            <w:gridSpan w:val="6"/>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 w:val="21"/>
                <w:szCs w:val="21"/>
              </w:rPr>
            </w:pPr>
          </w:p>
        </w:tc>
        <w:tc>
          <w:tcPr>
            <w:tcW w:w="3000" w:type="dxa"/>
            <w:gridSpan w:val="3"/>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 w:val="21"/>
                <w:szCs w:val="21"/>
              </w:rPr>
            </w:pPr>
          </w:p>
        </w:tc>
      </w:tr>
      <w:tr>
        <w:tblPrEx>
          <w:tblCellMar>
            <w:top w:w="0" w:type="dxa"/>
            <w:left w:w="108" w:type="dxa"/>
            <w:bottom w:w="0" w:type="dxa"/>
            <w:right w:w="108" w:type="dxa"/>
          </w:tblCellMar>
        </w:tblPrEx>
        <w:trPr>
          <w:gridBefore w:val="1"/>
          <w:gridAfter w:val="2"/>
          <w:wBefore w:w="300" w:type="dxa"/>
          <w:wAfter w:w="301" w:type="dxa"/>
          <w:trHeight w:val="450" w:hRule="atLeast"/>
          <w:jc w:val="center"/>
        </w:trPr>
        <w:tc>
          <w:tcPr>
            <w:tcW w:w="6073" w:type="dxa"/>
            <w:gridSpan w:val="10"/>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栏次</w:t>
            </w:r>
          </w:p>
        </w:tc>
        <w:tc>
          <w:tcPr>
            <w:tcW w:w="1654" w:type="dxa"/>
            <w:gridSpan w:val="2"/>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1</w:t>
            </w:r>
          </w:p>
        </w:tc>
        <w:tc>
          <w:tcPr>
            <w:tcW w:w="3492" w:type="dxa"/>
            <w:gridSpan w:val="6"/>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2</w:t>
            </w:r>
          </w:p>
        </w:tc>
        <w:tc>
          <w:tcPr>
            <w:tcW w:w="3000" w:type="dxa"/>
            <w:gridSpan w:val="3"/>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3</w:t>
            </w:r>
          </w:p>
        </w:tc>
      </w:tr>
      <w:tr>
        <w:tblPrEx>
          <w:tblCellMar>
            <w:top w:w="0" w:type="dxa"/>
            <w:left w:w="108" w:type="dxa"/>
            <w:bottom w:w="0" w:type="dxa"/>
            <w:right w:w="108" w:type="dxa"/>
          </w:tblCellMar>
        </w:tblPrEx>
        <w:trPr>
          <w:gridBefore w:val="1"/>
          <w:gridAfter w:val="2"/>
          <w:wBefore w:w="300" w:type="dxa"/>
          <w:wAfter w:w="301" w:type="dxa"/>
          <w:trHeight w:val="450" w:hRule="atLeast"/>
          <w:jc w:val="center"/>
        </w:trPr>
        <w:tc>
          <w:tcPr>
            <w:tcW w:w="6073" w:type="dxa"/>
            <w:gridSpan w:val="10"/>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合计</w:t>
            </w:r>
          </w:p>
        </w:tc>
        <w:tc>
          <w:tcPr>
            <w:tcW w:w="1654"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b/>
                <w:bCs/>
                <w:i w:val="0"/>
                <w:iCs w:val="0"/>
                <w:color w:val="000000"/>
                <w:kern w:val="0"/>
                <w:sz w:val="22"/>
                <w:szCs w:val="22"/>
                <w:u w:val="none"/>
                <w:lang w:val="en-US" w:eastAsia="zh-CN" w:bidi="ar"/>
              </w:rPr>
              <w:t>661.98</w:t>
            </w:r>
          </w:p>
        </w:tc>
        <w:tc>
          <w:tcPr>
            <w:tcW w:w="3492"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b/>
                <w:bCs/>
                <w:i w:val="0"/>
                <w:iCs w:val="0"/>
                <w:color w:val="000000"/>
                <w:kern w:val="0"/>
                <w:sz w:val="22"/>
                <w:szCs w:val="22"/>
                <w:u w:val="none"/>
                <w:lang w:val="en-US" w:eastAsia="zh-CN" w:bidi="ar"/>
              </w:rPr>
              <w:t>241.10</w:t>
            </w:r>
          </w:p>
        </w:tc>
        <w:tc>
          <w:tcPr>
            <w:tcW w:w="3000"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b/>
                <w:bCs/>
                <w:i w:val="0"/>
                <w:iCs w:val="0"/>
                <w:color w:val="000000"/>
                <w:kern w:val="0"/>
                <w:sz w:val="22"/>
                <w:szCs w:val="22"/>
                <w:u w:val="none"/>
                <w:lang w:val="en-US" w:eastAsia="zh-CN" w:bidi="ar"/>
              </w:rPr>
              <w:t>420.88</w:t>
            </w:r>
          </w:p>
        </w:tc>
      </w:tr>
      <w:tr>
        <w:tblPrEx>
          <w:tblCellMar>
            <w:top w:w="0" w:type="dxa"/>
            <w:left w:w="108" w:type="dxa"/>
            <w:bottom w:w="0" w:type="dxa"/>
            <w:right w:w="108" w:type="dxa"/>
          </w:tblCellMar>
        </w:tblPrEx>
        <w:trPr>
          <w:gridBefore w:val="1"/>
          <w:gridAfter w:val="2"/>
          <w:wBefore w:w="300" w:type="dxa"/>
          <w:wAfter w:w="301" w:type="dxa"/>
          <w:trHeight w:val="450"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2010399</w:t>
            </w:r>
          </w:p>
        </w:tc>
        <w:tc>
          <w:tcPr>
            <w:tcW w:w="4873"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654"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296.06</w:t>
            </w:r>
          </w:p>
        </w:tc>
        <w:tc>
          <w:tcPr>
            <w:tcW w:w="3492"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296.06</w:t>
            </w:r>
          </w:p>
        </w:tc>
      </w:tr>
      <w:tr>
        <w:tblPrEx>
          <w:tblCellMar>
            <w:top w:w="0" w:type="dxa"/>
            <w:left w:w="108" w:type="dxa"/>
            <w:bottom w:w="0" w:type="dxa"/>
            <w:right w:w="108" w:type="dxa"/>
          </w:tblCellMar>
        </w:tblPrEx>
        <w:trPr>
          <w:gridBefore w:val="1"/>
          <w:gridAfter w:val="2"/>
          <w:wBefore w:w="300" w:type="dxa"/>
          <w:wAfter w:w="301" w:type="dxa"/>
          <w:trHeight w:val="450"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2080505</w:t>
            </w:r>
          </w:p>
        </w:tc>
        <w:tc>
          <w:tcPr>
            <w:tcW w:w="4873"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654"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21.25</w:t>
            </w:r>
          </w:p>
        </w:tc>
        <w:tc>
          <w:tcPr>
            <w:tcW w:w="3492"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21.25</w:t>
            </w:r>
          </w:p>
        </w:tc>
        <w:tc>
          <w:tcPr>
            <w:tcW w:w="3000"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Before w:val="1"/>
          <w:gridAfter w:val="2"/>
          <w:wBefore w:w="300" w:type="dxa"/>
          <w:wAfter w:w="301" w:type="dxa"/>
          <w:trHeight w:val="450"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2010302</w:t>
            </w:r>
          </w:p>
        </w:tc>
        <w:tc>
          <w:tcPr>
            <w:tcW w:w="4873"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一般行政管理事务</w:t>
            </w:r>
          </w:p>
        </w:tc>
        <w:tc>
          <w:tcPr>
            <w:tcW w:w="1654"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21.50</w:t>
            </w:r>
          </w:p>
        </w:tc>
        <w:tc>
          <w:tcPr>
            <w:tcW w:w="3492"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21.50</w:t>
            </w:r>
          </w:p>
        </w:tc>
      </w:tr>
      <w:tr>
        <w:tblPrEx>
          <w:tblCellMar>
            <w:top w:w="0" w:type="dxa"/>
            <w:left w:w="108" w:type="dxa"/>
            <w:bottom w:w="0" w:type="dxa"/>
            <w:right w:w="108" w:type="dxa"/>
          </w:tblCellMar>
        </w:tblPrEx>
        <w:trPr>
          <w:gridBefore w:val="1"/>
          <w:gridAfter w:val="2"/>
          <w:wBefore w:w="300" w:type="dxa"/>
          <w:wAfter w:w="301" w:type="dxa"/>
          <w:trHeight w:val="450"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2210201</w:t>
            </w:r>
          </w:p>
        </w:tc>
        <w:tc>
          <w:tcPr>
            <w:tcW w:w="4873"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1654"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18.23</w:t>
            </w:r>
          </w:p>
        </w:tc>
        <w:tc>
          <w:tcPr>
            <w:tcW w:w="3492"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18.23</w:t>
            </w:r>
          </w:p>
        </w:tc>
        <w:tc>
          <w:tcPr>
            <w:tcW w:w="3000"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Before w:val="1"/>
          <w:gridAfter w:val="2"/>
          <w:wBefore w:w="300" w:type="dxa"/>
          <w:wAfter w:w="301" w:type="dxa"/>
          <w:trHeight w:val="450"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2010301</w:t>
            </w:r>
          </w:p>
        </w:tc>
        <w:tc>
          <w:tcPr>
            <w:tcW w:w="4873"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行政运行</w:t>
            </w:r>
          </w:p>
        </w:tc>
        <w:tc>
          <w:tcPr>
            <w:tcW w:w="1654"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290.56</w:t>
            </w:r>
          </w:p>
        </w:tc>
        <w:tc>
          <w:tcPr>
            <w:tcW w:w="3492"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189.34</w:t>
            </w:r>
          </w:p>
        </w:tc>
        <w:tc>
          <w:tcPr>
            <w:tcW w:w="3000"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101.22</w:t>
            </w:r>
          </w:p>
        </w:tc>
      </w:tr>
      <w:tr>
        <w:tblPrEx>
          <w:tblCellMar>
            <w:top w:w="0" w:type="dxa"/>
            <w:left w:w="108" w:type="dxa"/>
            <w:bottom w:w="0" w:type="dxa"/>
            <w:right w:w="108" w:type="dxa"/>
          </w:tblCellMar>
        </w:tblPrEx>
        <w:trPr>
          <w:gridBefore w:val="1"/>
          <w:gridAfter w:val="2"/>
          <w:wBefore w:w="300" w:type="dxa"/>
          <w:wAfter w:w="301" w:type="dxa"/>
          <w:trHeight w:val="450"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2010306</w:t>
            </w:r>
          </w:p>
        </w:tc>
        <w:tc>
          <w:tcPr>
            <w:tcW w:w="4873"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政务公开审批</w:t>
            </w:r>
          </w:p>
        </w:tc>
        <w:tc>
          <w:tcPr>
            <w:tcW w:w="1654"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2.10</w:t>
            </w:r>
          </w:p>
        </w:tc>
        <w:tc>
          <w:tcPr>
            <w:tcW w:w="3492"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2.10</w:t>
            </w:r>
          </w:p>
        </w:tc>
      </w:tr>
      <w:tr>
        <w:tblPrEx>
          <w:tblCellMar>
            <w:top w:w="0" w:type="dxa"/>
            <w:left w:w="108" w:type="dxa"/>
            <w:bottom w:w="0" w:type="dxa"/>
            <w:right w:w="108" w:type="dxa"/>
          </w:tblCellMar>
        </w:tblPrEx>
        <w:trPr>
          <w:gridBefore w:val="1"/>
          <w:gridAfter w:val="2"/>
          <w:wBefore w:w="300" w:type="dxa"/>
          <w:wAfter w:w="301" w:type="dxa"/>
          <w:trHeight w:val="450"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2101101</w:t>
            </w:r>
          </w:p>
        </w:tc>
        <w:tc>
          <w:tcPr>
            <w:tcW w:w="4873"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行政单位医疗</w:t>
            </w:r>
          </w:p>
        </w:tc>
        <w:tc>
          <w:tcPr>
            <w:tcW w:w="1654"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12.27</w:t>
            </w:r>
          </w:p>
        </w:tc>
        <w:tc>
          <w:tcPr>
            <w:tcW w:w="3492"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12.27</w:t>
            </w:r>
          </w:p>
        </w:tc>
        <w:tc>
          <w:tcPr>
            <w:tcW w:w="3000"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Before w:val="1"/>
          <w:gridAfter w:val="2"/>
          <w:wBefore w:w="300" w:type="dxa"/>
          <w:wAfter w:w="301" w:type="dxa"/>
          <w:trHeight w:val="450"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2010399</w:t>
            </w:r>
          </w:p>
        </w:tc>
        <w:tc>
          <w:tcPr>
            <w:tcW w:w="4873"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654"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b/>
                <w:bCs/>
                <w:i w:val="0"/>
                <w:iCs w:val="0"/>
                <w:color w:val="000000"/>
                <w:kern w:val="0"/>
                <w:sz w:val="22"/>
                <w:szCs w:val="22"/>
                <w:u w:val="none"/>
                <w:lang w:val="en-US" w:eastAsia="zh-CN" w:bidi="ar"/>
              </w:rPr>
              <w:t>661.98</w:t>
            </w:r>
          </w:p>
        </w:tc>
        <w:tc>
          <w:tcPr>
            <w:tcW w:w="3492"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b/>
                <w:bCs/>
                <w:i w:val="0"/>
                <w:iCs w:val="0"/>
                <w:color w:val="000000"/>
                <w:kern w:val="0"/>
                <w:sz w:val="22"/>
                <w:szCs w:val="22"/>
                <w:u w:val="none"/>
                <w:lang w:val="en-US" w:eastAsia="zh-CN" w:bidi="ar"/>
              </w:rPr>
              <w:t>241.10</w:t>
            </w:r>
          </w:p>
        </w:tc>
        <w:tc>
          <w:tcPr>
            <w:tcW w:w="3000"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b/>
                <w:bCs/>
                <w:i w:val="0"/>
                <w:iCs w:val="0"/>
                <w:color w:val="000000"/>
                <w:kern w:val="0"/>
                <w:sz w:val="22"/>
                <w:szCs w:val="22"/>
                <w:u w:val="none"/>
                <w:lang w:val="en-US" w:eastAsia="zh-CN" w:bidi="ar"/>
              </w:rPr>
              <w:t>420.88</w:t>
            </w:r>
          </w:p>
        </w:tc>
      </w:tr>
      <w:tr>
        <w:tblPrEx>
          <w:tblCellMar>
            <w:top w:w="0" w:type="dxa"/>
            <w:left w:w="108" w:type="dxa"/>
            <w:bottom w:w="0" w:type="dxa"/>
            <w:right w:w="108" w:type="dxa"/>
          </w:tblCellMar>
        </w:tblPrEx>
        <w:trPr>
          <w:gridBefore w:val="1"/>
          <w:gridAfter w:val="2"/>
          <w:wBefore w:w="300" w:type="dxa"/>
          <w:wAfter w:w="301" w:type="dxa"/>
          <w:trHeight w:val="450" w:hRule="atLeast"/>
          <w:jc w:val="center"/>
        </w:trPr>
        <w:tc>
          <w:tcPr>
            <w:tcW w:w="1200" w:type="dxa"/>
            <w:gridSpan w:val="4"/>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2080505</w:t>
            </w:r>
          </w:p>
        </w:tc>
        <w:tc>
          <w:tcPr>
            <w:tcW w:w="4873"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654"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296.06</w:t>
            </w:r>
          </w:p>
        </w:tc>
        <w:tc>
          <w:tcPr>
            <w:tcW w:w="3492" w:type="dxa"/>
            <w:gridSpan w:val="6"/>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0.00</w:t>
            </w:r>
          </w:p>
        </w:tc>
        <w:tc>
          <w:tcPr>
            <w:tcW w:w="3000" w:type="dxa"/>
            <w:gridSpan w:val="3"/>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 w:val="21"/>
                <w:szCs w:val="21"/>
              </w:rPr>
            </w:pPr>
            <w:r>
              <w:rPr>
                <w:rFonts w:hint="eastAsia" w:ascii="宋体" w:hAnsi="宋体" w:eastAsia="宋体" w:cs="宋体"/>
                <w:i w:val="0"/>
                <w:iCs w:val="0"/>
                <w:color w:val="000000"/>
                <w:kern w:val="0"/>
                <w:sz w:val="22"/>
                <w:szCs w:val="22"/>
                <w:u w:val="none"/>
                <w:lang w:val="en-US" w:eastAsia="zh-CN" w:bidi="ar"/>
              </w:rPr>
              <w:t>296.06</w:t>
            </w:r>
          </w:p>
        </w:tc>
      </w:tr>
      <w:tr>
        <w:tblPrEx>
          <w:tblCellMar>
            <w:top w:w="0" w:type="dxa"/>
            <w:left w:w="108" w:type="dxa"/>
            <w:bottom w:w="0" w:type="dxa"/>
            <w:right w:w="108" w:type="dxa"/>
          </w:tblCellMar>
        </w:tblPrEx>
        <w:trPr>
          <w:gridBefore w:val="1"/>
          <w:gridAfter w:val="2"/>
          <w:wBefore w:w="300" w:type="dxa"/>
          <w:wAfter w:w="301" w:type="dxa"/>
          <w:trHeight w:val="645" w:hRule="atLeast"/>
          <w:jc w:val="center"/>
        </w:trPr>
        <w:tc>
          <w:tcPr>
            <w:tcW w:w="14219" w:type="dxa"/>
            <w:gridSpan w:val="21"/>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注：本表反映部门本年度一般公共预算财政拨款支出情况。</w:t>
            </w:r>
          </w:p>
        </w:tc>
      </w:tr>
      <w:tr>
        <w:tblPrEx>
          <w:tblCellMar>
            <w:top w:w="0" w:type="dxa"/>
            <w:left w:w="108" w:type="dxa"/>
            <w:bottom w:w="0" w:type="dxa"/>
            <w:right w:w="108" w:type="dxa"/>
          </w:tblCellMar>
        </w:tblPrEx>
        <w:trPr>
          <w:trHeight w:val="113" w:hRule="atLeast"/>
          <w:jc w:val="center"/>
        </w:trPr>
        <w:tc>
          <w:tcPr>
            <w:tcW w:w="14820" w:type="dxa"/>
            <w:gridSpan w:val="24"/>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hint="eastAsia" w:ascii="宋体" w:hAnsi="宋体" w:eastAsia="宋体" w:cs="宋体"/>
                <w:i w:val="0"/>
                <w:color w:val="000000"/>
                <w:kern w:val="0"/>
                <w:sz w:val="21"/>
                <w:szCs w:val="21"/>
                <w:u w:val="none"/>
                <w:lang w:val="en-US" w:eastAsia="zh-CN" w:bidi="ar"/>
              </w:rPr>
              <w:t>湘潭县行政审批服务局</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hint="eastAsia" w:ascii="Times New Roman" w:hAnsi="Times New Roman" w:eastAsia="仿宋_GB2312" w:cs="Times New Roman"/>
                <w:color w:val="000000"/>
                <w:kern w:val="0"/>
                <w:szCs w:val="21"/>
              </w:rPr>
              <w:t xml:space="preserve">公开06表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jc w:val="center"/>
        </w:trPr>
        <w:tc>
          <w:tcPr>
            <w:tcW w:w="128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18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2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6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89"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21"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969" w:type="dxa"/>
            <w:gridSpan w:val="4"/>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24"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210.63</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29.47</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77.47</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6.58</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23.23</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35.61</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8.64</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12.65</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21.25</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0.03</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12.27</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1.26</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2.08</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18.23</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1.83</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0.12</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1.00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0.18</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0.34</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1.00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1.50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2.83</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1.35</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9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pPr>
              <w:widowControl/>
              <w:jc w:val="left"/>
              <w:rPr>
                <w:rFonts w:ascii="宋体" w:hAnsi="宋体" w:eastAsia="宋体" w:cs="宋体"/>
                <w:color w:val="000000"/>
                <w:kern w:val="0"/>
                <w:szCs w:val="20"/>
              </w:rPr>
            </w:pP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12.62</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24"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 w:val="21"/>
                <w:szCs w:val="21"/>
              </w:rPr>
            </w:pPr>
          </w:p>
        </w:tc>
      </w:tr>
      <w:tr>
        <w:tblPrEx>
          <w:tblCellMar>
            <w:top w:w="0" w:type="dxa"/>
            <w:left w:w="108" w:type="dxa"/>
            <w:bottom w:w="0" w:type="dxa"/>
            <w:right w:w="108" w:type="dxa"/>
          </w:tblCellMar>
        </w:tblPrEx>
        <w:trPr>
          <w:trHeight w:val="284" w:hRule="exact"/>
          <w:jc w:val="center"/>
        </w:trPr>
        <w:tc>
          <w:tcPr>
            <w:tcW w:w="1285" w:type="dxa"/>
            <w:gridSpan w:val="4"/>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18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21" w:type="dxa"/>
            <w:gridSpan w:val="2"/>
            <w:tcBorders>
              <w:top w:val="nil"/>
              <w:left w:val="nil"/>
              <w:bottom w:val="single" w:color="auto" w:sz="4" w:space="0"/>
              <w:right w:val="single" w:color="auto" w:sz="4" w:space="0"/>
            </w:tcBorders>
            <w:shd w:val="clear" w:color="auto" w:fill="auto"/>
            <w:noWrap/>
            <w:vAlign w:val="center"/>
          </w:tcPr>
          <w:p>
            <w:pPr>
              <w:jc w:val="center"/>
              <w:rPr>
                <w:rFonts w:ascii="宋体" w:hAnsi="宋体" w:eastAsia="宋体" w:cs="宋体"/>
                <w:color w:val="000000"/>
                <w:kern w:val="0"/>
                <w:sz w:val="21"/>
                <w:szCs w:val="21"/>
              </w:rPr>
            </w:pPr>
          </w:p>
        </w:tc>
        <w:tc>
          <w:tcPr>
            <w:tcW w:w="116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18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0.00</w:t>
            </w:r>
          </w:p>
        </w:tc>
        <w:tc>
          <w:tcPr>
            <w:tcW w:w="116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69" w:type="dxa"/>
            <w:gridSpan w:val="4"/>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24" w:type="dxa"/>
            <w:gridSpan w:val="3"/>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 w:val="21"/>
                <w:szCs w:val="21"/>
              </w:rPr>
            </w:pPr>
          </w:p>
        </w:tc>
      </w:tr>
      <w:tr>
        <w:tblPrEx>
          <w:tblCellMar>
            <w:top w:w="0" w:type="dxa"/>
            <w:left w:w="108" w:type="dxa"/>
            <w:bottom w:w="0" w:type="dxa"/>
            <w:right w:w="108" w:type="dxa"/>
          </w:tblCellMar>
        </w:tblPrEx>
        <w:trPr>
          <w:trHeight w:val="284" w:hRule="exact"/>
          <w:jc w:val="center"/>
        </w:trPr>
        <w:tc>
          <w:tcPr>
            <w:tcW w:w="4473"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621"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211.63</w:t>
            </w:r>
          </w:p>
        </w:tc>
        <w:tc>
          <w:tcPr>
            <w:tcW w:w="9102" w:type="dxa"/>
            <w:gridSpan w:val="1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624"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 w:val="21"/>
                <w:szCs w:val="21"/>
              </w:rPr>
            </w:pPr>
            <w:r>
              <w:rPr>
                <w:rFonts w:hint="eastAsia" w:ascii="宋体" w:hAnsi="宋体" w:eastAsia="宋体" w:cs="宋体"/>
                <w:i w:val="0"/>
                <w:iCs w:val="0"/>
                <w:color w:val="000000"/>
                <w:kern w:val="0"/>
                <w:sz w:val="21"/>
                <w:szCs w:val="21"/>
                <w:u w:val="none"/>
                <w:lang w:val="en-US" w:eastAsia="zh-CN" w:bidi="ar"/>
              </w:rPr>
              <w:t>29.47</w:t>
            </w:r>
          </w:p>
        </w:tc>
      </w:tr>
      <w:tr>
        <w:tblPrEx>
          <w:tblCellMar>
            <w:top w:w="0" w:type="dxa"/>
            <w:left w:w="108" w:type="dxa"/>
            <w:bottom w:w="0" w:type="dxa"/>
            <w:right w:w="108" w:type="dxa"/>
          </w:tblCellMar>
        </w:tblPrEx>
        <w:trPr>
          <w:trHeight w:val="284" w:hRule="exact"/>
          <w:jc w:val="center"/>
        </w:trPr>
        <w:tc>
          <w:tcPr>
            <w:tcW w:w="14820" w:type="dxa"/>
            <w:gridSpan w:val="24"/>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690" w:hRule="atLeast"/>
          <w:jc w:val="center"/>
        </w:trPr>
        <w:tc>
          <w:tcPr>
            <w:tcW w:w="14575" w:type="dxa"/>
            <w:gridSpan w:val="23"/>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345" w:hRule="atLeast"/>
          <w:jc w:val="center"/>
        </w:trPr>
        <w:tc>
          <w:tcPr>
            <w:tcW w:w="956"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239"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1331" w:type="dxa"/>
            <w:gridSpan w:val="3"/>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2005"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17" w:type="dxa"/>
            <w:gridSpan w:val="4"/>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04"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14"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04"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05" w:type="dxa"/>
            <w:gridSpan w:val="3"/>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408" w:hRule="atLeast"/>
          <w:jc w:val="center"/>
        </w:trPr>
        <w:tc>
          <w:tcPr>
            <w:tcW w:w="956" w:type="dxa"/>
            <w:gridSpan w:val="2"/>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部门：</w:t>
            </w:r>
          </w:p>
        </w:tc>
        <w:tc>
          <w:tcPr>
            <w:tcW w:w="239"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1331" w:type="dxa"/>
            <w:gridSpan w:val="3"/>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湘潭县行政</w:t>
            </w:r>
          </w:p>
        </w:tc>
        <w:tc>
          <w:tcPr>
            <w:tcW w:w="2005" w:type="dxa"/>
            <w:gridSpan w:val="2"/>
            <w:tcBorders>
              <w:top w:val="nil"/>
              <w:left w:val="nil"/>
              <w:bottom w:val="nil"/>
              <w:right w:val="nil"/>
            </w:tcBorders>
            <w:shd w:val="clear" w:color="auto" w:fill="FFFFFF"/>
            <w:vAlign w:val="center"/>
          </w:tcPr>
          <w:p>
            <w:pPr>
              <w:jc w:val="left"/>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审批服务局</w:t>
            </w:r>
          </w:p>
        </w:tc>
        <w:tc>
          <w:tcPr>
            <w:tcW w:w="2017" w:type="dxa"/>
            <w:gridSpan w:val="4"/>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04"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14"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04"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2005" w:type="dxa"/>
            <w:gridSpan w:val="3"/>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459" w:hRule="atLeast"/>
          <w:jc w:val="center"/>
        </w:trPr>
        <w:tc>
          <w:tcPr>
            <w:tcW w:w="252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项 </w:t>
            </w:r>
            <w:r>
              <w:rPr>
                <w:rStyle w:val="16"/>
                <w:sz w:val="21"/>
                <w:szCs w:val="21"/>
                <w:lang w:val="en-US" w:eastAsia="zh-CN" w:bidi="ar"/>
              </w:rPr>
              <w:t xml:space="preserve">   </w:t>
            </w:r>
            <w:r>
              <w:rPr>
                <w:rStyle w:val="17"/>
                <w:sz w:val="21"/>
                <w:szCs w:val="21"/>
                <w:lang w:val="en-US" w:eastAsia="zh-CN" w:bidi="ar"/>
              </w:rPr>
              <w:t>目</w:t>
            </w:r>
          </w:p>
        </w:tc>
        <w:tc>
          <w:tcPr>
            <w:tcW w:w="200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年初结转和结余</w:t>
            </w:r>
          </w:p>
        </w:tc>
        <w:tc>
          <w:tcPr>
            <w:tcW w:w="2017"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本年收入</w:t>
            </w:r>
          </w:p>
        </w:tc>
        <w:tc>
          <w:tcPr>
            <w:tcW w:w="602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本年支出</w:t>
            </w:r>
          </w:p>
        </w:tc>
        <w:tc>
          <w:tcPr>
            <w:tcW w:w="200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609" w:hRule="atLeast"/>
          <w:jc w:val="center"/>
        </w:trPr>
        <w:tc>
          <w:tcPr>
            <w:tcW w:w="119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科目代码</w:t>
            </w:r>
          </w:p>
        </w:tc>
        <w:tc>
          <w:tcPr>
            <w:tcW w:w="133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科目名称</w:t>
            </w:r>
          </w:p>
        </w:tc>
        <w:tc>
          <w:tcPr>
            <w:tcW w:w="2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1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小计</w:t>
            </w:r>
          </w:p>
        </w:tc>
        <w:tc>
          <w:tcPr>
            <w:tcW w:w="201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基本支出  </w:t>
            </w:r>
          </w:p>
        </w:tc>
        <w:tc>
          <w:tcPr>
            <w:tcW w:w="200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项目支出</w:t>
            </w:r>
          </w:p>
        </w:tc>
        <w:tc>
          <w:tcPr>
            <w:tcW w:w="200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409" w:hRule="atLeast"/>
          <w:jc w:val="center"/>
        </w:trPr>
        <w:tc>
          <w:tcPr>
            <w:tcW w:w="119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33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1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509" w:hRule="atLeast"/>
          <w:jc w:val="center"/>
        </w:trPr>
        <w:tc>
          <w:tcPr>
            <w:tcW w:w="119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33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17"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509" w:hRule="atLeast"/>
          <w:jc w:val="center"/>
        </w:trPr>
        <w:tc>
          <w:tcPr>
            <w:tcW w:w="252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栏次</w:t>
            </w:r>
          </w:p>
        </w:tc>
        <w:tc>
          <w:tcPr>
            <w:tcW w:w="2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20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20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20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20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2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509" w:hRule="atLeast"/>
          <w:jc w:val="center"/>
        </w:trPr>
        <w:tc>
          <w:tcPr>
            <w:tcW w:w="252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2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lang w:eastAsia="zh-CN"/>
              </w:rPr>
            </w:pPr>
            <w:r>
              <w:rPr>
                <w:rFonts w:hint="eastAsia" w:ascii="宋体" w:hAnsi="宋体" w:eastAsia="宋体" w:cs="宋体"/>
                <w:i w:val="0"/>
                <w:color w:val="000000"/>
                <w:sz w:val="21"/>
                <w:szCs w:val="21"/>
                <w:u w:val="none"/>
                <w:lang w:eastAsia="zh-CN"/>
              </w:rPr>
              <w:t>无</w:t>
            </w:r>
          </w:p>
        </w:tc>
        <w:tc>
          <w:tcPr>
            <w:tcW w:w="20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509" w:hRule="atLeast"/>
          <w:jc w:val="center"/>
        </w:trPr>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509" w:hRule="atLeast"/>
          <w:jc w:val="center"/>
        </w:trPr>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509" w:hRule="atLeast"/>
          <w:jc w:val="center"/>
        </w:trPr>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509" w:hRule="atLeast"/>
          <w:jc w:val="center"/>
        </w:trPr>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509" w:hRule="atLeast"/>
          <w:jc w:val="center"/>
        </w:trPr>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509" w:hRule="atLeast"/>
          <w:jc w:val="center"/>
        </w:trPr>
        <w:tc>
          <w:tcPr>
            <w:tcW w:w="11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3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2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5" w:type="dxa"/>
          <w:trHeight w:val="725" w:hRule="atLeast"/>
          <w:jc w:val="center"/>
        </w:trPr>
        <w:tc>
          <w:tcPr>
            <w:tcW w:w="14575" w:type="dxa"/>
            <w:gridSpan w:val="23"/>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注：本表反映部门本年度政府性基金预算财政拨款收入、支出及结转和结余情况。</w:t>
            </w:r>
          </w:p>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楷体" w:hAnsi="楷体" w:eastAsia="楷体" w:cs="楷体"/>
                <w:b/>
                <w:bCs/>
                <w:i w:val="0"/>
                <w:color w:val="auto"/>
                <w:kern w:val="0"/>
                <w:sz w:val="21"/>
                <w:szCs w:val="21"/>
                <w:u w:val="none"/>
                <w:lang w:val="en-US" w:eastAsia="zh-CN" w:bidi="ar"/>
              </w:rPr>
              <w:t>说明：我单位没有政府性基金收入，也没有使用政府性基金安排的支出，故本表无数据。（当表格数据为空时，应有此说明）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46"/>
        <w:gridCol w:w="630"/>
        <w:gridCol w:w="2018"/>
        <w:gridCol w:w="2891"/>
        <w:gridCol w:w="2891"/>
        <w:gridCol w:w="37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部门：湘潭县行政审批服务局</w:t>
            </w: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1"/>
                <w:szCs w:val="21"/>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项    </w:t>
            </w:r>
            <w:r>
              <w:rPr>
                <w:rStyle w:val="18"/>
                <w:sz w:val="21"/>
                <w:szCs w:val="21"/>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lang w:eastAsia="zh-CN"/>
              </w:rPr>
            </w:pPr>
            <w:r>
              <w:rPr>
                <w:rFonts w:hint="eastAsia" w:ascii="宋体" w:hAnsi="宋体" w:eastAsia="宋体" w:cs="宋体"/>
                <w:i w:val="0"/>
                <w:color w:val="000000"/>
                <w:sz w:val="21"/>
                <w:szCs w:val="21"/>
                <w:u w:val="none"/>
                <w:lang w:eastAsia="zh-CN"/>
              </w:rPr>
              <w:t>无</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注：本表反映部门本年度国有资本经营预算财政拨款支出情况。</w:t>
            </w:r>
          </w:p>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楷体" w:hAnsi="楷体" w:eastAsia="楷体" w:cs="楷体"/>
                <w:b/>
                <w:bCs/>
                <w:i w:val="0"/>
                <w:color w:val="auto"/>
                <w:kern w:val="0"/>
                <w:sz w:val="21"/>
                <w:szCs w:val="21"/>
                <w:u w:val="none"/>
                <w:lang w:val="en-US" w:eastAsia="zh-CN" w:bidi="ar"/>
              </w:rPr>
              <w:t>说明：我单位没有使用国有资本经营预算安排的支出，故本表无数据。（当表格数据为空时，应有此说明）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46"/>
        <w:gridCol w:w="1165"/>
        <w:gridCol w:w="1069"/>
        <w:gridCol w:w="1069"/>
        <w:gridCol w:w="1070"/>
        <w:gridCol w:w="1070"/>
        <w:gridCol w:w="1106"/>
        <w:gridCol w:w="1166"/>
        <w:gridCol w:w="1070"/>
        <w:gridCol w:w="1070"/>
        <w:gridCol w:w="1070"/>
        <w:gridCol w:w="12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部门：湘潭县行政审批服务局</w:t>
            </w: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1"/>
                <w:szCs w:val="21"/>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公务用车</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公务用车</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公务用车</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公务用车</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0.34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0.34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jc w:val="left"/>
        <w:rPr>
          <w:rFonts w:ascii="宋体" w:eastAsia="宋体" w:cs="宋体"/>
          <w:kern w:val="0"/>
          <w:sz w:val="24"/>
          <w:szCs w:val="24"/>
        </w:rPr>
      </w:pPr>
    </w:p>
    <w:p>
      <w:pPr>
        <w:widowControl/>
        <w:jc w:val="both"/>
        <w:rPr>
          <w:sz w:val="72"/>
          <w:szCs w:val="72"/>
        </w:rPr>
        <w:sectPr>
          <w:pgSz w:w="16838" w:h="11906" w:orient="landscape"/>
          <w:pgMar w:top="663" w:right="1174" w:bottom="550" w:left="1060" w:header="851" w:footer="992" w:gutter="0"/>
          <w:cols w:space="425" w:num="1"/>
          <w:docGrid w:type="lines" w:linePitch="312" w:charSpace="0"/>
        </w:sectPr>
      </w:pPr>
      <w:r>
        <w:rPr>
          <w:rFonts w:ascii="黑体" w:hAnsi="黑体" w:eastAsia="黑体"/>
          <w:szCs w:val="21"/>
        </w:rPr>
        <w:br w:type="page"/>
      </w:r>
    </w:p>
    <w:p>
      <w:pPr>
        <w:pStyle w:val="13"/>
        <w:rPr>
          <w:sz w:val="72"/>
          <w:szCs w:val="72"/>
        </w:rPr>
      </w:pPr>
    </w:p>
    <w:p>
      <w:pPr>
        <w:pStyle w:val="13"/>
        <w:rPr>
          <w:sz w:val="72"/>
          <w:szCs w:val="72"/>
        </w:rPr>
      </w:pPr>
    </w:p>
    <w:p>
      <w:pPr>
        <w:pStyle w:val="13"/>
        <w:rPr>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52"/>
          <w:szCs w:val="52"/>
        </w:rPr>
      </w:pPr>
      <w:r>
        <w:rPr>
          <w:rFonts w:hint="eastAsia" w:ascii="方正小标宋_GBK" w:hAnsi="方正小标宋_GBK" w:eastAsia="方正小标宋_GBK" w:cs="方正小标宋_GBK"/>
          <w:sz w:val="52"/>
          <w:szCs w:val="52"/>
        </w:rPr>
        <w:t>第三部分</w:t>
      </w:r>
    </w:p>
    <w:p>
      <w:pPr>
        <w:pStyle w:val="13"/>
        <w:jc w:val="center"/>
        <w:rPr>
          <w:rFonts w:hint="eastAsia" w:ascii="方正小标宋_GBK" w:hAnsi="方正小标宋_GBK" w:eastAsia="方正小标宋_GBK" w:cs="方正小标宋_GBK"/>
          <w:sz w:val="52"/>
          <w:szCs w:val="52"/>
        </w:rPr>
      </w:pPr>
    </w:p>
    <w:p>
      <w:pPr>
        <w:pStyle w:val="13"/>
        <w:jc w:val="center"/>
        <w:rPr>
          <w:rFonts w:hint="eastAsia" w:ascii="方正小标宋_GBK" w:hAnsi="方正小标宋_GBK" w:eastAsia="方正小标宋_GBK" w:cs="方正小标宋_GBK"/>
          <w:sz w:val="52"/>
          <w:szCs w:val="52"/>
        </w:rPr>
      </w:pPr>
      <w:r>
        <w:rPr>
          <w:rFonts w:hint="eastAsia" w:ascii="方正小标宋_GBK" w:hAnsi="方正小标宋_GBK" w:eastAsia="方正小标宋_GBK" w:cs="方正小标宋_GBK"/>
          <w:sz w:val="52"/>
          <w:szCs w:val="52"/>
        </w:rPr>
        <w:t>202</w:t>
      </w:r>
      <w:r>
        <w:rPr>
          <w:rFonts w:hint="eastAsia" w:ascii="方正小标宋_GBK" w:hAnsi="方正小标宋_GBK" w:eastAsia="方正小标宋_GBK" w:cs="方正小标宋_GBK"/>
          <w:sz w:val="52"/>
          <w:szCs w:val="52"/>
          <w:lang w:val="en-US" w:eastAsia="zh-CN"/>
        </w:rPr>
        <w:t>3</w:t>
      </w:r>
      <w:r>
        <w:rPr>
          <w:rFonts w:hint="eastAsia" w:ascii="方正小标宋_GBK" w:hAnsi="方正小标宋_GBK" w:eastAsia="方正小标宋_GBK" w:cs="方正小标宋_GBK"/>
          <w:sz w:val="52"/>
          <w:szCs w:val="52"/>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672.26</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69.51</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发放新进人员的工资福利及见习基地补贴，以及消化往年</w:t>
      </w:r>
      <w:r>
        <w:rPr>
          <w:rFonts w:hint="eastAsia" w:ascii="仿宋" w:hAnsi="仿宋" w:eastAsia="仿宋" w:cs="仿宋"/>
          <w:sz w:val="32"/>
          <w:szCs w:val="32"/>
        </w:rPr>
        <w:t>应付未付资金</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672.26</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661.98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98</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10.28</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672.26</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241.1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36</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431.16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64</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672.26</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69.51</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发放新进人员的工资福利及见习基地补贴，以及消化往年</w:t>
      </w:r>
      <w:r>
        <w:rPr>
          <w:rFonts w:hint="eastAsia" w:ascii="仿宋" w:hAnsi="仿宋" w:eastAsia="仿宋" w:cs="仿宋"/>
          <w:sz w:val="32"/>
          <w:szCs w:val="32"/>
        </w:rPr>
        <w:t>应付未付资金</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661.98</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98</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59.23</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发放新进人员的工资福利及见习基地补贴，以及消化往年</w:t>
      </w:r>
      <w:r>
        <w:rPr>
          <w:rFonts w:hint="eastAsia" w:ascii="仿宋" w:hAnsi="仿宋" w:eastAsia="仿宋" w:cs="仿宋"/>
          <w:sz w:val="32"/>
          <w:szCs w:val="32"/>
        </w:rPr>
        <w:t>应付未付资金</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w:t>
      </w:r>
      <w:r>
        <w:rPr>
          <w:rFonts w:hint="eastAsia" w:ascii="Times New Roman" w:hAnsi="Times New Roman" w:eastAsia="仿宋_GB2312"/>
          <w:sz w:val="32"/>
          <w:szCs w:val="32"/>
          <w:lang w:val="en-US" w:eastAsia="zh-CN"/>
        </w:rPr>
        <w:t>支出661.98万元，主要用于以下方面：一般公共服务支出610.23万</w:t>
      </w:r>
      <w:r>
        <w:rPr>
          <w:rFonts w:hint="eastAsia" w:ascii="Times New Roman" w:hAnsi="Times New Roman" w:eastAsia="仿宋_GB2312"/>
          <w:sz w:val="32"/>
          <w:szCs w:val="32"/>
        </w:rPr>
        <w:t>元，占</w:t>
      </w:r>
      <w:r>
        <w:rPr>
          <w:rFonts w:hint="eastAsia" w:ascii="Times New Roman" w:hAnsi="Times New Roman" w:eastAsia="仿宋_GB2312"/>
          <w:sz w:val="32"/>
          <w:szCs w:val="32"/>
          <w:lang w:val="en-US" w:eastAsia="zh-CN"/>
        </w:rPr>
        <w:t>92</w:t>
      </w:r>
      <w:r>
        <w:rPr>
          <w:rFonts w:hint="eastAsia" w:ascii="Times New Roman" w:hAnsi="Times New Roman" w:eastAsia="仿宋_GB2312"/>
          <w:sz w:val="32"/>
          <w:szCs w:val="32"/>
        </w:rPr>
        <w:t>%；社会保障和就业支出</w:t>
      </w:r>
      <w:r>
        <w:rPr>
          <w:rFonts w:hint="eastAsia" w:ascii="Times New Roman" w:hAnsi="Times New Roman" w:eastAsia="仿宋_GB2312"/>
          <w:sz w:val="32"/>
          <w:szCs w:val="32"/>
          <w:lang w:val="en-US" w:eastAsia="zh-CN"/>
        </w:rPr>
        <w:t>21.25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卫生健康支出12.27万</w:t>
      </w:r>
      <w:r>
        <w:rPr>
          <w:rFonts w:hint="eastAsia" w:ascii="Times New Roman" w:hAnsi="Times New Roman" w:eastAsia="仿宋_GB2312"/>
          <w:sz w:val="32"/>
          <w:szCs w:val="32"/>
        </w:rPr>
        <w:t>元，占</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%；住房保障支出</w:t>
      </w:r>
      <w:r>
        <w:rPr>
          <w:rFonts w:hint="eastAsia" w:ascii="Times New Roman" w:hAnsi="Times New Roman" w:eastAsia="仿宋_GB2312"/>
          <w:sz w:val="32"/>
          <w:szCs w:val="32"/>
          <w:lang w:val="en-US" w:eastAsia="zh-CN"/>
        </w:rPr>
        <w:t>18.23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581.4</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661.98万</w:t>
      </w:r>
      <w:r>
        <w:rPr>
          <w:rFonts w:hint="eastAsia" w:ascii="Times New Roman" w:hAnsi="Times New Roman" w:eastAsia="仿宋_GB2312"/>
          <w:sz w:val="32"/>
          <w:szCs w:val="32"/>
        </w:rPr>
        <w:t>元，完成年初预算的</w:t>
      </w:r>
      <w:r>
        <w:rPr>
          <w:rFonts w:hint="eastAsia" w:ascii="Times New Roman" w:hAnsi="Times New Roman" w:eastAsia="仿宋_GB2312"/>
          <w:sz w:val="32"/>
          <w:szCs w:val="32"/>
          <w:lang w:val="en-US" w:eastAsia="zh-CN"/>
        </w:rPr>
        <w:t>113</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w:t>
      </w:r>
      <w:r>
        <w:rPr>
          <w:rFonts w:hint="eastAsia" w:ascii="Times New Roman" w:hAnsi="Times New Roman" w:eastAsia="仿宋_GB2312"/>
          <w:sz w:val="32"/>
          <w:szCs w:val="32"/>
          <w:lang w:eastAsia="zh-CN"/>
        </w:rPr>
        <w:t>支出</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529.64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610.23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115</w:t>
      </w:r>
      <w:r>
        <w:rPr>
          <w:rFonts w:hint="eastAsia" w:ascii="Times New Roman" w:hAnsi="Times New Roman" w:eastAsia="仿宋_GB2312"/>
          <w:sz w:val="32"/>
          <w:szCs w:val="32"/>
        </w:rPr>
        <w:t>%，决算数大于年初预算数的主要原因是：因为</w:t>
      </w:r>
      <w:r>
        <w:rPr>
          <w:rFonts w:hint="eastAsia" w:ascii="Times New Roman" w:hAnsi="Times New Roman" w:eastAsia="仿宋_GB2312"/>
          <w:sz w:val="32"/>
          <w:szCs w:val="32"/>
          <w:lang w:eastAsia="zh-CN"/>
        </w:rPr>
        <w:t>发放新进人员的工资福利及见习基地补贴，以及消化往年</w:t>
      </w:r>
      <w:r>
        <w:rPr>
          <w:rFonts w:hint="eastAsia" w:ascii="仿宋" w:hAnsi="仿宋" w:eastAsia="仿宋" w:cs="仿宋"/>
          <w:sz w:val="32"/>
          <w:szCs w:val="32"/>
        </w:rPr>
        <w:t>应付未付资金</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w:t>
      </w:r>
      <w:r>
        <w:rPr>
          <w:rFonts w:hint="eastAsia" w:ascii="仿宋" w:hAnsi="仿宋" w:eastAsia="仿宋" w:cs="仿宋"/>
          <w:color w:val="333333"/>
          <w:kern w:val="0"/>
          <w:sz w:val="32"/>
          <w:szCs w:val="32"/>
          <w:highlight w:val="none"/>
          <w:shd w:val="clear" w:color="auto" w:fill="FFFFFF"/>
        </w:rPr>
        <w:t>社会保障和就业支出</w:t>
      </w:r>
      <w:r>
        <w:rPr>
          <w:rFonts w:hint="eastAsia" w:ascii="Times New Roman" w:hAnsi="Times New Roman" w:eastAsia="仿宋_GB2312"/>
          <w:sz w:val="32"/>
          <w:szCs w:val="32"/>
        </w:rPr>
        <w:t>。</w:t>
      </w:r>
    </w:p>
    <w:p>
      <w:pPr>
        <w:pStyle w:val="13"/>
        <w:numPr>
          <w:ilvl w:val="0"/>
          <w:numId w:val="0"/>
        </w:numPr>
        <w:ind w:firstLine="640" w:firstLineChars="200"/>
        <w:rPr>
          <w:rFonts w:hint="eastAsia" w:ascii="仿宋" w:hAnsi="仿宋" w:eastAsia="仿宋" w:cs="仿宋"/>
          <w:sz w:val="32"/>
          <w:szCs w:val="32"/>
          <w:highlight w:val="none"/>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21.25</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21.25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年初预算数的主要原因是：</w:t>
      </w:r>
      <w:r>
        <w:rPr>
          <w:rFonts w:hint="eastAsia" w:ascii="仿宋" w:hAnsi="仿宋" w:eastAsia="仿宋" w:cs="仿宋"/>
          <w:sz w:val="32"/>
          <w:szCs w:val="32"/>
          <w:highlight w:val="none"/>
          <w:lang w:val="en-US" w:eastAsia="zh-CN"/>
        </w:rPr>
        <w:t>严格按照年初预算执行。</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w:t>
      </w:r>
      <w:r>
        <w:rPr>
          <w:rFonts w:hint="eastAsia" w:ascii="仿宋" w:hAnsi="仿宋" w:eastAsia="仿宋" w:cs="仿宋"/>
          <w:color w:val="333333"/>
          <w:kern w:val="0"/>
          <w:sz w:val="32"/>
          <w:szCs w:val="32"/>
          <w:highlight w:val="none"/>
          <w:shd w:val="clear" w:color="auto" w:fill="FFFFFF"/>
        </w:rPr>
        <w:t>卫生健康支出</w:t>
      </w:r>
      <w:r>
        <w:rPr>
          <w:rFonts w:hint="eastAsia" w:ascii="Times New Roman" w:hAnsi="Times New Roman" w:eastAsia="仿宋_GB2312"/>
          <w:sz w:val="32"/>
          <w:szCs w:val="32"/>
        </w:rPr>
        <w:t>。</w:t>
      </w:r>
    </w:p>
    <w:p>
      <w:pPr>
        <w:pStyle w:val="13"/>
        <w:numPr>
          <w:ilvl w:val="0"/>
          <w:numId w:val="0"/>
        </w:numPr>
        <w:ind w:firstLine="640" w:firstLineChars="200"/>
        <w:rPr>
          <w:rFonts w:hint="eastAsia" w:ascii="仿宋" w:hAnsi="仿宋" w:eastAsia="仿宋" w:cs="仿宋"/>
          <w:sz w:val="32"/>
          <w:szCs w:val="32"/>
          <w:highlight w:val="none"/>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12.27</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12.27</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年初预算数的主要原因是：</w:t>
      </w:r>
      <w:r>
        <w:rPr>
          <w:rFonts w:hint="eastAsia" w:ascii="仿宋" w:hAnsi="仿宋" w:eastAsia="仿宋" w:cs="仿宋"/>
          <w:sz w:val="32"/>
          <w:szCs w:val="32"/>
          <w:highlight w:val="none"/>
          <w:lang w:val="en-US" w:eastAsia="zh-CN"/>
        </w:rPr>
        <w:t>严格按照年初预算执行。</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
          <w:sz w:val="32"/>
          <w:szCs w:val="32"/>
          <w:lang w:val="en-US" w:eastAsia="zh-CN"/>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w:t>
      </w:r>
      <w:r>
        <w:rPr>
          <w:rFonts w:hint="eastAsia" w:ascii="仿宋" w:hAnsi="仿宋" w:eastAsia="仿宋" w:cs="仿宋"/>
          <w:color w:val="333333"/>
          <w:kern w:val="0"/>
          <w:sz w:val="32"/>
          <w:szCs w:val="32"/>
          <w:highlight w:val="none"/>
          <w:shd w:val="clear" w:color="auto" w:fill="FFFFFF"/>
        </w:rPr>
        <w:t>住房保障支出</w:t>
      </w:r>
      <w:r>
        <w:rPr>
          <w:rFonts w:hint="eastAsia" w:ascii="仿宋" w:hAnsi="仿宋" w:eastAsia="仿宋" w:cs="仿宋"/>
          <w:color w:val="333333"/>
          <w:kern w:val="0"/>
          <w:sz w:val="32"/>
          <w:szCs w:val="32"/>
          <w:highlight w:val="none"/>
          <w:shd w:val="clear" w:color="auto" w:fill="FFFFFF"/>
          <w:lang w:eastAsia="zh-CN"/>
        </w:rPr>
        <w:t>。</w:t>
      </w:r>
    </w:p>
    <w:p>
      <w:pPr>
        <w:pStyle w:val="13"/>
        <w:numPr>
          <w:ilvl w:val="0"/>
          <w:numId w:val="0"/>
        </w:numPr>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18.23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18.23</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年初预算数的主要原因是：</w:t>
      </w:r>
      <w:r>
        <w:rPr>
          <w:rFonts w:hint="eastAsia" w:ascii="仿宋" w:hAnsi="仿宋" w:eastAsia="仿宋" w:cs="仿宋"/>
          <w:sz w:val="32"/>
          <w:szCs w:val="32"/>
          <w:highlight w:val="none"/>
          <w:lang w:val="en-US" w:eastAsia="zh-CN"/>
        </w:rPr>
        <w:t>严格按照年初预算执行。</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241.1</w:t>
      </w:r>
      <w:r>
        <w:rPr>
          <w:rFonts w:hint="eastAsia" w:ascii="Times New Roman" w:hAnsi="Times New Roman" w:eastAsia="仿宋_GB2312"/>
          <w:sz w:val="32"/>
          <w:szCs w:val="32"/>
        </w:rPr>
        <w:t>万元，其中：</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211.63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88</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主要包括基本工资、津贴补贴、奖金、伙食补助费</w:t>
      </w:r>
      <w:r>
        <w:rPr>
          <w:rFonts w:hint="eastAsia" w:ascii="Times New Roman" w:hAnsi="Times New Roman" w:eastAsia="仿宋_GB2312"/>
          <w:sz w:val="32"/>
          <w:szCs w:val="32"/>
          <w:lang w:eastAsia="zh-CN"/>
        </w:rPr>
        <w:t>、</w:t>
      </w:r>
      <w:r>
        <w:rPr>
          <w:rFonts w:hint="eastAsia" w:ascii="仿宋" w:hAnsi="仿宋" w:eastAsia="仿宋" w:cs="仿宋"/>
          <w:sz w:val="32"/>
          <w:szCs w:val="32"/>
        </w:rPr>
        <w:t>绩效工资、机关事业单位基本养老保险缴费、职工基本医疗保险缴费、职业年金缴费、公务员医疗补助缴费、 其他社会保障缴费、住房公积金、其他工资福利支出等</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29.47</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%，主要包括办公费、印刷费、咨询费、手续费</w:t>
      </w:r>
      <w:r>
        <w:rPr>
          <w:rFonts w:hint="eastAsia" w:ascii="仿宋" w:hAnsi="仿宋" w:eastAsia="仿宋" w:cs="仿宋"/>
          <w:sz w:val="32"/>
          <w:szCs w:val="32"/>
        </w:rPr>
        <w:t>、邮电费、差旅费、 维修（护）费、培训费、劳务费、工会经费、其他交通费用、 其他商品和服务支出</w:t>
      </w:r>
      <w:r>
        <w:rPr>
          <w:rFonts w:hint="eastAsia" w:ascii="Times New Roman" w:hAnsi="Times New Roman" w:eastAsia="仿宋_GB2312"/>
          <w:sz w:val="32"/>
          <w:szCs w:val="32"/>
        </w:rPr>
        <w:t>。</w:t>
      </w:r>
    </w:p>
    <w:p>
      <w:pPr>
        <w:pStyle w:val="13"/>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pPr>
        <w:pStyle w:val="13"/>
        <w:keepNext w:val="0"/>
        <w:keepLines w:val="0"/>
        <w:pageBreakBefore w:val="0"/>
        <w:widowControl w:val="0"/>
        <w:numPr>
          <w:ilvl w:val="0"/>
          <w:numId w:val="0"/>
        </w:numPr>
        <w:kinsoku/>
        <w:wordWrap/>
        <w:overflowPunct/>
        <w:topLinePunct w:val="0"/>
        <w:bidi w:val="0"/>
        <w:snapToGrid/>
        <w:spacing w:line="600" w:lineRule="exact"/>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0.34</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34</w:t>
      </w:r>
      <w:r>
        <w:rPr>
          <w:rFonts w:hint="eastAsia" w:ascii="Times New Roman" w:hAnsi="Times New Roman" w:eastAsia="仿宋_GB2312"/>
          <w:sz w:val="32"/>
          <w:szCs w:val="32"/>
        </w:rPr>
        <w:t>%，决算数小于预算数的主要原因是</w:t>
      </w:r>
      <w:r>
        <w:rPr>
          <w:rFonts w:hint="eastAsia" w:ascii="仿宋" w:hAnsi="仿宋" w:eastAsia="仿宋" w:cs="仿宋"/>
          <w:sz w:val="32"/>
          <w:szCs w:val="32"/>
          <w:shd w:val="clear" w:color="auto" w:fill="FFFFFF"/>
        </w:rPr>
        <w:t>认真贯彻落实中央八项规定精神和厉行节约要求，从严控制“三公”经费开支后的公务接待支出增加。</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0.34</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公务接待活动增加</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0.34</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34</w:t>
      </w:r>
      <w:r>
        <w:rPr>
          <w:rFonts w:hint="eastAsia" w:ascii="Times New Roman" w:hAnsi="Times New Roman" w:eastAsia="仿宋_GB2312"/>
          <w:sz w:val="32"/>
          <w:szCs w:val="32"/>
        </w:rPr>
        <w:t>%，决算数小于预算数的主要原因是</w:t>
      </w:r>
      <w:r>
        <w:rPr>
          <w:rFonts w:hint="eastAsia" w:ascii="仿宋" w:hAnsi="仿宋" w:eastAsia="仿宋" w:cs="仿宋"/>
          <w:sz w:val="32"/>
          <w:szCs w:val="32"/>
          <w:shd w:val="clear" w:color="auto" w:fill="FFFFFF"/>
        </w:rPr>
        <w:t>认真贯彻落实中央八项规定精神和厉行节约要求，从严控制“三公”经费开支后的公务接待支出增加。</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0.34</w:t>
      </w:r>
      <w:r>
        <w:rPr>
          <w:rFonts w:hint="eastAsia" w:ascii="Times New Roman" w:hAnsi="Times New Roman" w:eastAsia="仿宋_GB2312"/>
          <w:sz w:val="32"/>
          <w:szCs w:val="32"/>
        </w:rPr>
        <w:t>万元，增长的主要原因是</w:t>
      </w:r>
      <w:r>
        <w:rPr>
          <w:rFonts w:hint="eastAsia" w:ascii="Times New Roman" w:hAnsi="Times New Roman" w:eastAsia="仿宋_GB2312"/>
          <w:sz w:val="32"/>
          <w:szCs w:val="32"/>
          <w:lang w:eastAsia="zh-CN"/>
        </w:rPr>
        <w:t>公务接待活动增加</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0.34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34</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highlight w:val="none"/>
        </w:rPr>
      </w:pPr>
      <w:r>
        <w:rPr>
          <w:rFonts w:hint="eastAsia" w:ascii="Times New Roman" w:hAnsi="Times New Roman" w:eastAsia="仿宋_GB2312"/>
          <w:sz w:val="32"/>
          <w:szCs w:val="32"/>
          <w:highlight w:val="none"/>
        </w:rPr>
        <w:t>2、公务接待费支出决算为</w:t>
      </w:r>
      <w:r>
        <w:rPr>
          <w:rFonts w:hint="eastAsia" w:ascii="Times New Roman" w:hAnsi="Times New Roman" w:eastAsia="仿宋_GB2312"/>
          <w:sz w:val="32"/>
          <w:szCs w:val="32"/>
          <w:highlight w:val="none"/>
          <w:lang w:val="en-US" w:eastAsia="zh-CN"/>
        </w:rPr>
        <w:t>0.34</w:t>
      </w:r>
      <w:r>
        <w:rPr>
          <w:rFonts w:hint="eastAsia" w:ascii="Times New Roman" w:hAnsi="Times New Roman" w:eastAsia="仿宋_GB2312"/>
          <w:sz w:val="32"/>
          <w:szCs w:val="32"/>
          <w:highlight w:val="none"/>
        </w:rPr>
        <w:t>万元，全年共接待来访团组</w:t>
      </w:r>
      <w:r>
        <w:rPr>
          <w:rFonts w:hint="eastAsia" w:ascii="Times New Roman" w:hAnsi="Times New Roman" w:eastAsia="仿宋_GB2312"/>
          <w:sz w:val="32"/>
          <w:szCs w:val="32"/>
          <w:highlight w:val="none"/>
          <w:lang w:val="en-US" w:eastAsia="zh-CN"/>
        </w:rPr>
        <w:t>3</w:t>
      </w:r>
      <w:r>
        <w:rPr>
          <w:rFonts w:hint="eastAsia" w:ascii="Times New Roman" w:hAnsi="Times New Roman" w:eastAsia="仿宋_GB2312"/>
          <w:sz w:val="32"/>
          <w:szCs w:val="32"/>
          <w:highlight w:val="none"/>
        </w:rPr>
        <w:t>个、来宾</w:t>
      </w:r>
      <w:r>
        <w:rPr>
          <w:rFonts w:hint="eastAsia" w:ascii="Times New Roman" w:hAnsi="Times New Roman" w:eastAsia="仿宋_GB2312"/>
          <w:sz w:val="32"/>
          <w:szCs w:val="32"/>
          <w:highlight w:val="none"/>
          <w:lang w:val="en-US" w:eastAsia="zh-CN"/>
        </w:rPr>
        <w:t>26</w:t>
      </w:r>
      <w:r>
        <w:rPr>
          <w:rFonts w:hint="eastAsia" w:ascii="Times New Roman" w:hAnsi="Times New Roman" w:eastAsia="仿宋_GB2312"/>
          <w:sz w:val="32"/>
          <w:szCs w:val="32"/>
          <w:highlight w:val="none"/>
        </w:rPr>
        <w:t>人次，主要是</w:t>
      </w:r>
      <w:r>
        <w:rPr>
          <w:rFonts w:hint="eastAsia" w:ascii="Times New Roman" w:hAnsi="Times New Roman" w:eastAsia="仿宋_GB2312"/>
          <w:sz w:val="32"/>
          <w:szCs w:val="32"/>
          <w:highlight w:val="none"/>
          <w:lang w:eastAsia="zh-CN"/>
        </w:rPr>
        <w:t>政务服务工作交流</w:t>
      </w:r>
      <w:r>
        <w:rPr>
          <w:rFonts w:hint="eastAsia" w:ascii="Times New Roman" w:hAnsi="Times New Roman" w:eastAsia="仿宋_GB2312"/>
          <w:sz w:val="32"/>
          <w:szCs w:val="32"/>
          <w:highlight w:val="none"/>
        </w:rPr>
        <w:t>发生的接待支出。</w:t>
      </w:r>
    </w:p>
    <w:p>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湘潭县行政审批服务局</w:t>
      </w:r>
      <w:r>
        <w:rPr>
          <w:rFonts w:hint="eastAsia" w:ascii="Times New Roman" w:hAnsi="Times New Roman" w:eastAsia="仿宋_GB2312"/>
          <w:sz w:val="32"/>
          <w:szCs w:val="32"/>
        </w:rPr>
        <w:t>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万元，截止202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3"/>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 xml:space="preserve"> 2023年度本单位无政府性基金此项指标。</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pPr>
        <w:pStyle w:val="13"/>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29.47</w:t>
      </w:r>
      <w:r>
        <w:rPr>
          <w:rFonts w:hint="eastAsia" w:ascii="Times New Roman" w:hAnsi="Times New Roman" w:eastAsia="仿宋_GB2312"/>
          <w:sz w:val="32"/>
          <w:szCs w:val="32"/>
        </w:rPr>
        <w:t>万元，比年初预算数</w:t>
      </w:r>
      <w:r>
        <w:rPr>
          <w:rFonts w:hint="eastAsia" w:ascii="Times New Roman" w:hAnsi="Times New Roman" w:eastAsia="仿宋_GB2312"/>
          <w:sz w:val="32"/>
          <w:szCs w:val="32"/>
          <w:lang w:val="en-US" w:eastAsia="zh-CN"/>
        </w:rPr>
        <w:t>32.74万元</w:t>
      </w:r>
      <w:r>
        <w:rPr>
          <w:rFonts w:hint="eastAsia" w:ascii="Times New Roman" w:hAnsi="Times New Roman" w:eastAsia="仿宋_GB2312"/>
          <w:sz w:val="32"/>
          <w:szCs w:val="32"/>
        </w:rPr>
        <w:t>减少</w:t>
      </w:r>
      <w:r>
        <w:rPr>
          <w:rFonts w:hint="eastAsia" w:ascii="Times New Roman" w:hAnsi="Times New Roman" w:eastAsia="仿宋_GB2312"/>
          <w:sz w:val="32"/>
          <w:szCs w:val="32"/>
          <w:lang w:val="en-US" w:eastAsia="zh-CN"/>
        </w:rPr>
        <w:t>3.27</w:t>
      </w:r>
      <w:r>
        <w:rPr>
          <w:rFonts w:hint="eastAsia" w:ascii="Times New Roman" w:hAnsi="Times New Roman" w:eastAsia="仿宋_GB2312"/>
          <w:sz w:val="32"/>
          <w:szCs w:val="32"/>
        </w:rPr>
        <w:t>万元，降低</w:t>
      </w:r>
      <w:r>
        <w:rPr>
          <w:rFonts w:hint="eastAsia" w:ascii="Times New Roman" w:hAnsi="Times New Roman" w:eastAsia="仿宋_GB2312"/>
          <w:sz w:val="32"/>
          <w:szCs w:val="32"/>
          <w:lang w:val="en-US" w:eastAsia="zh-CN"/>
        </w:rPr>
        <w:t>10</w:t>
      </w:r>
      <w:r>
        <w:rPr>
          <w:rFonts w:hint="eastAsia" w:ascii="Times New Roman" w:hAnsi="Times New Roman" w:eastAsia="仿宋_GB2312"/>
          <w:sz w:val="32"/>
          <w:szCs w:val="32"/>
        </w:rPr>
        <w:t>%。主要原因是：</w:t>
      </w:r>
      <w:r>
        <w:rPr>
          <w:rFonts w:hint="eastAsia" w:ascii="仿宋" w:hAnsi="仿宋" w:eastAsia="仿宋" w:cs="仿宋"/>
          <w:color w:val="auto"/>
          <w:sz w:val="32"/>
          <w:szCs w:val="32"/>
        </w:rPr>
        <w:t>一是</w:t>
      </w:r>
      <w:r>
        <w:rPr>
          <w:rFonts w:hint="eastAsia" w:ascii="仿宋" w:hAnsi="仿宋" w:eastAsia="仿宋" w:cs="仿宋"/>
          <w:color w:val="auto"/>
          <w:sz w:val="32"/>
          <w:szCs w:val="32"/>
          <w:lang w:eastAsia="zh-CN"/>
        </w:rPr>
        <w:t>厉行节约，减少办公用品损耗</w:t>
      </w:r>
      <w:r>
        <w:rPr>
          <w:rFonts w:hint="eastAsia" w:ascii="仿宋" w:hAnsi="仿宋" w:eastAsia="仿宋" w:cs="仿宋"/>
          <w:color w:val="auto"/>
          <w:sz w:val="32"/>
          <w:szCs w:val="32"/>
        </w:rPr>
        <w:t>；二是</w:t>
      </w:r>
      <w:r>
        <w:rPr>
          <w:rFonts w:hint="eastAsia" w:ascii="仿宋" w:hAnsi="仿宋" w:eastAsia="仿宋" w:cs="仿宋"/>
          <w:color w:val="auto"/>
          <w:sz w:val="32"/>
          <w:szCs w:val="32"/>
          <w:lang w:eastAsia="zh-CN"/>
        </w:rPr>
        <w:t>减少工会活动</w:t>
      </w:r>
      <w:r>
        <w:rPr>
          <w:rFonts w:hint="eastAsia" w:ascii="仿宋" w:hAnsi="仿宋" w:eastAsia="仿宋" w:cs="仿宋"/>
          <w:color w:val="auto"/>
          <w:sz w:val="32"/>
          <w:szCs w:val="32"/>
        </w:rPr>
        <w:t>等相关工作支出</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13"/>
        <w:ind w:firstLine="640" w:firstLineChars="200"/>
        <w:rPr>
          <w:rFonts w:hint="eastAsia" w:ascii="仿宋" w:hAnsi="仿宋" w:eastAsia="仿宋" w:cs="仿宋"/>
          <w:color w:val="auto"/>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万元；开支培训费</w:t>
      </w:r>
      <w:r>
        <w:rPr>
          <w:rFonts w:hint="eastAsia" w:ascii="Times New Roman" w:hAnsi="Times New Roman" w:eastAsia="仿宋_GB2312"/>
          <w:sz w:val="32"/>
          <w:szCs w:val="32"/>
          <w:lang w:val="en-US" w:eastAsia="zh-CN"/>
        </w:rPr>
        <w:t>0.18</w:t>
      </w:r>
      <w:r>
        <w:rPr>
          <w:rFonts w:hint="eastAsia" w:ascii="Times New Roman" w:hAnsi="Times New Roman" w:eastAsia="仿宋_GB2312"/>
          <w:sz w:val="32"/>
          <w:szCs w:val="32"/>
        </w:rPr>
        <w:t>万元，用于开展</w:t>
      </w:r>
      <w:r>
        <w:rPr>
          <w:rFonts w:hint="eastAsia" w:ascii="仿宋" w:hAnsi="仿宋" w:eastAsia="仿宋" w:cs="仿宋"/>
          <w:color w:val="auto"/>
          <w:sz w:val="32"/>
          <w:szCs w:val="32"/>
          <w:lang w:eastAsia="zh-CN"/>
        </w:rPr>
        <w:t>事业单位工作人员网上培训、网站从业人员意识形态培训等；未举办节庆、晚会、论坛、赛事活动，开支0万元。</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highlight w:val="none"/>
        </w:rPr>
      </w:pPr>
      <w:r>
        <w:rPr>
          <w:rFonts w:hint="eastAsia" w:ascii="黑体" w:hAnsi="黑体" w:eastAsia="黑体" w:cs="黑体"/>
          <w:b w:val="0"/>
          <w:bCs/>
          <w:sz w:val="32"/>
          <w:szCs w:val="32"/>
          <w:highlight w:val="none"/>
        </w:rPr>
        <w:t>十一、关于政府采购支出说明</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楷体" w:hAnsi="楷体" w:eastAsia="楷体" w:cs="楷体"/>
          <w:b/>
          <w:bCs/>
          <w:i/>
          <w:color w:val="auto"/>
          <w:kern w:val="0"/>
          <w:sz w:val="32"/>
          <w:szCs w:val="32"/>
          <w:highlight w:val="red"/>
          <w:lang w:val="en-US" w:eastAsia="zh-CN" w:bidi="ar-SA"/>
        </w:rPr>
      </w:pPr>
      <w:r>
        <w:rPr>
          <w:rFonts w:hint="eastAsia" w:ascii="Times New Roman" w:hAnsi="Times New Roman" w:eastAsia="仿宋_GB2312"/>
          <w:sz w:val="32"/>
          <w:szCs w:val="32"/>
          <w:highlight w:val="none"/>
        </w:rPr>
        <w:t>本部门202</w:t>
      </w:r>
      <w:r>
        <w:rPr>
          <w:rFonts w:hint="eastAsia" w:ascii="Times New Roman" w:hAnsi="Times New Roman" w:eastAsia="仿宋_GB2312"/>
          <w:sz w:val="32"/>
          <w:szCs w:val="32"/>
          <w:highlight w:val="none"/>
          <w:lang w:val="en-US" w:eastAsia="zh-CN"/>
        </w:rPr>
        <w:t>3</w:t>
      </w:r>
      <w:r>
        <w:rPr>
          <w:rFonts w:hint="eastAsia" w:ascii="Times New Roman" w:hAnsi="Times New Roman" w:eastAsia="仿宋_GB2312"/>
          <w:sz w:val="32"/>
          <w:szCs w:val="32"/>
          <w:highlight w:val="none"/>
        </w:rPr>
        <w:t>年度政府采购支出总额</w:t>
      </w:r>
      <w:r>
        <w:rPr>
          <w:rFonts w:hint="eastAsia" w:ascii="Times New Roman" w:hAnsi="Times New Roman" w:eastAsia="仿宋_GB2312"/>
          <w:sz w:val="32"/>
          <w:szCs w:val="32"/>
          <w:highlight w:val="none"/>
          <w:lang w:val="en-US" w:eastAsia="zh-CN"/>
        </w:rPr>
        <w:t>188.85</w:t>
      </w:r>
      <w:r>
        <w:rPr>
          <w:rFonts w:hint="eastAsia" w:ascii="Times New Roman" w:hAnsi="Times New Roman" w:eastAsia="仿宋_GB2312"/>
          <w:sz w:val="32"/>
          <w:szCs w:val="32"/>
          <w:highlight w:val="none"/>
        </w:rPr>
        <w:t>万元，其中：政府采购货物支出</w:t>
      </w:r>
      <w:r>
        <w:rPr>
          <w:rFonts w:hint="eastAsia" w:ascii="Times New Roman" w:hAnsi="Times New Roman" w:eastAsia="仿宋_GB2312"/>
          <w:sz w:val="32"/>
          <w:szCs w:val="32"/>
          <w:highlight w:val="none"/>
          <w:lang w:val="en-US" w:eastAsia="zh-CN"/>
        </w:rPr>
        <w:t>88.18</w:t>
      </w:r>
      <w:r>
        <w:rPr>
          <w:rFonts w:hint="eastAsia" w:ascii="Times New Roman" w:hAnsi="Times New Roman" w:eastAsia="仿宋_GB2312"/>
          <w:sz w:val="32"/>
          <w:szCs w:val="32"/>
          <w:highlight w:val="none"/>
        </w:rPr>
        <w:t>万元、政府采购工程支出</w:t>
      </w:r>
      <w:r>
        <w:rPr>
          <w:rFonts w:hint="eastAsia" w:ascii="Times New Roman" w:hAnsi="Times New Roman" w:eastAsia="仿宋_GB2312"/>
          <w:sz w:val="32"/>
          <w:szCs w:val="32"/>
          <w:highlight w:val="none"/>
          <w:lang w:val="en-US" w:eastAsia="zh-CN"/>
        </w:rPr>
        <w:t>6.25</w:t>
      </w:r>
      <w:r>
        <w:rPr>
          <w:rFonts w:hint="eastAsia" w:ascii="Times New Roman" w:hAnsi="Times New Roman" w:eastAsia="仿宋_GB2312"/>
          <w:sz w:val="32"/>
          <w:szCs w:val="32"/>
          <w:highlight w:val="none"/>
        </w:rPr>
        <w:t>万元、政府采购服务支出</w:t>
      </w:r>
      <w:r>
        <w:rPr>
          <w:rFonts w:hint="eastAsia" w:ascii="Times New Roman" w:hAnsi="Times New Roman" w:eastAsia="仿宋_GB2312"/>
          <w:sz w:val="32"/>
          <w:szCs w:val="32"/>
          <w:highlight w:val="none"/>
          <w:lang w:val="en-US" w:eastAsia="zh-CN"/>
        </w:rPr>
        <w:t>94.42</w:t>
      </w:r>
      <w:r>
        <w:rPr>
          <w:rFonts w:hint="eastAsia" w:ascii="Times New Roman" w:hAnsi="Times New Roman" w:eastAsia="仿宋_GB2312"/>
          <w:sz w:val="32"/>
          <w:szCs w:val="32"/>
          <w:highlight w:val="none"/>
        </w:rPr>
        <w:t>万元。授予中小企业合同金额</w:t>
      </w:r>
      <w:r>
        <w:rPr>
          <w:rFonts w:hint="eastAsia" w:ascii="Times New Roman" w:hAnsi="Times New Roman" w:eastAsia="仿宋_GB2312"/>
          <w:sz w:val="32"/>
          <w:szCs w:val="32"/>
          <w:highlight w:val="none"/>
          <w:lang w:val="en-US" w:eastAsia="zh-CN"/>
        </w:rPr>
        <w:t>188.85</w:t>
      </w:r>
      <w:r>
        <w:rPr>
          <w:rFonts w:hint="eastAsia" w:ascii="Times New Roman" w:hAnsi="Times New Roman" w:eastAsia="仿宋_GB2312"/>
          <w:sz w:val="32"/>
          <w:szCs w:val="32"/>
          <w:highlight w:val="none"/>
        </w:rPr>
        <w:t>万元，占政府采购支出总额的</w:t>
      </w:r>
      <w:r>
        <w:rPr>
          <w:rFonts w:hint="eastAsia" w:ascii="Times New Roman" w:hAnsi="Times New Roman" w:eastAsia="仿宋_GB2312"/>
          <w:sz w:val="32"/>
          <w:szCs w:val="32"/>
          <w:highlight w:val="none"/>
          <w:lang w:val="en-US" w:eastAsia="zh-CN"/>
        </w:rPr>
        <w:t>100</w:t>
      </w:r>
      <w:r>
        <w:rPr>
          <w:rFonts w:hint="eastAsia" w:ascii="Times New Roman" w:hAnsi="Times New Roman" w:eastAsia="仿宋_GB2312"/>
          <w:sz w:val="32"/>
          <w:szCs w:val="32"/>
          <w:highlight w:val="none"/>
        </w:rPr>
        <w:t>%，其中：授予小微企业合同金额</w:t>
      </w:r>
      <w:r>
        <w:rPr>
          <w:rFonts w:hint="eastAsia" w:ascii="Times New Roman" w:hAnsi="Times New Roman" w:eastAsia="仿宋_GB2312"/>
          <w:sz w:val="32"/>
          <w:szCs w:val="32"/>
          <w:highlight w:val="none"/>
          <w:lang w:val="en-US" w:eastAsia="zh-CN"/>
        </w:rPr>
        <w:t>188.85</w:t>
      </w:r>
      <w:r>
        <w:rPr>
          <w:rFonts w:hint="eastAsia" w:ascii="Times New Roman" w:hAnsi="Times New Roman" w:eastAsia="仿宋_GB2312"/>
          <w:sz w:val="32"/>
          <w:szCs w:val="32"/>
          <w:highlight w:val="none"/>
        </w:rPr>
        <w:t>万元，</w:t>
      </w:r>
      <w:r>
        <w:rPr>
          <w:rFonts w:hint="eastAsia" w:ascii="Times New Roman" w:hAnsi="Times New Roman" w:eastAsia="仿宋_GB2312"/>
          <w:color w:val="auto"/>
          <w:sz w:val="32"/>
          <w:szCs w:val="32"/>
          <w:highlight w:val="none"/>
        </w:rPr>
        <w:t>占</w:t>
      </w:r>
      <w:r>
        <w:rPr>
          <w:rFonts w:hint="eastAsia" w:ascii="Times New Roman" w:hAnsi="Times New Roman" w:eastAsia="仿宋_GB2312"/>
          <w:color w:val="auto"/>
          <w:sz w:val="32"/>
          <w:szCs w:val="32"/>
          <w:highlight w:val="none"/>
          <w:lang w:eastAsia="zh-CN"/>
        </w:rPr>
        <w:t>授予中小企业合同金额</w:t>
      </w:r>
      <w:r>
        <w:rPr>
          <w:rFonts w:hint="eastAsia" w:ascii="Times New Roman" w:hAnsi="Times New Roman" w:eastAsia="仿宋_GB2312"/>
          <w:color w:val="auto"/>
          <w:sz w:val="32"/>
          <w:szCs w:val="32"/>
          <w:highlight w:val="none"/>
        </w:rPr>
        <w:t>的</w:t>
      </w:r>
      <w:r>
        <w:rPr>
          <w:rFonts w:hint="eastAsia" w:ascii="Times New Roman" w:hAnsi="Times New Roman" w:eastAsia="仿宋_GB2312"/>
          <w:color w:val="auto"/>
          <w:sz w:val="32"/>
          <w:szCs w:val="32"/>
          <w:highlight w:val="none"/>
          <w:lang w:val="en-US" w:eastAsia="zh-CN"/>
        </w:rPr>
        <w:t>100</w:t>
      </w:r>
      <w:r>
        <w:rPr>
          <w:rFonts w:hint="eastAsia" w:ascii="Times New Roman" w:hAnsi="Times New Roman" w:eastAsia="仿宋_GB2312"/>
          <w:color w:val="auto"/>
          <w:sz w:val="32"/>
          <w:szCs w:val="32"/>
          <w:highlight w:val="none"/>
        </w:rPr>
        <w:t>%。货物采购授予中小企业合同金额占货物支出金额的</w:t>
      </w:r>
      <w:r>
        <w:rPr>
          <w:rFonts w:hint="eastAsia" w:ascii="Times New Roman" w:hAnsi="Times New Roman" w:eastAsia="仿宋_GB2312"/>
          <w:color w:val="auto"/>
          <w:sz w:val="32"/>
          <w:szCs w:val="32"/>
          <w:highlight w:val="none"/>
          <w:lang w:val="en-US" w:eastAsia="zh-CN"/>
        </w:rPr>
        <w:t>47</w:t>
      </w:r>
      <w:r>
        <w:rPr>
          <w:rFonts w:hint="eastAsia" w:ascii="Times New Roman" w:hAnsi="Times New Roman" w:eastAsia="仿宋_GB2312"/>
          <w:color w:val="auto"/>
          <w:sz w:val="32"/>
          <w:szCs w:val="32"/>
          <w:highlight w:val="none"/>
        </w:rPr>
        <w:t>%，工程采购授予中小企业合同金额占工程支出金额的</w:t>
      </w:r>
      <w:r>
        <w:rPr>
          <w:rFonts w:hint="eastAsia" w:ascii="Times New Roman" w:hAnsi="Times New Roman" w:eastAsia="仿宋_GB2312"/>
          <w:color w:val="auto"/>
          <w:sz w:val="32"/>
          <w:szCs w:val="32"/>
          <w:highlight w:val="none"/>
          <w:lang w:val="en-US" w:eastAsia="zh-CN"/>
        </w:rPr>
        <w:t>3</w:t>
      </w:r>
      <w:r>
        <w:rPr>
          <w:rFonts w:hint="eastAsia" w:ascii="Times New Roman" w:hAnsi="Times New Roman" w:eastAsia="仿宋_GB2312"/>
          <w:color w:val="auto"/>
          <w:sz w:val="32"/>
          <w:szCs w:val="32"/>
          <w:highlight w:val="none"/>
        </w:rPr>
        <w:t>%，服务采购授予中小企业合同金额占服务支出金额的</w:t>
      </w:r>
      <w:r>
        <w:rPr>
          <w:rFonts w:hint="eastAsia" w:ascii="Times New Roman" w:hAnsi="Times New Roman" w:eastAsia="仿宋_GB2312"/>
          <w:color w:val="auto"/>
          <w:sz w:val="32"/>
          <w:szCs w:val="32"/>
          <w:highlight w:val="none"/>
          <w:lang w:val="en-US" w:eastAsia="zh-CN"/>
        </w:rPr>
        <w:t>50</w:t>
      </w:r>
      <w:r>
        <w:rPr>
          <w:rFonts w:hint="eastAsia" w:ascii="Times New Roman" w:hAnsi="Times New Roman" w:eastAsia="仿宋_GB2312"/>
          <w:color w:val="auto"/>
          <w:sz w:val="32"/>
          <w:szCs w:val="32"/>
          <w:highlight w:val="none"/>
        </w:rPr>
        <w:t>%。</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3</w:t>
      </w:r>
      <w:r>
        <w:rPr>
          <w:rFonts w:hint="eastAsia" w:ascii="Times New Roman" w:hAnsi="Times New Roman" w:eastAsia="仿宋_GB2312"/>
          <w:color w:val="auto"/>
          <w:sz w:val="32"/>
          <w:szCs w:val="32"/>
        </w:rPr>
        <w:t>年12月31日，</w:t>
      </w:r>
      <w:r>
        <w:rPr>
          <w:rFonts w:hint="eastAsia" w:ascii="Times New Roman" w:hAnsi="Times New Roman" w:eastAsia="仿宋_GB2312"/>
          <w:color w:val="auto"/>
          <w:sz w:val="32"/>
          <w:szCs w:val="32"/>
          <w:lang w:eastAsia="zh-CN"/>
        </w:rPr>
        <w:t>部门（单位）</w:t>
      </w:r>
      <w:r>
        <w:rPr>
          <w:rFonts w:hint="eastAsia" w:ascii="Times New Roman" w:hAnsi="Times New Roman" w:eastAsia="仿宋_GB2312"/>
          <w:color w:val="auto"/>
          <w:sz w:val="32"/>
          <w:szCs w:val="32"/>
        </w:rPr>
        <w:t>共有车辆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辆，其中</w:t>
      </w:r>
      <w:r>
        <w:rPr>
          <w:rFonts w:hint="eastAsia" w:ascii="Times New Roman" w:hAnsi="Times New Roman" w:eastAsia="仿宋_GB2312"/>
          <w:color w:val="auto"/>
          <w:sz w:val="32"/>
          <w:szCs w:val="32"/>
          <w:lang w:eastAsia="zh-CN"/>
        </w:rPr>
        <w:t>，副部（省）级及以上领导用车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主要</w:t>
      </w:r>
      <w:r>
        <w:rPr>
          <w:rFonts w:hint="eastAsia" w:ascii="Times New Roman" w:hAnsi="Times New Roman" w:eastAsia="仿宋_GB2312"/>
          <w:color w:val="auto"/>
          <w:sz w:val="32"/>
          <w:szCs w:val="32"/>
          <w:lang w:eastAsia="zh-CN"/>
        </w:rPr>
        <w:t>负责人</w:t>
      </w:r>
      <w:r>
        <w:rPr>
          <w:rFonts w:hint="eastAsia" w:ascii="Times New Roman" w:hAnsi="Times New Roman" w:eastAsia="仿宋_GB2312"/>
          <w:color w:val="auto"/>
          <w:sz w:val="32"/>
          <w:szCs w:val="32"/>
        </w:rPr>
        <w:t>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w:t>
      </w:r>
      <w:r>
        <w:rPr>
          <w:rFonts w:hint="eastAsia" w:ascii="Times New Roman" w:hAnsi="Times New Roman" w:eastAsia="仿宋_GB2312"/>
          <w:color w:val="auto"/>
          <w:sz w:val="32"/>
          <w:szCs w:val="32"/>
        </w:rPr>
        <w:t>机要通信用车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辆、应急保障用车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辆、执法执勤用车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辆、特种专业技术用车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w:t>
      </w:r>
      <w:r>
        <w:rPr>
          <w:rFonts w:hint="eastAsia" w:ascii="Times New Roman" w:hAnsi="Times New Roman" w:eastAsia="仿宋_GB2312"/>
          <w:color w:val="auto"/>
          <w:sz w:val="32"/>
          <w:szCs w:val="32"/>
          <w:lang w:eastAsia="zh-CN"/>
        </w:rPr>
        <w:t>离退休干部服务用车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辆、其他用车</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辆；单位价值100万元以上设备</w:t>
      </w:r>
      <w:r>
        <w:rPr>
          <w:rFonts w:hint="eastAsia" w:ascii="Times New Roman" w:hAnsi="Times New Roman" w:eastAsia="仿宋_GB2312"/>
          <w:color w:val="auto"/>
          <w:sz w:val="32"/>
          <w:szCs w:val="32"/>
          <w:lang w:eastAsia="zh-CN"/>
        </w:rPr>
        <w:t>（不含车辆）</w:t>
      </w:r>
      <w:r>
        <w:rPr>
          <w:rFonts w:hint="eastAsia" w:ascii="Times New Roman" w:hAnsi="Times New Roman" w:eastAsia="仿宋_GB2312"/>
          <w:color w:val="auto"/>
          <w:sz w:val="32"/>
          <w:szCs w:val="32"/>
          <w:lang w:val="en-US" w:eastAsia="zh-CN"/>
        </w:rPr>
        <w:t>0</w:t>
      </w:r>
      <w:r>
        <w:rPr>
          <w:rFonts w:hint="eastAsia" w:ascii="Times New Roman" w:hAnsi="Times New Roman" w:eastAsia="仿宋_GB2312"/>
          <w:color w:val="auto"/>
          <w:sz w:val="32"/>
          <w:szCs w:val="32"/>
        </w:rPr>
        <w:t>台（套）。</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3</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pPr>
        <w:pStyle w:val="13"/>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本部门预算绩效管理有一个内容：部门整体支出；年初制定了绩效管理工作方案，并做好了绩效目标申报；按季度申报了绩效运行跟踪监控管理表；年度结束后，按要求做好了绩效自评报告，并进行公开。本部门2023年度无重点项目绩效评价。</w:t>
      </w:r>
    </w:p>
    <w:p>
      <w:pPr>
        <w:pStyle w:val="13"/>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详见附件五。</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1.存在的问题：</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（1）预算调整率较高。</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（2）项目支出预算执行率较低，因财政资金紧张，优先保障了人员经费、日常运转等基本支出，部分项目支出发票款项未能及时支付。</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2.建议：</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1）科学合理编制预算，严格执行预算。要按照《预算法》及其实施条例的相关规定，参考上一年的预算执行情况和年度的收支预测科学编制预算，避免年中大幅追加以及超预算。同时严格预算执行，提高资金使用效率。</w:t>
      </w:r>
    </w:p>
    <w:p>
      <w:pPr>
        <w:pStyle w:val="13"/>
        <w:ind w:firstLine="640" w:firstLineChars="200"/>
        <w:jc w:val="left"/>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（2）加强单位内控制度建设，完善相关内部管理制度。</w:t>
      </w:r>
    </w:p>
    <w:p>
      <w:pPr>
        <w:pStyle w:val="13"/>
        <w:ind w:firstLine="640" w:firstLineChars="200"/>
        <w:jc w:val="left"/>
        <w:rPr>
          <w:rFonts w:hint="eastAsia" w:ascii="仿宋" w:hAnsi="仿宋" w:eastAsia="仿宋" w:cs="仿宋"/>
          <w:color w:val="auto"/>
          <w:kern w:val="2"/>
          <w:sz w:val="32"/>
          <w:szCs w:val="32"/>
          <w:lang w:val="en-US" w:eastAsia="zh-CN" w:bidi="ar-SA"/>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jc w:val="left"/>
        <w:rPr>
          <w:rFonts w:ascii="仿宋" w:hAnsi="仿宋" w:eastAsia="仿宋" w:cs="仿宋"/>
          <w:sz w:val="31"/>
        </w:rPr>
      </w:pPr>
      <w:r>
        <w:rPr>
          <w:rFonts w:hint="eastAsia" w:ascii="仿宋" w:hAnsi="仿宋" w:eastAsia="仿宋" w:cs="仿宋"/>
          <w:sz w:val="31"/>
        </w:rPr>
        <w:t>1、机关运行经费：是指各部门的公用经费，包括办公</w:t>
      </w:r>
      <w:r>
        <w:rPr>
          <w:rFonts w:hint="eastAsia" w:ascii="仿宋" w:hAnsi="仿宋" w:eastAsia="仿宋" w:cs="仿宋"/>
          <w:spacing w:val="-1"/>
          <w:sz w:val="31"/>
        </w:rPr>
        <w:t>及印刷费、邮电费、差旅费、会议费、福利费、日常维修费、专用资料及一般设备购置费、办公用房水电费、办公用房取 暖费、办公用房物业管理费、公务用车运行维护费以及其他费用。</w:t>
      </w:r>
    </w:p>
    <w:p>
      <w:pPr>
        <w:spacing w:before="2"/>
        <w:jc w:val="left"/>
        <w:rPr>
          <w:rFonts w:ascii="仿宋" w:hAnsi="仿宋" w:eastAsia="仿宋" w:cs="仿宋"/>
          <w:sz w:val="31"/>
        </w:rPr>
      </w:pPr>
      <w:r>
        <w:rPr>
          <w:rFonts w:hint="eastAsia" w:ascii="仿宋" w:hAnsi="仿宋" w:eastAsia="仿宋" w:cs="仿宋"/>
          <w:sz w:val="31"/>
        </w:rPr>
        <w:t>2、“三公”经费：纳入省财政预算管理的“三公“经费，</w:t>
      </w:r>
    </w:p>
    <w:p>
      <w:pPr>
        <w:spacing w:before="2"/>
        <w:jc w:val="left"/>
        <w:rPr>
          <w:rFonts w:ascii="仿宋" w:hAnsi="仿宋" w:eastAsia="仿宋" w:cs="仿宋"/>
          <w:sz w:val="31"/>
        </w:rPr>
      </w:pPr>
      <w:r>
        <w:rPr>
          <w:rFonts w:hint="eastAsia" w:ascii="仿宋" w:hAnsi="仿宋" w:eastAsia="仿宋" w:cs="仿宋"/>
          <w:sz w:val="31"/>
        </w:rPr>
        <w:t>是指用一般公共预算拨款安排的公务接待费、公务用车购置</w:t>
      </w:r>
    </w:p>
    <w:p>
      <w:pPr>
        <w:spacing w:before="2"/>
        <w:jc w:val="left"/>
        <w:rPr>
          <w:rFonts w:ascii="仿宋" w:hAnsi="仿宋" w:eastAsia="仿宋" w:cs="仿宋"/>
          <w:sz w:val="31"/>
        </w:rPr>
      </w:pPr>
      <w:r>
        <w:rPr>
          <w:rFonts w:hint="eastAsia" w:ascii="仿宋" w:hAnsi="仿宋" w:eastAsia="仿宋" w:cs="仿宋"/>
          <w:sz w:val="31"/>
        </w:rPr>
        <w:t>及运行维护费和因公出国（境）费。其中，公务接待费反映</w:t>
      </w:r>
    </w:p>
    <w:p>
      <w:pPr>
        <w:spacing w:before="2"/>
        <w:jc w:val="left"/>
        <w:rPr>
          <w:rFonts w:ascii="仿宋" w:hAnsi="仿宋" w:eastAsia="仿宋" w:cs="仿宋"/>
          <w:sz w:val="31"/>
        </w:rPr>
      </w:pPr>
      <w:r>
        <w:rPr>
          <w:rFonts w:hint="eastAsia" w:ascii="仿宋" w:hAnsi="仿宋" w:eastAsia="仿宋" w:cs="仿宋"/>
          <w:sz w:val="31"/>
        </w:rPr>
        <w:t>单位按规定开支的各类公务接待支出；公务用车购置及运行</w:t>
      </w:r>
    </w:p>
    <w:p>
      <w:pPr>
        <w:spacing w:before="2"/>
        <w:jc w:val="left"/>
        <w:rPr>
          <w:rFonts w:ascii="仿宋" w:hAnsi="仿宋" w:eastAsia="仿宋" w:cs="仿宋"/>
          <w:sz w:val="31"/>
        </w:rPr>
      </w:pPr>
      <w:r>
        <w:rPr>
          <w:rFonts w:hint="eastAsia" w:ascii="仿宋" w:hAnsi="仿宋" w:eastAsia="仿宋" w:cs="仿宋"/>
          <w:sz w:val="31"/>
        </w:rPr>
        <w:t>费反映单位公务用车车辆购置支出（含车辆购置税）， 以及</w:t>
      </w:r>
    </w:p>
    <w:p>
      <w:pPr>
        <w:spacing w:before="2"/>
        <w:jc w:val="left"/>
        <w:rPr>
          <w:rFonts w:ascii="仿宋" w:hAnsi="仿宋" w:eastAsia="仿宋" w:cs="仿宋"/>
          <w:sz w:val="31"/>
        </w:rPr>
      </w:pPr>
      <w:r>
        <w:rPr>
          <w:rFonts w:hint="eastAsia" w:ascii="仿宋" w:hAnsi="仿宋" w:eastAsia="仿宋" w:cs="仿宋"/>
          <w:sz w:val="31"/>
        </w:rPr>
        <w:t>燃料费、维修费、保险费等支出；因公出国（境）费反映单</w:t>
      </w:r>
    </w:p>
    <w:p>
      <w:pPr>
        <w:spacing w:before="2"/>
        <w:jc w:val="left"/>
        <w:rPr>
          <w:rFonts w:ascii="仿宋" w:hAnsi="仿宋" w:eastAsia="仿宋" w:cs="仿宋"/>
          <w:sz w:val="31"/>
        </w:rPr>
      </w:pPr>
      <w:r>
        <w:rPr>
          <w:rFonts w:hint="eastAsia" w:ascii="仿宋" w:hAnsi="仿宋" w:eastAsia="仿宋" w:cs="仿宋"/>
          <w:sz w:val="31"/>
        </w:rPr>
        <w:t>位公务出国（境）的国际旅费、国外城市间交通费、食宿费</w:t>
      </w:r>
    </w:p>
    <w:p>
      <w:pPr>
        <w:spacing w:before="2"/>
        <w:jc w:val="left"/>
        <w:rPr>
          <w:rFonts w:ascii="仿宋" w:hAnsi="仿宋" w:eastAsia="仿宋" w:cs="仿宋"/>
          <w:sz w:val="32"/>
          <w:szCs w:val="32"/>
        </w:rPr>
      </w:pPr>
      <w:r>
        <w:rPr>
          <w:rFonts w:hint="eastAsia" w:ascii="仿宋" w:hAnsi="仿宋" w:eastAsia="仿宋" w:cs="仿宋"/>
          <w:sz w:val="31"/>
        </w:rPr>
        <w:t>等支出。</w:t>
      </w:r>
    </w:p>
    <w:p>
      <w:pPr>
        <w:widowControl/>
        <w:jc w:val="left"/>
        <w:rPr>
          <w:rFonts w:ascii="仿宋" w:hAnsi="仿宋" w:eastAsia="仿宋" w:cs="仿宋"/>
          <w:sz w:val="32"/>
          <w:szCs w:val="32"/>
        </w:rPr>
      </w:pPr>
      <w:r>
        <w:rPr>
          <w:rFonts w:hint="eastAsia" w:ascii="仿宋" w:hAnsi="仿宋" w:eastAsia="仿宋" w:cs="仿宋"/>
          <w:sz w:val="32"/>
          <w:szCs w:val="32"/>
        </w:rPr>
        <w:t xml:space="preserve">3、基本支出：是指为保障机构正常运转、完成日常工作任务而发生的人员支出和公用支出。 </w:t>
      </w:r>
    </w:p>
    <w:p>
      <w:pPr>
        <w:widowControl/>
        <w:jc w:val="left"/>
        <w:rPr>
          <w:rFonts w:ascii="仿宋" w:hAnsi="仿宋" w:eastAsia="仿宋" w:cs="仿宋"/>
          <w:sz w:val="32"/>
          <w:szCs w:val="32"/>
        </w:rPr>
      </w:pPr>
      <w:r>
        <w:rPr>
          <w:rFonts w:hint="eastAsia" w:ascii="仿宋" w:hAnsi="仿宋" w:eastAsia="仿宋" w:cs="仿宋"/>
          <w:sz w:val="32"/>
          <w:szCs w:val="32"/>
        </w:rPr>
        <w:t>4、项目支出：是指在基本支出之外为完成特定行政任务和</w:t>
      </w:r>
    </w:p>
    <w:p>
      <w:pPr>
        <w:pStyle w:val="13"/>
        <w:jc w:val="both"/>
        <w:rPr>
          <w:sz w:val="72"/>
          <w:szCs w:val="72"/>
        </w:rPr>
      </w:pPr>
      <w:r>
        <w:rPr>
          <w:rFonts w:hint="eastAsia" w:ascii="仿宋" w:hAnsi="仿宋" w:eastAsia="仿宋" w:cs="仿宋"/>
          <w:sz w:val="32"/>
          <w:szCs w:val="32"/>
        </w:rPr>
        <w:t>事业发展目标所发生的支出。</w:t>
      </w:r>
    </w:p>
    <w:p>
      <w:pPr>
        <w:pStyle w:val="13"/>
        <w:jc w:val="center"/>
        <w:rPr>
          <w:sz w:val="72"/>
          <w:szCs w:val="72"/>
        </w:rPr>
      </w:pPr>
    </w:p>
    <w:p>
      <w:pPr>
        <w:pStyle w:val="13"/>
        <w:jc w:val="both"/>
        <w:rPr>
          <w:sz w:val="72"/>
          <w:szCs w:val="72"/>
        </w:rPr>
      </w:pPr>
    </w:p>
    <w:p>
      <w:pPr>
        <w:rPr>
          <w:sz w:val="72"/>
          <w:szCs w:val="72"/>
        </w:rPr>
      </w:pPr>
      <w:r>
        <w:rPr>
          <w:sz w:val="72"/>
          <w:szCs w:val="72"/>
        </w:rPr>
        <w:br w:type="page"/>
      </w: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pPr>
        <w:pStyle w:val="13"/>
        <w:jc w:val="center"/>
        <w:rPr>
          <w:rFonts w:hint="eastAsia" w:ascii="方正小标宋_GBK" w:hAnsi="方正小标宋_GBK" w:eastAsia="方正小标宋_GBK" w:cs="方正小标宋_GBK"/>
          <w:sz w:val="70"/>
          <w:szCs w:val="70"/>
        </w:rPr>
      </w:pPr>
    </w:p>
    <w:p>
      <w:pPr>
        <w:pStyle w:val="13"/>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pPr>
        <w:rPr>
          <w:sz w:val="72"/>
          <w:szCs w:val="72"/>
        </w:rPr>
      </w:pPr>
      <w:r>
        <w:rPr>
          <w:sz w:val="72"/>
          <w:szCs w:val="72"/>
        </w:rPr>
        <w:br w:type="page"/>
      </w:r>
    </w:p>
    <w:p>
      <w:pPr>
        <w:tabs>
          <w:tab w:val="left" w:pos="6480"/>
        </w:tabs>
        <w:spacing w:line="600" w:lineRule="exact"/>
        <w:jc w:val="center"/>
        <w:rPr>
          <w:rFonts w:ascii="宋体" w:hAnsi="宋体" w:cs="方正小标宋_GBK"/>
          <w:b/>
          <w:bCs/>
          <w:sz w:val="36"/>
          <w:szCs w:val="36"/>
        </w:rPr>
      </w:pPr>
      <w:r>
        <w:rPr>
          <w:rFonts w:hint="eastAsia" w:ascii="宋体" w:hAnsi="宋体" w:cs="方正小标宋_GBK"/>
          <w:b/>
          <w:bCs/>
          <w:sz w:val="36"/>
          <w:szCs w:val="36"/>
        </w:rPr>
        <w:t>湘潭县行政审批服务局</w:t>
      </w:r>
    </w:p>
    <w:p>
      <w:pPr>
        <w:tabs>
          <w:tab w:val="left" w:pos="6480"/>
        </w:tabs>
        <w:spacing w:line="600" w:lineRule="exact"/>
        <w:jc w:val="center"/>
        <w:rPr>
          <w:rFonts w:ascii="宋体" w:hAnsi="宋体" w:cs="方正小标宋_GBK"/>
          <w:b/>
          <w:bCs/>
          <w:sz w:val="36"/>
          <w:szCs w:val="36"/>
        </w:rPr>
      </w:pPr>
      <w:r>
        <w:rPr>
          <w:rFonts w:hint="eastAsia" w:ascii="宋体" w:hAnsi="宋体" w:cs="方正小标宋_GBK"/>
          <w:b/>
          <w:bCs/>
          <w:sz w:val="36"/>
          <w:szCs w:val="36"/>
        </w:rPr>
        <w:t>部门整体支出绩效评价报告</w:t>
      </w:r>
    </w:p>
    <w:p>
      <w:pPr>
        <w:tabs>
          <w:tab w:val="left" w:pos="6480"/>
        </w:tabs>
        <w:spacing w:line="600" w:lineRule="exact"/>
        <w:jc w:val="center"/>
        <w:rPr>
          <w:rFonts w:ascii="宋体" w:hAnsi="宋体" w:cs="方正小标宋_GBK"/>
          <w:b/>
          <w:bCs/>
          <w:sz w:val="36"/>
          <w:szCs w:val="36"/>
        </w:rPr>
      </w:pPr>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湘潭县行政审批服务局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color w:val="000000" w:themeColor="text1"/>
                <w:szCs w:val="21"/>
                <w:highlight w:val="none"/>
                <w:lang w:val="en-US" w:eastAsia="zh-CN"/>
                <w14:textFill>
                  <w14:solidFill>
                    <w14:schemeClr w14:val="tx1"/>
                  </w14:solidFill>
                </w14:textFill>
              </w:rPr>
              <w:t>581.4</w:t>
            </w:r>
            <w:r>
              <w:rPr>
                <w:rFonts w:hint="eastAsia" w:ascii="仿宋_GB2312" w:hAnsi="宋体" w:eastAsia="仿宋_GB2312" w:cs="宋体"/>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vAlign w:val="center"/>
          </w:tcPr>
          <w:p>
            <w:pPr>
              <w:spacing w:line="576" w:lineRule="exact"/>
              <w:ind w:right="-6"/>
              <w:rPr>
                <w:rFonts w:ascii="仿宋_GB2312" w:hAnsi="宋体" w:eastAsia="仿宋_GB2312" w:cs="宋体"/>
                <w:szCs w:val="21"/>
              </w:rPr>
            </w:pPr>
            <w:r>
              <w:rPr>
                <w:rFonts w:hint="eastAsia" w:ascii="仿宋_GB2312" w:hAnsi="宋体" w:eastAsia="仿宋_GB2312" w:cs="宋体"/>
                <w:szCs w:val="21"/>
              </w:rPr>
              <w:t>1.负责组织拟订全县行政审批制度改革、政务公开协调、政务服务、电子政务管理、县长热线管理相关政策，制定、起草有关规定、制度和管理办法</w:t>
            </w:r>
            <w:bookmarkStart w:id="3" w:name="_GoBack"/>
            <w:bookmarkEnd w:id="3"/>
            <w:r>
              <w:rPr>
                <w:rFonts w:hint="eastAsia" w:ascii="仿宋_GB2312" w:hAnsi="宋体" w:eastAsia="仿宋_GB2312" w:cs="宋体"/>
                <w:szCs w:val="21"/>
              </w:rPr>
              <w:t>，并组织实施。对县直单位和乡镇进行业务指导。</w:t>
            </w:r>
          </w:p>
          <w:p>
            <w:pPr>
              <w:spacing w:line="576" w:lineRule="exact"/>
              <w:ind w:right="-6"/>
              <w:rPr>
                <w:rFonts w:ascii="仿宋_GB2312" w:hAnsi="宋体" w:eastAsia="仿宋_GB2312" w:cs="宋体"/>
                <w:szCs w:val="21"/>
              </w:rPr>
            </w:pPr>
            <w:r>
              <w:rPr>
                <w:rFonts w:hint="eastAsia" w:ascii="仿宋_GB2312" w:hAnsi="宋体" w:eastAsia="仿宋_GB2312" w:cs="宋体"/>
                <w:szCs w:val="21"/>
              </w:rPr>
              <w:t>2.负责指导、协调、推进全县行政审批制度改革工作，承担协调指导全县“放管服”改革的日常工作。负责统筹推进全县审批服务便民化改革，负责指导、协调、监督全县三级政务服务体系和政务服务标准化建设。牵头组织规范全县行政审批和政务服务行为。</w:t>
            </w:r>
          </w:p>
          <w:p>
            <w:pPr>
              <w:spacing w:line="576" w:lineRule="exact"/>
              <w:ind w:right="-6"/>
              <w:rPr>
                <w:rFonts w:ascii="仿宋_GB2312" w:hAnsi="宋体" w:eastAsia="仿宋_GB2312" w:cs="宋体"/>
                <w:szCs w:val="21"/>
              </w:rPr>
            </w:pPr>
            <w:r>
              <w:rPr>
                <w:rFonts w:hint="eastAsia" w:ascii="仿宋_GB2312" w:hAnsi="宋体" w:eastAsia="仿宋_GB2312" w:cs="宋体"/>
                <w:szCs w:val="21"/>
              </w:rPr>
              <w:t>3.负责推进、指导、协调、监督全县政务公开（政府信息公开、办事公开）工作，并负责县政府的政府信息公开的日常工作。负责全县政府网站建设管理工作，承担县政府门户网站主办职责，统筹规划、监督全县政府系统网站。</w:t>
            </w:r>
          </w:p>
          <w:p>
            <w:pPr>
              <w:spacing w:line="576" w:lineRule="exact"/>
              <w:ind w:right="-6"/>
              <w:rPr>
                <w:rFonts w:ascii="仿宋_GB2312" w:hAnsi="宋体" w:eastAsia="仿宋_GB2312" w:cs="宋体"/>
                <w:szCs w:val="21"/>
              </w:rPr>
            </w:pPr>
            <w:r>
              <w:rPr>
                <w:rFonts w:hint="eastAsia" w:ascii="仿宋_GB2312" w:hAnsi="宋体" w:eastAsia="仿宋_GB2312" w:cs="宋体"/>
                <w:szCs w:val="21"/>
              </w:rPr>
              <w:t>4.统筹推进、协调、监督全县政府系统电子政务、“互联网+政务服务”、政务数据资源体系建设与管理工作。</w:t>
            </w:r>
          </w:p>
          <w:p>
            <w:pPr>
              <w:spacing w:line="576" w:lineRule="exact"/>
              <w:ind w:right="-6"/>
              <w:rPr>
                <w:rFonts w:ascii="仿宋_GB2312" w:hAnsi="宋体" w:eastAsia="仿宋_GB2312" w:cs="宋体"/>
                <w:szCs w:val="21"/>
              </w:rPr>
            </w:pPr>
            <w:r>
              <w:rPr>
                <w:rFonts w:hint="eastAsia" w:ascii="仿宋_GB2312" w:hAnsi="宋体" w:eastAsia="仿宋_GB2312" w:cs="宋体"/>
                <w:szCs w:val="21"/>
              </w:rPr>
              <w:t>5.统筹推进县长热线和“县长信箱”工作。负责市民通过县长热线向县政府进行的咨询建议、投诉、求助等事项的处理。</w:t>
            </w:r>
          </w:p>
          <w:p>
            <w:pPr>
              <w:spacing w:line="576" w:lineRule="exact"/>
              <w:ind w:right="-6"/>
              <w:rPr>
                <w:rFonts w:hint="eastAsia" w:ascii="仿宋_GB2312" w:hAnsi="宋体" w:eastAsia="仿宋_GB2312" w:cs="宋体"/>
                <w:szCs w:val="21"/>
              </w:rPr>
            </w:pPr>
            <w:r>
              <w:rPr>
                <w:rFonts w:hint="eastAsia" w:ascii="仿宋_GB2312" w:hAnsi="宋体" w:eastAsia="仿宋_GB2312" w:cs="宋体"/>
                <w:szCs w:val="21"/>
              </w:rPr>
              <w:t>6.负责全县中介超市管理工作，承担中介超市标准化建设和管理职能，指导、协调、考评各单位中介超市管理机构业务工作。</w:t>
            </w:r>
          </w:p>
          <w:p>
            <w:pPr>
              <w:spacing w:line="576" w:lineRule="exact"/>
              <w:ind w:right="-6"/>
              <w:rPr>
                <w:rFonts w:ascii="仿宋_GB2312" w:hAnsi="宋体" w:eastAsia="仿宋_GB2312" w:cs="宋体"/>
                <w:szCs w:val="21"/>
              </w:rPr>
            </w:pPr>
            <w:r>
              <w:rPr>
                <w:rFonts w:hint="eastAsia" w:ascii="仿宋_GB2312" w:hAnsi="宋体" w:eastAsia="仿宋_GB2312" w:cs="宋体"/>
                <w:szCs w:val="21"/>
              </w:rPr>
              <w:t>7.完成县委、县人民政府交办的其他任务。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vAlign w:val="center"/>
          </w:tcPr>
          <w:p>
            <w:pPr>
              <w:spacing w:line="576" w:lineRule="exact"/>
              <w:ind w:right="-6"/>
              <w:rPr>
                <w:rFonts w:ascii="仿宋_GB2312" w:hAnsi="宋体" w:eastAsia="仿宋_GB2312" w:cs="宋体"/>
                <w:szCs w:val="21"/>
                <w:highlight w:val="red"/>
              </w:rPr>
            </w:pPr>
            <w:r>
              <w:rPr>
                <w:rFonts w:hint="eastAsia" w:ascii="仿宋_GB2312" w:hAnsi="宋体" w:eastAsia="仿宋_GB2312" w:cs="宋体"/>
                <w:color w:val="000000" w:themeColor="text1"/>
                <w:szCs w:val="21"/>
                <w:highlight w:val="none"/>
                <w14:textFill>
                  <w14:solidFill>
                    <w14:schemeClr w14:val="tx1"/>
                  </w14:solidFill>
                </w14:textFill>
              </w:rPr>
              <w:t>1、预算执行情况：202</w:t>
            </w:r>
            <w:r>
              <w:rPr>
                <w:rFonts w:hint="eastAsia" w:ascii="仿宋_GB2312" w:hAnsi="宋体" w:eastAsia="仿宋_GB2312" w:cs="宋体"/>
                <w:color w:val="000000" w:themeColor="text1"/>
                <w:szCs w:val="21"/>
                <w:highlight w:val="none"/>
                <w:lang w:val="en-US" w:eastAsia="zh-CN"/>
                <w14:textFill>
                  <w14:solidFill>
                    <w14:schemeClr w14:val="tx1"/>
                  </w14:solidFill>
                </w14:textFill>
              </w:rPr>
              <w:t>3</w:t>
            </w:r>
            <w:r>
              <w:rPr>
                <w:rFonts w:hint="eastAsia" w:ascii="仿宋_GB2312" w:hAnsi="宋体" w:eastAsia="仿宋_GB2312" w:cs="宋体"/>
                <w:color w:val="000000" w:themeColor="text1"/>
                <w:szCs w:val="21"/>
                <w:highlight w:val="none"/>
                <w14:textFill>
                  <w14:solidFill>
                    <w14:schemeClr w14:val="tx1"/>
                  </w14:solidFill>
                </w14:textFill>
              </w:rPr>
              <w:t>年度支出合计</w:t>
            </w:r>
            <w:r>
              <w:rPr>
                <w:rFonts w:hint="eastAsia" w:ascii="仿宋_GB2312" w:hAnsi="宋体" w:eastAsia="仿宋_GB2312" w:cs="宋体"/>
                <w:color w:val="000000" w:themeColor="text1"/>
                <w:szCs w:val="21"/>
                <w:highlight w:val="none"/>
                <w:lang w:val="en-US" w:eastAsia="zh-CN"/>
                <w14:textFill>
                  <w14:solidFill>
                    <w14:schemeClr w14:val="tx1"/>
                  </w14:solidFill>
                </w14:textFill>
              </w:rPr>
              <w:t>672.26</w:t>
            </w:r>
            <w:r>
              <w:rPr>
                <w:rFonts w:hint="eastAsia" w:ascii="仿宋_GB2312" w:hAnsi="宋体" w:eastAsia="仿宋_GB2312" w:cs="宋体"/>
                <w:color w:val="000000" w:themeColor="text1"/>
                <w:szCs w:val="21"/>
                <w:highlight w:val="none"/>
                <w14:textFill>
                  <w14:solidFill>
                    <w14:schemeClr w14:val="tx1"/>
                  </w14:solidFill>
                </w14:textFill>
              </w:rPr>
              <w:t>万元，其中：基本支出</w:t>
            </w:r>
            <w:r>
              <w:rPr>
                <w:rFonts w:hint="eastAsia" w:ascii="仿宋_GB2312" w:hAnsi="宋体" w:eastAsia="仿宋_GB2312" w:cs="宋体"/>
                <w:color w:val="000000" w:themeColor="text1"/>
                <w:szCs w:val="21"/>
                <w:highlight w:val="none"/>
                <w:lang w:val="en-US" w:eastAsia="zh-CN"/>
                <w14:textFill>
                  <w14:solidFill>
                    <w14:schemeClr w14:val="tx1"/>
                  </w14:solidFill>
                </w14:textFill>
              </w:rPr>
              <w:t>241.1</w:t>
            </w:r>
            <w:r>
              <w:rPr>
                <w:rFonts w:hint="eastAsia" w:ascii="仿宋_GB2312" w:hAnsi="宋体" w:eastAsia="仿宋_GB2312" w:cs="宋体"/>
                <w:color w:val="000000" w:themeColor="text1"/>
                <w:szCs w:val="21"/>
                <w:highlight w:val="none"/>
                <w14:textFill>
                  <w14:solidFill>
                    <w14:schemeClr w14:val="tx1"/>
                  </w14:solidFill>
                </w14:textFill>
              </w:rPr>
              <w:t>万元，占</w:t>
            </w:r>
            <w:r>
              <w:rPr>
                <w:rFonts w:hint="eastAsia" w:ascii="仿宋_GB2312" w:hAnsi="宋体" w:eastAsia="仿宋_GB2312" w:cs="宋体"/>
                <w:color w:val="000000" w:themeColor="text1"/>
                <w:szCs w:val="21"/>
                <w:highlight w:val="none"/>
                <w:lang w:val="en-US" w:eastAsia="zh-CN"/>
                <w14:textFill>
                  <w14:solidFill>
                    <w14:schemeClr w14:val="tx1"/>
                  </w14:solidFill>
                </w14:textFill>
              </w:rPr>
              <w:t>36</w:t>
            </w:r>
            <w:r>
              <w:rPr>
                <w:rFonts w:hint="eastAsia" w:ascii="仿宋_GB2312" w:hAnsi="宋体" w:eastAsia="仿宋_GB2312" w:cs="宋体"/>
                <w:color w:val="000000" w:themeColor="text1"/>
                <w:szCs w:val="21"/>
                <w:highlight w:val="none"/>
                <w14:textFill>
                  <w14:solidFill>
                    <w14:schemeClr w14:val="tx1"/>
                  </w14:solidFill>
                </w14:textFill>
              </w:rPr>
              <w:t>%；项目支出</w:t>
            </w:r>
            <w:r>
              <w:rPr>
                <w:rFonts w:hint="eastAsia" w:ascii="仿宋_GB2312" w:hAnsi="宋体" w:eastAsia="仿宋_GB2312" w:cs="宋体"/>
                <w:color w:val="000000" w:themeColor="text1"/>
                <w:szCs w:val="21"/>
                <w:highlight w:val="none"/>
                <w:lang w:val="en-US" w:eastAsia="zh-CN"/>
                <w14:textFill>
                  <w14:solidFill>
                    <w14:schemeClr w14:val="tx1"/>
                  </w14:solidFill>
                </w14:textFill>
              </w:rPr>
              <w:t>431.16</w:t>
            </w:r>
            <w:r>
              <w:rPr>
                <w:rFonts w:hint="eastAsia" w:ascii="仿宋_GB2312" w:hAnsi="宋体" w:eastAsia="仿宋_GB2312" w:cs="宋体"/>
                <w:color w:val="000000" w:themeColor="text1"/>
                <w:szCs w:val="21"/>
                <w:highlight w:val="none"/>
                <w14:textFill>
                  <w14:solidFill>
                    <w14:schemeClr w14:val="tx1"/>
                  </w14:solidFill>
                </w14:textFill>
              </w:rPr>
              <w:t>万元，占</w:t>
            </w:r>
            <w:r>
              <w:rPr>
                <w:rFonts w:hint="eastAsia" w:ascii="仿宋_GB2312" w:hAnsi="宋体" w:eastAsia="仿宋_GB2312" w:cs="宋体"/>
                <w:color w:val="000000" w:themeColor="text1"/>
                <w:szCs w:val="21"/>
                <w:highlight w:val="none"/>
                <w:lang w:val="en-US" w:eastAsia="zh-CN"/>
                <w14:textFill>
                  <w14:solidFill>
                    <w14:schemeClr w14:val="tx1"/>
                  </w14:solidFill>
                </w14:textFill>
              </w:rPr>
              <w:t>64</w:t>
            </w:r>
            <w:r>
              <w:rPr>
                <w:rFonts w:hint="eastAsia" w:ascii="仿宋_GB2312" w:hAnsi="宋体" w:eastAsia="仿宋_GB2312" w:cs="宋体"/>
                <w:color w:val="000000" w:themeColor="text1"/>
                <w:szCs w:val="21"/>
                <w:highlight w:val="none"/>
                <w14:textFill>
                  <w14:solidFill>
                    <w14:schemeClr w14:val="tx1"/>
                  </w14:solidFill>
                </w14:textFill>
              </w:rPr>
              <w:t>%；全年支出合计</w:t>
            </w:r>
            <w:r>
              <w:rPr>
                <w:rFonts w:hint="eastAsia" w:ascii="仿宋_GB2312" w:hAnsi="宋体" w:eastAsia="仿宋_GB2312" w:cs="宋体"/>
                <w:color w:val="000000" w:themeColor="text1"/>
                <w:szCs w:val="21"/>
                <w:highlight w:val="none"/>
                <w:lang w:val="en-US" w:eastAsia="zh-CN"/>
                <w14:textFill>
                  <w14:solidFill>
                    <w14:schemeClr w14:val="tx1"/>
                  </w14:solidFill>
                </w14:textFill>
              </w:rPr>
              <w:t>655.78</w:t>
            </w:r>
            <w:r>
              <w:rPr>
                <w:rFonts w:hint="eastAsia" w:ascii="仿宋_GB2312" w:hAnsi="宋体" w:eastAsia="仿宋_GB2312" w:cs="宋体"/>
                <w:color w:val="000000" w:themeColor="text1"/>
                <w:szCs w:val="21"/>
                <w:highlight w:val="none"/>
                <w14:textFill>
                  <w14:solidFill>
                    <w14:schemeClr w14:val="tx1"/>
                  </w14:solidFill>
                </w14:textFill>
              </w:rPr>
              <w:t>万元。</w:t>
            </w:r>
          </w:p>
          <w:p>
            <w:pPr>
              <w:spacing w:line="576" w:lineRule="exact"/>
              <w:ind w:right="-6"/>
              <w:rPr>
                <w:rFonts w:hint="eastAsia" w:ascii="仿宋_GB2312" w:hAnsi="宋体" w:eastAsia="仿宋_GB2312" w:cs="宋体"/>
                <w:szCs w:val="21"/>
                <w:highlight w:val="none"/>
              </w:rPr>
            </w:pPr>
            <w:r>
              <w:rPr>
                <w:rFonts w:hint="eastAsia" w:ascii="仿宋_GB2312" w:hAnsi="宋体" w:eastAsia="仿宋_GB2312" w:cs="宋体"/>
                <w:szCs w:val="21"/>
                <w:highlight w:val="none"/>
              </w:rPr>
              <w:t>2、“三公经费”年初预算0万元，</w:t>
            </w:r>
            <w:r>
              <w:rPr>
                <w:rFonts w:hint="eastAsia" w:ascii="仿宋_GB2312" w:hAnsi="宋体" w:eastAsia="仿宋_GB2312" w:cs="宋体"/>
                <w:szCs w:val="21"/>
                <w:highlight w:val="none"/>
                <w:lang w:eastAsia="zh-CN"/>
              </w:rPr>
              <w:t>年终追加</w:t>
            </w:r>
            <w:r>
              <w:rPr>
                <w:rFonts w:hint="eastAsia" w:ascii="仿宋_GB2312" w:hAnsi="宋体" w:eastAsia="仿宋_GB2312" w:cs="宋体"/>
                <w:szCs w:val="21"/>
                <w:highlight w:val="none"/>
                <w:lang w:val="en-US" w:eastAsia="zh-CN"/>
              </w:rPr>
              <w:t>1万元，</w:t>
            </w:r>
            <w:r>
              <w:rPr>
                <w:rFonts w:hint="eastAsia" w:ascii="仿宋_GB2312" w:hAnsi="宋体" w:eastAsia="仿宋_GB2312" w:cs="宋体"/>
                <w:szCs w:val="21"/>
                <w:highlight w:val="none"/>
              </w:rPr>
              <w:t>支出合计</w:t>
            </w:r>
            <w:r>
              <w:rPr>
                <w:rFonts w:hint="eastAsia" w:ascii="仿宋_GB2312" w:hAnsi="宋体" w:eastAsia="仿宋_GB2312" w:cs="宋体"/>
                <w:szCs w:val="21"/>
                <w:highlight w:val="none"/>
                <w:lang w:val="en-US" w:eastAsia="zh-CN"/>
              </w:rPr>
              <w:t>0.34</w:t>
            </w:r>
            <w:r>
              <w:rPr>
                <w:rFonts w:hint="eastAsia" w:ascii="仿宋_GB2312" w:hAnsi="宋体" w:eastAsia="仿宋_GB2312" w:cs="宋体"/>
                <w:szCs w:val="21"/>
                <w:highlight w:val="none"/>
              </w:rPr>
              <w:t>万元，严格控制在财政年初预算内。其中：公务接待费</w:t>
            </w:r>
            <w:r>
              <w:rPr>
                <w:rFonts w:hint="eastAsia" w:ascii="仿宋_GB2312" w:hAnsi="宋体" w:eastAsia="仿宋_GB2312" w:cs="宋体"/>
                <w:szCs w:val="21"/>
                <w:highlight w:val="none"/>
                <w:lang w:val="en-US" w:eastAsia="zh-CN"/>
              </w:rPr>
              <w:t>0.34</w:t>
            </w:r>
            <w:r>
              <w:rPr>
                <w:rFonts w:hint="eastAsia" w:ascii="仿宋_GB2312" w:hAnsi="宋体" w:eastAsia="仿宋_GB2312" w:cs="宋体"/>
                <w:szCs w:val="21"/>
                <w:highlight w:val="none"/>
              </w:rPr>
              <w:t>万元，公务用车购置及运行维护费0万元，无因公出国（境）费。</w:t>
            </w:r>
          </w:p>
          <w:p>
            <w:pPr>
              <w:spacing w:line="576" w:lineRule="exact"/>
              <w:ind w:right="-6"/>
              <w:rPr>
                <w:rFonts w:hint="eastAsia" w:ascii="仿宋_GB2312" w:hAnsi="宋体" w:eastAsia="仿宋_GB2312" w:cs="宋体"/>
                <w:szCs w:val="21"/>
              </w:rPr>
            </w:pPr>
            <w:r>
              <w:rPr>
                <w:rFonts w:hint="eastAsia" w:ascii="仿宋_GB2312" w:hAnsi="宋体" w:eastAsia="仿宋_GB2312" w:cs="宋体"/>
                <w:szCs w:val="21"/>
              </w:rPr>
              <w:t>3、资金管理情况。</w:t>
            </w:r>
          </w:p>
          <w:p>
            <w:pPr>
              <w:spacing w:line="576" w:lineRule="exact"/>
              <w:ind w:right="-6"/>
              <w:rPr>
                <w:rFonts w:ascii="仿宋_GB2312" w:hAnsi="宋体" w:eastAsia="仿宋_GB2312" w:cs="宋体"/>
                <w:szCs w:val="21"/>
              </w:rPr>
            </w:pPr>
            <w:r>
              <w:rPr>
                <w:rFonts w:hint="eastAsia" w:ascii="仿宋_GB2312" w:hAnsi="宋体" w:eastAsia="仿宋_GB2312" w:cs="宋体"/>
                <w:szCs w:val="21"/>
              </w:rPr>
              <w:t>一是严格按照“量入而出”“依法收入、依规支出”、“账款分离”的原则进行资金管理;二是严格遵守财经纪律，对差旅费、公务接待、培训费，按照财政文件规定报销，严控三公经费支出，保证单位基本支出，达到了财政资金的使用效果。三是严格专项资金管理。专项资金的管理严格按照“专款专用”的原则，不挪用、不占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vAlign w:val="center"/>
          </w:tcPr>
          <w:p>
            <w:pPr>
              <w:spacing w:line="576" w:lineRule="exact"/>
              <w:ind w:right="-6"/>
              <w:rPr>
                <w:rFonts w:hint="eastAsia" w:ascii="仿宋_GB2312" w:hAnsi="宋体" w:eastAsia="仿宋_GB2312" w:cs="宋体"/>
                <w:szCs w:val="21"/>
              </w:rPr>
            </w:pPr>
            <w:r>
              <w:rPr>
                <w:rFonts w:hint="eastAsia" w:ascii="仿宋_GB2312" w:hAnsi="宋体" w:eastAsia="仿宋_GB2312" w:cs="宋体"/>
                <w:szCs w:val="21"/>
                <w:lang w:val="en-US" w:eastAsia="zh-CN"/>
              </w:rPr>
              <w:t>2023年以来，在县委县政府的坚强领导下，县行政审批局持续深化“放管服”改革，切实推动营商政务环境再优化，集中解决一批发展所需、改革所急、基层所盼、民心所向的问题，探索形成了政务大厅“三化”建设、“清廉大厅”建设、“政务小莲”新型服务模式等一批改革经验成果。</w:t>
            </w:r>
          </w:p>
          <w:p>
            <w:pPr>
              <w:spacing w:line="576" w:lineRule="exact"/>
              <w:ind w:right="-6"/>
              <w:rPr>
                <w:rFonts w:hint="eastAsia" w:ascii="仿宋_GB2312" w:hAnsi="宋体" w:eastAsia="仿宋_GB2312" w:cs="宋体"/>
                <w:szCs w:val="21"/>
                <w:lang w:val="en-US" w:eastAsia="zh-CN"/>
              </w:rPr>
            </w:pPr>
            <w:r>
              <w:rPr>
                <w:rFonts w:hint="eastAsia" w:ascii="仿宋_GB2312" w:hAnsi="宋体" w:eastAsia="仿宋_GB2312" w:cs="宋体"/>
                <w:szCs w:val="21"/>
              </w:rPr>
              <w:t>一</w:t>
            </w:r>
            <w:r>
              <w:rPr>
                <w:rFonts w:hint="eastAsia" w:ascii="仿宋_GB2312" w:hAnsi="宋体" w:eastAsia="仿宋_GB2312" w:cs="宋体"/>
                <w:szCs w:val="21"/>
                <w:lang w:eastAsia="zh-CN"/>
              </w:rPr>
              <w:t>、</w:t>
            </w:r>
            <w:r>
              <w:rPr>
                <w:rFonts w:hint="eastAsia" w:ascii="仿宋_GB2312" w:hAnsi="宋体" w:eastAsia="仿宋_GB2312" w:cs="宋体"/>
                <w:szCs w:val="21"/>
                <w:lang w:val="en-US" w:eastAsia="zh-CN"/>
              </w:rPr>
              <w:t>2023年工作完成情况</w:t>
            </w:r>
          </w:p>
          <w:p>
            <w:pPr>
              <w:spacing w:line="576" w:lineRule="exact"/>
              <w:ind w:right="-6"/>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w:t>
            </w:r>
            <w:r>
              <w:rPr>
                <w:rFonts w:hint="eastAsia" w:ascii="仿宋_GB2312" w:hAnsi="宋体" w:eastAsia="仿宋_GB2312" w:cs="宋体"/>
                <w:szCs w:val="21"/>
              </w:rPr>
              <w:t>依托主题教育凝心聚力，推动党建工作迈上新台阶</w:t>
            </w:r>
            <w:r>
              <w:rPr>
                <w:rFonts w:hint="eastAsia" w:ascii="仿宋_GB2312" w:hAnsi="宋体" w:eastAsia="仿宋_GB2312" w:cs="宋体"/>
                <w:szCs w:val="21"/>
                <w:lang w:eastAsia="zh-CN"/>
              </w:rPr>
              <w:t>。</w:t>
            </w:r>
            <w:r>
              <w:rPr>
                <w:rFonts w:hint="eastAsia" w:ascii="仿宋_GB2312" w:hAnsi="宋体" w:eastAsia="仿宋_GB2312" w:cs="宋体"/>
                <w:szCs w:val="21"/>
                <w:lang w:val="en-US" w:eastAsia="zh-CN"/>
              </w:rPr>
              <w:t>今年10月，</w:t>
            </w:r>
            <w:r>
              <w:rPr>
                <w:rFonts w:hint="eastAsia" w:ascii="仿宋_GB2312" w:hAnsi="宋体" w:eastAsia="仿宋_GB2312" w:cs="宋体"/>
                <w:szCs w:val="21"/>
              </w:rPr>
              <w:t>省主题教育指导组对大厅党建工作、主题教育活动情况给予高度评价。成功创建市级“清廉大厅”，获</w:t>
            </w:r>
            <w:r>
              <w:rPr>
                <w:rFonts w:hint="eastAsia" w:ascii="仿宋_GB2312" w:hAnsi="宋体" w:eastAsia="仿宋_GB2312" w:cs="宋体"/>
                <w:szCs w:val="21"/>
                <w:lang w:val="en-US" w:eastAsia="zh-CN"/>
              </w:rPr>
              <w:t>评</w:t>
            </w:r>
            <w:r>
              <w:rPr>
                <w:rFonts w:hint="eastAsia" w:ascii="仿宋_GB2312" w:hAnsi="宋体" w:eastAsia="仿宋_GB2312" w:cs="宋体"/>
                <w:szCs w:val="21"/>
              </w:rPr>
              <w:t>省政务局十大改革品牌。</w:t>
            </w:r>
            <w:r>
              <w:rPr>
                <w:rFonts w:hint="eastAsia" w:ascii="仿宋_GB2312" w:hAnsi="宋体" w:eastAsia="仿宋_GB2312" w:cs="宋体"/>
                <w:szCs w:val="21"/>
                <w:lang w:eastAsia="zh-CN"/>
              </w:rPr>
              <w:t>一是</w:t>
            </w:r>
            <w:r>
              <w:rPr>
                <w:rFonts w:hint="eastAsia" w:ascii="仿宋_GB2312" w:hAnsi="宋体" w:eastAsia="仿宋_GB2312" w:cs="宋体"/>
                <w:szCs w:val="21"/>
              </w:rPr>
              <w:t>分层分类学习，增强理论学习实效。每月开展1-2次党组中心组理论学习</w:t>
            </w:r>
            <w:r>
              <w:rPr>
                <w:rFonts w:hint="eastAsia" w:ascii="仿宋_GB2312" w:hAnsi="宋体" w:eastAsia="仿宋_GB2312" w:cs="宋体"/>
                <w:szCs w:val="21"/>
                <w:lang w:eastAsia="zh-CN"/>
              </w:rPr>
              <w:t>，</w:t>
            </w:r>
            <w:r>
              <w:rPr>
                <w:rFonts w:hint="eastAsia" w:ascii="仿宋_GB2312" w:hAnsi="宋体" w:eastAsia="仿宋_GB2312" w:cs="宋体"/>
                <w:szCs w:val="21"/>
                <w:lang w:val="en-US" w:eastAsia="zh-CN"/>
              </w:rPr>
              <w:t>联合</w:t>
            </w:r>
            <w:r>
              <w:rPr>
                <w:rFonts w:hint="eastAsia" w:ascii="仿宋_GB2312" w:hAnsi="宋体" w:eastAsia="仿宋_GB2312" w:cs="宋体"/>
                <w:szCs w:val="21"/>
              </w:rPr>
              <w:t>功能型党</w:t>
            </w:r>
            <w:r>
              <w:rPr>
                <w:rFonts w:hint="eastAsia" w:ascii="仿宋_GB2312" w:hAnsi="宋体" w:eastAsia="仿宋_GB2312" w:cs="宋体"/>
                <w:szCs w:val="21"/>
                <w:lang w:val="en-US" w:eastAsia="zh-CN"/>
              </w:rPr>
              <w:t>支部</w:t>
            </w:r>
            <w:r>
              <w:rPr>
                <w:rFonts w:hint="eastAsia" w:ascii="仿宋_GB2312" w:hAnsi="宋体" w:eastAsia="仿宋_GB2312" w:cs="宋体"/>
                <w:szCs w:val="21"/>
              </w:rPr>
              <w:t>，每月开展一次主题党日活动</w:t>
            </w:r>
            <w:r>
              <w:rPr>
                <w:rFonts w:hint="eastAsia" w:ascii="仿宋_GB2312" w:hAnsi="宋体" w:eastAsia="仿宋_GB2312" w:cs="宋体"/>
                <w:szCs w:val="21"/>
                <w:lang w:eastAsia="zh-CN"/>
              </w:rPr>
              <w:t>，扎实推进主题教育。</w:t>
            </w:r>
            <w:r>
              <w:rPr>
                <w:rFonts w:hint="eastAsia" w:ascii="仿宋_GB2312" w:hAnsi="宋体" w:eastAsia="仿宋_GB2312" w:cs="宋体"/>
                <w:szCs w:val="21"/>
              </w:rPr>
              <w:t>大力推动“党建+窗口建设”，全年共评选展示“党员示范岗”</w:t>
            </w:r>
            <w:r>
              <w:rPr>
                <w:rFonts w:hint="eastAsia" w:ascii="仿宋_GB2312" w:hAnsi="宋体" w:eastAsia="仿宋_GB2312" w:cs="宋体"/>
                <w:szCs w:val="21"/>
                <w:lang w:val="en-US" w:eastAsia="zh-CN"/>
              </w:rPr>
              <w:t>32</w:t>
            </w:r>
            <w:r>
              <w:rPr>
                <w:rFonts w:hint="eastAsia" w:ascii="仿宋_GB2312" w:hAnsi="宋体" w:eastAsia="仿宋_GB2312" w:cs="宋体"/>
                <w:szCs w:val="21"/>
              </w:rPr>
              <w:t>人次，“红旗窗口”12个</w:t>
            </w:r>
            <w:r>
              <w:rPr>
                <w:rFonts w:hint="eastAsia" w:ascii="仿宋_GB2312" w:hAnsi="宋体" w:eastAsia="仿宋_GB2312" w:cs="宋体"/>
                <w:szCs w:val="21"/>
                <w:lang w:eastAsia="zh-CN"/>
              </w:rPr>
              <w:t>。</w:t>
            </w:r>
            <w:r>
              <w:rPr>
                <w:rFonts w:hint="eastAsia" w:ascii="仿宋_GB2312" w:hAnsi="宋体" w:eastAsia="仿宋_GB2312" w:cs="宋体"/>
                <w:szCs w:val="21"/>
              </w:rPr>
              <w:t>持续擦亮“党建+政务服务”品牌</w:t>
            </w:r>
            <w:r>
              <w:rPr>
                <w:rFonts w:hint="eastAsia" w:ascii="仿宋_GB2312" w:hAnsi="宋体" w:eastAsia="仿宋_GB2312" w:cs="宋体"/>
                <w:szCs w:val="21"/>
                <w:lang w:eastAsia="zh-CN"/>
              </w:rPr>
              <w:t>，</w:t>
            </w:r>
            <w:r>
              <w:rPr>
                <w:rFonts w:hint="eastAsia" w:ascii="仿宋_GB2312" w:hAnsi="宋体" w:eastAsia="仿宋_GB2312" w:cs="宋体"/>
                <w:szCs w:val="21"/>
              </w:rPr>
              <w:t>开展“窗口党员亮身份学榜样”活动，全年收到群众表扬信34封，锦旗5面。</w:t>
            </w:r>
            <w:r>
              <w:rPr>
                <w:rFonts w:hint="eastAsia" w:ascii="仿宋_GB2312" w:hAnsi="宋体" w:eastAsia="仿宋_GB2312" w:cs="宋体"/>
                <w:szCs w:val="21"/>
                <w:lang w:eastAsia="zh-CN"/>
              </w:rPr>
              <w:t>二是</w:t>
            </w:r>
            <w:r>
              <w:rPr>
                <w:rFonts w:hint="eastAsia" w:ascii="仿宋_GB2312" w:hAnsi="宋体" w:eastAsia="仿宋_GB2312" w:cs="宋体"/>
                <w:szCs w:val="21"/>
              </w:rPr>
              <w:t>紧贴发展大局，破解干事创业难题。</w:t>
            </w:r>
            <w:r>
              <w:rPr>
                <w:rFonts w:hint="eastAsia" w:ascii="仿宋_GB2312" w:hAnsi="宋体" w:eastAsia="仿宋_GB2312" w:cs="宋体"/>
                <w:szCs w:val="21"/>
                <w:lang w:val="en-US" w:eastAsia="zh-CN"/>
              </w:rPr>
              <w:t>严格落实意识形态工作责任制，开展专题分析研判7次。聚焦党外干部培养，选配3名优秀党外干部担任股室负责人。派出党员到茶恩寺镇桥市村担任乡村振兴工作队长，局14名党员干部分别在云湖桥七里铺村结对24户，定期走访慰问。坚持党管武装，成立大数据排，开展为期10天9夜的连贯演练。乡村振兴、</w:t>
            </w:r>
            <w:r>
              <w:rPr>
                <w:rFonts w:hint="default" w:ascii="仿宋_GB2312" w:hAnsi="宋体" w:eastAsia="仿宋_GB2312" w:cs="宋体"/>
                <w:szCs w:val="21"/>
                <w:lang w:val="en-US" w:eastAsia="zh-CN"/>
              </w:rPr>
              <w:t>综治民调、信访维稳、安全生产</w:t>
            </w:r>
            <w:r>
              <w:rPr>
                <w:rFonts w:hint="eastAsia" w:ascii="仿宋_GB2312" w:hAnsi="宋体" w:eastAsia="仿宋_GB2312" w:cs="宋体"/>
                <w:szCs w:val="21"/>
                <w:lang w:val="en-US" w:eastAsia="zh-CN"/>
              </w:rPr>
              <w:t>、依法治县</w:t>
            </w:r>
            <w:r>
              <w:rPr>
                <w:rFonts w:hint="default" w:ascii="仿宋_GB2312" w:hAnsi="宋体" w:eastAsia="仿宋_GB2312" w:cs="宋体"/>
                <w:szCs w:val="21"/>
                <w:lang w:val="en-US" w:eastAsia="zh-CN"/>
              </w:rPr>
              <w:t>等各项工作</w:t>
            </w:r>
            <w:r>
              <w:rPr>
                <w:rFonts w:hint="eastAsia" w:ascii="仿宋_GB2312" w:hAnsi="宋体" w:eastAsia="仿宋_GB2312" w:cs="宋体"/>
                <w:szCs w:val="21"/>
                <w:lang w:val="en-US" w:eastAsia="zh-CN"/>
              </w:rPr>
              <w:t>均</w:t>
            </w:r>
            <w:r>
              <w:rPr>
                <w:rFonts w:hint="default" w:ascii="仿宋_GB2312" w:hAnsi="宋体" w:eastAsia="仿宋_GB2312" w:cs="宋体"/>
                <w:szCs w:val="21"/>
                <w:lang w:val="en-US" w:eastAsia="zh-CN"/>
              </w:rPr>
              <w:t>有序推进。</w:t>
            </w:r>
            <w:r>
              <w:rPr>
                <w:rFonts w:hint="eastAsia" w:ascii="仿宋_GB2312" w:hAnsi="宋体" w:eastAsia="仿宋_GB2312" w:cs="宋体"/>
                <w:szCs w:val="21"/>
                <w:lang w:val="en-US" w:eastAsia="zh-CN"/>
              </w:rPr>
              <w:t>三是</w:t>
            </w:r>
            <w:r>
              <w:rPr>
                <w:rFonts w:hint="eastAsia" w:ascii="仿宋_GB2312" w:hAnsi="宋体" w:eastAsia="仿宋_GB2312" w:cs="宋体"/>
                <w:szCs w:val="21"/>
              </w:rPr>
              <w:t>认真检视整改，永葆党员政治本色。聚焦树立和践行正确政绩观，</w:t>
            </w:r>
            <w:r>
              <w:rPr>
                <w:rFonts w:hint="eastAsia" w:ascii="仿宋_GB2312" w:hAnsi="宋体" w:eastAsia="仿宋_GB2312" w:cs="宋体"/>
                <w:szCs w:val="21"/>
                <w:lang w:val="en-US" w:eastAsia="zh-CN"/>
              </w:rPr>
              <w:t>深入</w:t>
            </w:r>
            <w:r>
              <w:rPr>
                <w:rFonts w:hint="eastAsia" w:ascii="仿宋_GB2312" w:hAnsi="宋体" w:eastAsia="仿宋_GB2312" w:cs="宋体"/>
                <w:szCs w:val="21"/>
              </w:rPr>
              <w:t>开展“镜鉴”以案促改促建促治专项活动</w:t>
            </w:r>
            <w:r>
              <w:rPr>
                <w:rFonts w:hint="eastAsia" w:ascii="仿宋_GB2312" w:hAnsi="宋体" w:eastAsia="仿宋_GB2312" w:cs="宋体"/>
                <w:szCs w:val="21"/>
                <w:lang w:eastAsia="zh-CN"/>
              </w:rPr>
              <w:t>。</w:t>
            </w:r>
            <w:r>
              <w:rPr>
                <w:rFonts w:hint="eastAsia" w:ascii="仿宋_GB2312" w:hAnsi="宋体" w:eastAsia="仿宋_GB2312" w:cs="宋体"/>
                <w:szCs w:val="21"/>
              </w:rPr>
              <w:t>持续开展“清廉大厅”等清廉单元建设，</w:t>
            </w:r>
            <w:r>
              <w:rPr>
                <w:rFonts w:hint="eastAsia" w:ascii="仿宋_GB2312" w:hAnsi="宋体" w:eastAsia="仿宋_GB2312" w:cs="宋体"/>
                <w:szCs w:val="21"/>
                <w:lang w:val="en-US" w:eastAsia="zh-CN"/>
              </w:rPr>
              <w:t>构建“五廉一体”工作机制，</w:t>
            </w:r>
            <w:r>
              <w:rPr>
                <w:rFonts w:hint="eastAsia" w:ascii="仿宋_GB2312" w:hAnsi="宋体" w:eastAsia="仿宋_GB2312" w:cs="宋体"/>
                <w:szCs w:val="21"/>
              </w:rPr>
              <w:t>举办“清廉文化展”，打造“清廉书吧”</w:t>
            </w:r>
            <w:r>
              <w:rPr>
                <w:rFonts w:hint="eastAsia" w:ascii="仿宋_GB2312" w:hAnsi="宋体" w:eastAsia="仿宋_GB2312" w:cs="宋体"/>
                <w:szCs w:val="21"/>
                <w:lang w:eastAsia="zh-CN"/>
              </w:rPr>
              <w:t>，</w:t>
            </w:r>
            <w:r>
              <w:rPr>
                <w:rFonts w:hint="eastAsia" w:ascii="仿宋_GB2312" w:hAnsi="宋体" w:eastAsia="仿宋_GB2312" w:cs="宋体"/>
                <w:szCs w:val="21"/>
                <w:lang w:val="en-US" w:eastAsia="zh-CN"/>
              </w:rPr>
              <w:t>营造尊廉崇廉氛围。</w:t>
            </w:r>
          </w:p>
          <w:p>
            <w:pPr>
              <w:spacing w:line="576" w:lineRule="exact"/>
              <w:ind w:right="-6"/>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推动“放管服”走深走实，打造营商政务环境新高地。优化项目审批服务效能，我县2022年政务服务指标全省排名第4，获评县优化营商环境工作先进集体。一是深化“智慧大厅”建设，办事环境再优化。持续巩固“三化”建设成果，县政务大厅由单一办事大厅向现代化“政务综合体”转型升级。</w:t>
            </w:r>
            <w:r>
              <w:rPr>
                <w:rFonts w:hint="eastAsia" w:ascii="仿宋_GB2312" w:hAnsi="宋体" w:eastAsia="仿宋_GB2312" w:cs="宋体"/>
                <w:szCs w:val="21"/>
              </w:rPr>
              <w:t>2023年</w:t>
            </w:r>
            <w:r>
              <w:rPr>
                <w:rFonts w:hint="eastAsia" w:ascii="仿宋_GB2312" w:hAnsi="宋体" w:eastAsia="仿宋_GB2312" w:cs="宋体"/>
                <w:szCs w:val="21"/>
                <w:lang w:val="en-US" w:eastAsia="zh-CN"/>
              </w:rPr>
              <w:t>县政务大厅</w:t>
            </w:r>
            <w:r>
              <w:rPr>
                <w:rFonts w:hint="eastAsia" w:ascii="仿宋_GB2312" w:hAnsi="宋体" w:eastAsia="仿宋_GB2312" w:cs="宋体"/>
                <w:szCs w:val="21"/>
              </w:rPr>
              <w:t>各窗口办件总量516455件，服务群众526542人次</w:t>
            </w:r>
            <w:r>
              <w:rPr>
                <w:rFonts w:hint="eastAsia" w:ascii="仿宋_GB2312" w:hAnsi="宋体" w:eastAsia="仿宋_GB2312" w:cs="宋体"/>
                <w:szCs w:val="21"/>
                <w:lang w:eastAsia="zh-CN"/>
              </w:rPr>
              <w:t>。二是</w:t>
            </w:r>
            <w:r>
              <w:rPr>
                <w:rFonts w:hint="eastAsia" w:ascii="仿宋_GB2312" w:hAnsi="宋体" w:eastAsia="仿宋_GB2312" w:cs="宋体"/>
                <w:szCs w:val="21"/>
              </w:rPr>
              <w:t>探索“一件事一次办”，集成改革再提档。推出31个主题式、套餐式场景应用</w:t>
            </w:r>
            <w:r>
              <w:rPr>
                <w:rFonts w:hint="eastAsia" w:ascii="仿宋_GB2312" w:hAnsi="宋体" w:eastAsia="仿宋_GB2312" w:cs="宋体"/>
                <w:szCs w:val="21"/>
                <w:lang w:eastAsia="zh-CN"/>
              </w:rPr>
              <w:t>，</w:t>
            </w:r>
            <w:r>
              <w:rPr>
                <w:rFonts w:hint="eastAsia" w:ascii="仿宋_GB2312" w:hAnsi="宋体" w:eastAsia="仿宋_GB2312" w:cs="宋体"/>
                <w:szCs w:val="21"/>
              </w:rPr>
              <w:t>拓展市政联合报装、农村住房建设等“一件事一次办”事项落地实施</w:t>
            </w:r>
            <w:r>
              <w:rPr>
                <w:rFonts w:hint="eastAsia" w:ascii="仿宋_GB2312" w:hAnsi="宋体" w:eastAsia="仿宋_GB2312" w:cs="宋体"/>
                <w:szCs w:val="21"/>
                <w:lang w:eastAsia="zh-CN"/>
              </w:rPr>
              <w:t>。</w:t>
            </w:r>
            <w:r>
              <w:rPr>
                <w:rFonts w:hint="eastAsia" w:ascii="仿宋_GB2312" w:hAnsi="宋体" w:eastAsia="仿宋_GB2312" w:cs="宋体"/>
                <w:szCs w:val="21"/>
                <w:lang w:val="en-US" w:eastAsia="zh-CN"/>
              </w:rPr>
              <w:t>今年</w:t>
            </w:r>
            <w:r>
              <w:rPr>
                <w:rFonts w:hint="eastAsia" w:ascii="仿宋_GB2312" w:hAnsi="宋体" w:eastAsia="仿宋_GB2312" w:cs="宋体"/>
                <w:szCs w:val="21"/>
              </w:rPr>
              <w:t>与5省8地</w:t>
            </w:r>
            <w:r>
              <w:rPr>
                <w:rFonts w:hint="eastAsia" w:ascii="仿宋_GB2312" w:hAnsi="宋体" w:eastAsia="仿宋_GB2312" w:cs="宋体"/>
                <w:szCs w:val="21"/>
                <w:lang w:val="en-US" w:eastAsia="zh-CN"/>
              </w:rPr>
              <w:t>新</w:t>
            </w:r>
            <w:r>
              <w:rPr>
                <w:rFonts w:hint="eastAsia" w:ascii="仿宋_GB2312" w:hAnsi="宋体" w:eastAsia="仿宋_GB2312" w:cs="宋体"/>
                <w:szCs w:val="21"/>
              </w:rPr>
              <w:t>签订“云上办”政务服务“跨省通办”合作联盟协议</w:t>
            </w:r>
            <w:r>
              <w:rPr>
                <w:rFonts w:hint="eastAsia" w:ascii="仿宋_GB2312" w:hAnsi="宋体" w:eastAsia="仿宋_GB2312" w:cs="宋体"/>
                <w:szCs w:val="21"/>
                <w:lang w:eastAsia="zh-CN"/>
              </w:rPr>
              <w:t>，</w:t>
            </w:r>
            <w:r>
              <w:rPr>
                <w:rFonts w:hint="eastAsia" w:ascii="仿宋_GB2312" w:hAnsi="宋体" w:eastAsia="仿宋_GB2312" w:cs="宋体"/>
                <w:szCs w:val="21"/>
              </w:rPr>
              <w:t>已为异地企业群众提供服务3.2万人次。</w:t>
            </w:r>
            <w:r>
              <w:rPr>
                <w:rFonts w:hint="eastAsia" w:ascii="仿宋_GB2312" w:hAnsi="宋体" w:eastAsia="仿宋_GB2312" w:cs="宋体"/>
                <w:szCs w:val="21"/>
                <w:lang w:eastAsia="zh-CN"/>
              </w:rPr>
              <w:t>三是</w:t>
            </w:r>
            <w:r>
              <w:rPr>
                <w:rFonts w:hint="eastAsia" w:ascii="仿宋_GB2312" w:hAnsi="宋体" w:eastAsia="仿宋_GB2312" w:cs="宋体"/>
                <w:szCs w:val="21"/>
                <w:lang w:val="en-US" w:eastAsia="zh-CN"/>
              </w:rPr>
              <w:t>深化“综窗受理”改革，政务服务再升级。规范县、乡、村三级政务服务场所名称和标识、科学设置设施设备和功能窗口、建立健全各项工作制度。建设专业综窗队伍，提供全流程帮代办服务；开设企业专区，助力市场主体提升活力；开通绿色通道，助力特殊人群便捷办事。</w:t>
            </w:r>
          </w:p>
          <w:p>
            <w:pPr>
              <w:spacing w:line="576" w:lineRule="exact"/>
              <w:ind w:right="-6"/>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3、围绕民生需求“揭榜竞优”，构建高效政务服务新格局，创新推出“政务小莲”系列服务模式，相关工作经验被人民日报、学习强国、湖南新闻联播、湘潭日报头版等媒体报道，被省政府办公厅《“三送三解三优”行动工作专报》、省政务局《政务管理服务工作专刊》、省工改办《工程建设项目审批制度改革动态简报》作为典型经验推介。一是推出“政务小莲当管家”，做响“品质牌”。创新“领导小组+政务小莲管家团”模式，时间前移至招商引资，空间前移至项目工地。</w:t>
            </w:r>
            <w:r>
              <w:rPr>
                <w:rFonts w:hint="eastAsia" w:ascii="仿宋_GB2312" w:hAnsi="宋体" w:eastAsia="仿宋_GB2312" w:cs="宋体"/>
                <w:szCs w:val="21"/>
                <w:lang w:eastAsia="zh-CN"/>
              </w:rPr>
              <w:t>如省重点民生实事“特立海航楼”</w:t>
            </w:r>
            <w:r>
              <w:rPr>
                <w:rFonts w:hint="eastAsia" w:ascii="仿宋_GB2312" w:hAnsi="宋体" w:eastAsia="仿宋_GB2312" w:cs="宋体"/>
                <w:szCs w:val="21"/>
                <w:lang w:val="en-US" w:eastAsia="zh-CN"/>
              </w:rPr>
              <w:t>仅用27个自然日完成全部审批，全省首个动工落地。</w:t>
            </w:r>
            <w:r>
              <w:rPr>
                <w:rFonts w:hint="eastAsia" w:ascii="仿宋_GB2312" w:hAnsi="宋体" w:eastAsia="仿宋_GB2312" w:cs="宋体"/>
                <w:szCs w:val="21"/>
                <w:lang w:eastAsia="zh-CN"/>
              </w:rPr>
              <w:t>今年已</w:t>
            </w:r>
            <w:r>
              <w:rPr>
                <w:rFonts w:hint="eastAsia" w:ascii="仿宋_GB2312" w:hAnsi="宋体" w:eastAsia="仿宋_GB2312" w:cs="宋体"/>
                <w:szCs w:val="21"/>
              </w:rPr>
              <w:t>服务企业项目</w:t>
            </w:r>
            <w:r>
              <w:rPr>
                <w:rFonts w:hint="eastAsia" w:ascii="仿宋_GB2312" w:hAnsi="宋体" w:eastAsia="仿宋_GB2312" w:cs="宋体"/>
                <w:szCs w:val="21"/>
                <w:lang w:val="en-US" w:eastAsia="zh-CN"/>
              </w:rPr>
              <w:t>326</w:t>
            </w:r>
            <w:r>
              <w:rPr>
                <w:rFonts w:hint="eastAsia" w:ascii="仿宋_GB2312" w:hAnsi="宋体" w:eastAsia="仿宋_GB2312" w:cs="宋体"/>
                <w:szCs w:val="21"/>
              </w:rPr>
              <w:t>家</w:t>
            </w:r>
            <w:r>
              <w:rPr>
                <w:rFonts w:hint="eastAsia" w:ascii="仿宋_GB2312" w:hAnsi="宋体" w:eastAsia="仿宋_GB2312" w:cs="宋体"/>
                <w:szCs w:val="21"/>
                <w:lang w:eastAsia="zh-CN"/>
              </w:rPr>
              <w:t>，“百十亿”工程连续</w:t>
            </w:r>
            <w:r>
              <w:rPr>
                <w:rFonts w:hint="eastAsia" w:ascii="仿宋_GB2312" w:hAnsi="宋体" w:eastAsia="仿宋_GB2312" w:cs="宋体"/>
                <w:szCs w:val="21"/>
                <w:lang w:val="en-US" w:eastAsia="zh-CN"/>
              </w:rPr>
              <w:t>三</w:t>
            </w:r>
            <w:r>
              <w:rPr>
                <w:rFonts w:hint="eastAsia" w:ascii="仿宋_GB2312" w:hAnsi="宋体" w:eastAsia="仿宋_GB2312" w:cs="宋体"/>
                <w:szCs w:val="21"/>
                <w:lang w:eastAsia="zh-CN"/>
              </w:rPr>
              <w:t>季度获评先进单位。二是</w:t>
            </w:r>
            <w:r>
              <w:rPr>
                <w:rFonts w:hint="eastAsia" w:ascii="仿宋_GB2312" w:hAnsi="宋体" w:eastAsia="仿宋_GB2312" w:cs="宋体"/>
                <w:szCs w:val="21"/>
                <w:lang w:val="en-US" w:eastAsia="zh-CN"/>
              </w:rPr>
              <w:t>推出“政务小莲说政策”，擦亮“创新牌”。</w:t>
            </w:r>
            <w:r>
              <w:rPr>
                <w:rFonts w:hint="eastAsia" w:ascii="仿宋_GB2312" w:hAnsi="宋体" w:eastAsia="仿宋_GB2312" w:cs="宋体"/>
                <w:szCs w:val="21"/>
              </w:rPr>
              <w:t>依托“莲乡微政务”</w:t>
            </w:r>
            <w:r>
              <w:rPr>
                <w:rFonts w:hint="eastAsia" w:ascii="仿宋_GB2312" w:hAnsi="宋体" w:eastAsia="仿宋_GB2312" w:cs="宋体"/>
                <w:szCs w:val="21"/>
                <w:lang w:eastAsia="zh-CN"/>
              </w:rPr>
              <w:t>等媒体</w:t>
            </w:r>
            <w:r>
              <w:rPr>
                <w:rFonts w:hint="eastAsia" w:ascii="仿宋_GB2312" w:hAnsi="宋体" w:eastAsia="仿宋_GB2312" w:cs="宋体"/>
                <w:szCs w:val="21"/>
              </w:rPr>
              <w:t>，积极</w:t>
            </w:r>
            <w:r>
              <w:rPr>
                <w:rFonts w:hint="eastAsia" w:ascii="仿宋_GB2312" w:hAnsi="宋体" w:eastAsia="仿宋_GB2312" w:cs="宋体"/>
                <w:szCs w:val="21"/>
                <w:lang w:eastAsia="zh-CN"/>
              </w:rPr>
              <w:t>探索</w:t>
            </w:r>
            <w:r>
              <w:rPr>
                <w:rFonts w:hint="eastAsia" w:ascii="仿宋_GB2312" w:hAnsi="宋体" w:eastAsia="仿宋_GB2312" w:cs="宋体"/>
                <w:szCs w:val="21"/>
              </w:rPr>
              <w:t>视频导办服务和政务直播服务。</w:t>
            </w:r>
            <w:r>
              <w:rPr>
                <w:rFonts w:hint="eastAsia" w:ascii="仿宋_GB2312" w:hAnsi="宋体" w:eastAsia="仿宋_GB2312" w:cs="宋体"/>
                <w:szCs w:val="21"/>
                <w:lang w:val="en-US" w:eastAsia="zh-CN"/>
              </w:rPr>
              <w:t>今年共</w:t>
            </w:r>
            <w:r>
              <w:rPr>
                <w:rFonts w:hint="eastAsia" w:ascii="仿宋_GB2312" w:hAnsi="宋体" w:eastAsia="仿宋_GB2312" w:cs="宋体"/>
                <w:szCs w:val="21"/>
              </w:rPr>
              <w:t>发布了</w:t>
            </w:r>
            <w:r>
              <w:rPr>
                <w:rFonts w:hint="eastAsia" w:ascii="仿宋_GB2312" w:hAnsi="宋体" w:eastAsia="仿宋_GB2312" w:cs="宋体"/>
                <w:szCs w:val="21"/>
                <w:lang w:val="en-US" w:eastAsia="zh-CN"/>
              </w:rPr>
              <w:t>13</w:t>
            </w:r>
            <w:r>
              <w:rPr>
                <w:rFonts w:hint="eastAsia" w:ascii="仿宋_GB2312" w:hAnsi="宋体" w:eastAsia="仿宋_GB2312" w:cs="宋体"/>
                <w:szCs w:val="21"/>
              </w:rPr>
              <w:t>期短视频，</w:t>
            </w:r>
            <w:r>
              <w:rPr>
                <w:rFonts w:hint="eastAsia" w:ascii="仿宋_GB2312" w:hAnsi="宋体" w:eastAsia="仿宋_GB2312" w:cs="宋体"/>
                <w:szCs w:val="21"/>
                <w:lang w:val="en-US" w:eastAsia="zh-CN"/>
              </w:rPr>
              <w:t>4场</w:t>
            </w:r>
            <w:r>
              <w:rPr>
                <w:rFonts w:hint="eastAsia" w:ascii="仿宋_GB2312" w:hAnsi="宋体" w:eastAsia="仿宋_GB2312" w:cs="宋体"/>
                <w:szCs w:val="21"/>
              </w:rPr>
              <w:t>政务云直播，在抖音、视频号、APP等平台共计阅读量达</w:t>
            </w:r>
            <w:r>
              <w:rPr>
                <w:rFonts w:hint="eastAsia" w:ascii="仿宋_GB2312" w:hAnsi="宋体" w:eastAsia="仿宋_GB2312" w:cs="宋体"/>
                <w:szCs w:val="21"/>
                <w:lang w:val="en-US" w:eastAsia="zh-CN"/>
              </w:rPr>
              <w:t>540</w:t>
            </w:r>
            <w:r>
              <w:rPr>
                <w:rFonts w:hint="eastAsia" w:ascii="仿宋_GB2312" w:hAnsi="宋体" w:eastAsia="仿宋_GB2312" w:cs="宋体"/>
                <w:szCs w:val="21"/>
              </w:rPr>
              <w:t>余万次</w:t>
            </w:r>
            <w:r>
              <w:rPr>
                <w:rFonts w:hint="eastAsia" w:ascii="仿宋_GB2312" w:hAnsi="宋体" w:eastAsia="仿宋_GB2312" w:cs="宋体"/>
                <w:szCs w:val="21"/>
                <w:lang w:eastAsia="zh-CN"/>
              </w:rPr>
              <w:t>。三是</w:t>
            </w:r>
            <w:r>
              <w:rPr>
                <w:rFonts w:hint="eastAsia" w:ascii="仿宋_GB2312" w:hAnsi="宋体" w:eastAsia="仿宋_GB2312" w:cs="宋体"/>
                <w:szCs w:val="21"/>
                <w:lang w:val="en-US" w:eastAsia="zh-CN"/>
              </w:rPr>
              <w:t>推出“政务小莲解难题”，打好“温暖牌”。</w:t>
            </w:r>
            <w:r>
              <w:rPr>
                <w:rFonts w:hint="eastAsia" w:ascii="仿宋_GB2312" w:hAnsi="宋体" w:eastAsia="仿宋_GB2312" w:cs="宋体"/>
                <w:szCs w:val="21"/>
              </w:rPr>
              <w:t>聚焦企业群众办事过程中出现的“无法办理”“难以办理”“不予办理”等问题，由党员干部牵头一对一进行督导核实处理。今年以来累计受理反映问题</w:t>
            </w:r>
            <w:r>
              <w:rPr>
                <w:rFonts w:hint="eastAsia" w:ascii="仿宋_GB2312" w:hAnsi="宋体" w:eastAsia="仿宋_GB2312" w:cs="宋体"/>
                <w:szCs w:val="21"/>
                <w:lang w:val="en-US" w:eastAsia="zh-CN"/>
              </w:rPr>
              <w:t>3034</w:t>
            </w:r>
            <w:r>
              <w:rPr>
                <w:rFonts w:hint="eastAsia" w:ascii="仿宋_GB2312" w:hAnsi="宋体" w:eastAsia="仿宋_GB2312" w:cs="宋体"/>
                <w:szCs w:val="21"/>
              </w:rPr>
              <w:t>件，其中涉及民生事件</w:t>
            </w:r>
            <w:r>
              <w:rPr>
                <w:rFonts w:hint="eastAsia" w:ascii="仿宋_GB2312" w:hAnsi="宋体" w:eastAsia="仿宋_GB2312" w:cs="宋体"/>
                <w:szCs w:val="21"/>
                <w:lang w:val="en-US" w:eastAsia="zh-CN"/>
              </w:rPr>
              <w:t>2589</w:t>
            </w:r>
            <w:r>
              <w:rPr>
                <w:rFonts w:hint="eastAsia" w:ascii="仿宋_GB2312" w:hAnsi="宋体" w:eastAsia="仿宋_GB2312" w:cs="宋体"/>
                <w:szCs w:val="21"/>
              </w:rPr>
              <w:t>件。</w:t>
            </w:r>
          </w:p>
          <w:p>
            <w:pPr>
              <w:spacing w:line="576" w:lineRule="exact"/>
              <w:ind w:right="-6"/>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4、做实“湘易办”建设升级，创新高效服务群众新模式。多措并举开展省重点民生实事任务“湘易办”推广工作，我县注册任务完成率排名全市第一、全省第六。被市局推荐争创省政务局2023年“湘易办”真抓实干激励表彰。一是三级联动推广全覆盖。引导全县各部门、乡镇、村（社区）开展全方位、多渠道的“湘易办”宣传推广，通过“线上+线下”多种方式引导企业群众注册。二是创新宣传推广新模式。在县政务大厅设置“湘易办”体验中心，县政府门户网站开设“湘易办专区”，各类网站发布宣传报道113篇次，组织县乡村三级现场推广活动100余场。三是立足需求推广强应用。在“湘易办”APP服务端打造县级政务服务旗舰店和“政务小莲”特色专区，旗舰店上线服务事项421项，汇聚电子证照56类。发布惠企政策文件96条，政策兑现事项228个，已办6885件。对接洽谈建设银行和京湘供水实现在线便民缴费。</w:t>
            </w:r>
          </w:p>
          <w:p>
            <w:pPr>
              <w:spacing w:line="576" w:lineRule="exact"/>
              <w:ind w:right="-6"/>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5、推动数据信息联通融合，夯实云上政务运行新基础。数字政府建设推动有力，今年由我局牵头成立湘潭县数字化建设委员会，建立湘潭县数字经济产业合作联席会议制度。一是</w:t>
            </w:r>
            <w:r>
              <w:rPr>
                <w:rFonts w:hint="eastAsia" w:ascii="仿宋_GB2312" w:hAnsi="宋体" w:eastAsia="仿宋_GB2312" w:cs="宋体"/>
                <w:szCs w:val="21"/>
              </w:rPr>
              <w:t>以</w:t>
            </w:r>
            <w:r>
              <w:rPr>
                <w:rFonts w:hint="eastAsia" w:ascii="仿宋_GB2312" w:hAnsi="宋体" w:eastAsia="仿宋_GB2312" w:cs="宋体"/>
                <w:szCs w:val="21"/>
                <w:lang w:val="en-US" w:eastAsia="zh-CN"/>
              </w:rPr>
              <w:t>便捷高效</w:t>
            </w:r>
            <w:r>
              <w:rPr>
                <w:rFonts w:hint="eastAsia" w:ascii="仿宋_GB2312" w:hAnsi="宋体" w:eastAsia="仿宋_GB2312" w:cs="宋体"/>
                <w:szCs w:val="21"/>
              </w:rPr>
              <w:t>为</w:t>
            </w:r>
            <w:r>
              <w:rPr>
                <w:rFonts w:hint="eastAsia" w:ascii="仿宋_GB2312" w:hAnsi="宋体" w:eastAsia="仿宋_GB2312" w:cs="宋体"/>
                <w:szCs w:val="21"/>
                <w:lang w:val="en-US" w:eastAsia="zh-CN"/>
              </w:rPr>
              <w:t>导向</w:t>
            </w:r>
            <w:r>
              <w:rPr>
                <w:rFonts w:hint="eastAsia" w:ascii="仿宋_GB2312" w:hAnsi="宋体" w:eastAsia="仿宋_GB2312" w:cs="宋体"/>
                <w:szCs w:val="21"/>
              </w:rPr>
              <w:t>，加强平台管理。2023年通过政务服务一体化平台办件31.64万件，全程网办率达到73.43%，通过“互联网+监管”系统录入监管行为14106条，向市大数据中心汇交数据752万条，“好差评”系统好评率达99.99%</w:t>
            </w:r>
            <w:r>
              <w:rPr>
                <w:rFonts w:hint="eastAsia" w:ascii="仿宋_GB2312" w:hAnsi="宋体" w:eastAsia="仿宋_GB2312" w:cs="宋体"/>
                <w:szCs w:val="21"/>
                <w:lang w:eastAsia="zh-CN"/>
              </w:rPr>
              <w:t>，</w:t>
            </w:r>
            <w:r>
              <w:rPr>
                <w:rFonts w:hint="eastAsia" w:ascii="仿宋_GB2312" w:hAnsi="宋体" w:eastAsia="仿宋_GB2312" w:cs="宋体"/>
                <w:szCs w:val="21"/>
              </w:rPr>
              <w:t>行政效能各项指标均处于全市前列</w:t>
            </w:r>
            <w:r>
              <w:rPr>
                <w:rFonts w:hint="eastAsia" w:ascii="仿宋_GB2312" w:hAnsi="宋体" w:eastAsia="仿宋_GB2312" w:cs="宋体"/>
                <w:szCs w:val="21"/>
                <w:lang w:val="en-US" w:eastAsia="zh-CN"/>
              </w:rPr>
              <w:t>。二是</w:t>
            </w:r>
            <w:r>
              <w:rPr>
                <w:rFonts w:hint="eastAsia" w:ascii="仿宋_GB2312" w:hAnsi="宋体" w:eastAsia="仿宋_GB2312" w:cs="宋体"/>
                <w:szCs w:val="21"/>
              </w:rPr>
              <w:t>以助企纾困为根本，力推中介超市。制定出台《关于进一步推进网上中介服务超市应用的通知》</w:t>
            </w:r>
            <w:r>
              <w:rPr>
                <w:rFonts w:hint="eastAsia" w:ascii="仿宋_GB2312" w:hAnsi="宋体" w:eastAsia="仿宋_GB2312" w:cs="宋体"/>
                <w:szCs w:val="21"/>
                <w:lang w:eastAsia="zh-CN"/>
              </w:rPr>
              <w:t>，</w:t>
            </w:r>
            <w:r>
              <w:rPr>
                <w:rFonts w:hint="eastAsia" w:ascii="仿宋_GB2312" w:hAnsi="宋体" w:eastAsia="仿宋_GB2312" w:cs="宋体"/>
                <w:szCs w:val="21"/>
              </w:rPr>
              <w:t>主动对接20多家单位了解采购需求。我县在湖南省网上中介超市新入驻委托人146家、中介机构32家，发布公告189个，居全市前列。</w:t>
            </w:r>
            <w:r>
              <w:rPr>
                <w:rFonts w:hint="eastAsia" w:ascii="仿宋_GB2312" w:hAnsi="宋体" w:eastAsia="仿宋_GB2312" w:cs="宋体"/>
                <w:szCs w:val="21"/>
                <w:lang w:eastAsia="zh-CN"/>
              </w:rPr>
              <w:t>三是</w:t>
            </w:r>
            <w:r>
              <w:rPr>
                <w:rFonts w:hint="eastAsia" w:ascii="仿宋_GB2312" w:hAnsi="宋体" w:eastAsia="仿宋_GB2312" w:cs="宋体"/>
                <w:szCs w:val="21"/>
              </w:rPr>
              <w:t>以简政放权为核心，推行清单管理。编制本县行政许可事项清单共计255项</w:t>
            </w:r>
            <w:r>
              <w:rPr>
                <w:rFonts w:hint="eastAsia" w:ascii="仿宋_GB2312" w:hAnsi="宋体" w:eastAsia="仿宋_GB2312" w:cs="宋体"/>
                <w:szCs w:val="21"/>
                <w:lang w:eastAsia="zh-CN"/>
              </w:rPr>
              <w:t>，</w:t>
            </w:r>
            <w:r>
              <w:rPr>
                <w:rFonts w:hint="eastAsia" w:ascii="仿宋_GB2312" w:hAnsi="宋体" w:eastAsia="仿宋_GB2312" w:cs="宋体"/>
                <w:szCs w:val="21"/>
              </w:rPr>
              <w:t>填报、发布涉企经营许可承诺事项96项，本年度办件279件。重新梳理赋权天易经开区36项经济社会管理权限并完成委托协议书签订</w:t>
            </w:r>
            <w:r>
              <w:rPr>
                <w:rFonts w:hint="eastAsia" w:ascii="仿宋_GB2312" w:hAnsi="宋体" w:eastAsia="仿宋_GB2312" w:cs="宋体"/>
                <w:szCs w:val="21"/>
                <w:lang w:eastAsia="zh-CN"/>
              </w:rPr>
              <w:t>。</w:t>
            </w:r>
          </w:p>
          <w:p>
            <w:pPr>
              <w:spacing w:line="576" w:lineRule="exact"/>
              <w:ind w:right="-6"/>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6、聚焦政府运行透明规范，打造一流政务公开新标杆。深化政务公开工作，我局获评“省政府办公厅2018—2022年全省政务公开工作先进单位”。一是政务公开平台持续优化。今年县门户网站网站累计发布信息1.25万余条，访问量1031万余次，公众号累计发布信息529条、视频75期。全面完成适老化及无障碍改造，真正实现让特殊群体均享受数字化技术带来的便利。二是三级公开体系不断健全。打造多功能政务公开线下专区，设置自助查询、资料阅览、公开申请接收、政策咨询、图书阅读等功能模块，累计解答咨询1.2万余人次，受理并办结依申请公开53件。以“1+17+N</w:t>
            </w:r>
            <w:r>
              <w:rPr>
                <w:rFonts w:hint="default" w:ascii="仿宋_GB2312" w:hAnsi="宋体" w:eastAsia="仿宋_GB2312" w:cs="宋体"/>
                <w:szCs w:val="21"/>
                <w:lang w:val="en-US" w:eastAsia="zh-CN"/>
              </w:rPr>
              <w:t>”</w:t>
            </w:r>
            <w:r>
              <w:rPr>
                <w:rFonts w:hint="eastAsia" w:ascii="仿宋_GB2312" w:hAnsi="宋体" w:eastAsia="仿宋_GB2312" w:cs="宋体"/>
                <w:szCs w:val="21"/>
                <w:lang w:val="en-US" w:eastAsia="zh-CN"/>
              </w:rPr>
              <w:t>的形式三级联动开展“政务公开主题日”活动。三是热线办理质效全面提升。按照“快、优、便、实”的要求开展热线工作，按月对热线运行情况进行分析通报，供县领导决策和接受群众监督，今年共受理诉求32968件，交办有效工单18125件次。7月1日，湘潭县热线话务率先归并市级平台管理。</w:t>
            </w:r>
          </w:p>
          <w:p>
            <w:pPr>
              <w:spacing w:line="576" w:lineRule="exact"/>
              <w:ind w:right="-6"/>
              <w:rPr>
                <w:rFonts w:hint="eastAsia" w:ascii="仿宋_GB2312" w:hAnsi="宋体" w:eastAsia="仿宋_GB2312" w:cs="宋体"/>
                <w:szCs w:val="21"/>
              </w:rPr>
            </w:pPr>
            <w:r>
              <w:rPr>
                <w:rFonts w:hint="eastAsia" w:ascii="仿宋_GB2312" w:hAnsi="宋体" w:eastAsia="仿宋_GB2312" w:cs="宋体"/>
                <w:szCs w:val="21"/>
              </w:rPr>
              <w:t>二、存在的问题</w:t>
            </w:r>
          </w:p>
          <w:p>
            <w:pPr>
              <w:spacing w:line="576" w:lineRule="exact"/>
              <w:ind w:right="-6"/>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1、审批事项集中不够彻底。配套设施设备缺乏，无法承接专业性极强的审批事项，个别单位极个别关键事项没有实质移交。县级政务大厅场地受限，我县另外设有公安、民政、住房公积金、税务等4个政务服务分中心，部分政务服务事项仍有“两头跑”现象。</w:t>
            </w:r>
          </w:p>
          <w:p>
            <w:pPr>
              <w:spacing w:line="576" w:lineRule="exact"/>
              <w:ind w:right="-6"/>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2、部分政务服务达不到群众预期。个别群众诉求期望过高，部分诉求受条件限制无法达到预期值，如高速路占地拆迁等赔偿的期望值过高；少数部门主体责任意识不强，如工单到期经提示仍迟迟不反馈；在统筹协作方面功夫下得不够足等问题，如涉及多部门主管的噪音扰民问题。</w:t>
            </w:r>
          </w:p>
          <w:p>
            <w:pPr>
              <w:spacing w:line="576" w:lineRule="exact"/>
              <w:ind w:right="-6"/>
              <w:rPr>
                <w:rFonts w:hint="eastAsia" w:ascii="仿宋_GB2312" w:hAnsi="宋体" w:eastAsia="仿宋_GB2312" w:cs="宋体"/>
                <w:szCs w:val="21"/>
                <w:lang w:eastAsia="zh-CN"/>
              </w:rPr>
            </w:pPr>
            <w:r>
              <w:rPr>
                <w:rFonts w:hint="eastAsia" w:ascii="仿宋_GB2312" w:hAnsi="宋体" w:eastAsia="仿宋_GB2312" w:cs="宋体"/>
                <w:szCs w:val="21"/>
              </w:rPr>
              <w:t>202</w:t>
            </w:r>
            <w:r>
              <w:rPr>
                <w:rFonts w:hint="eastAsia" w:ascii="仿宋_GB2312" w:hAnsi="宋体" w:eastAsia="仿宋_GB2312" w:cs="宋体"/>
                <w:szCs w:val="21"/>
                <w:lang w:val="en-US" w:eastAsia="zh-CN"/>
              </w:rPr>
              <w:t>4</w:t>
            </w:r>
            <w:r>
              <w:rPr>
                <w:rFonts w:hint="eastAsia" w:ascii="仿宋_GB2312" w:hAnsi="宋体" w:eastAsia="仿宋_GB2312" w:cs="宋体"/>
                <w:szCs w:val="21"/>
              </w:rPr>
              <w:t>年，我局将紧紧围绕和服务发展的大局，扛牢主责、抓好主业、当好主角，在优化我县营商环境、优化政务服务过程中勇挑重担、奋力争先</w:t>
            </w:r>
            <w:r>
              <w:rPr>
                <w:rFonts w:hint="eastAsia" w:ascii="仿宋_GB2312" w:hAnsi="宋体" w:eastAsia="仿宋_GB2312" w:cs="宋体"/>
                <w:szCs w:val="21"/>
                <w:lang w:eastAsia="zh-CN"/>
              </w:rPr>
              <w:t>，</w:t>
            </w:r>
            <w:r>
              <w:rPr>
                <w:rFonts w:hint="eastAsia" w:ascii="仿宋_GB2312" w:hAnsi="宋体" w:eastAsia="仿宋_GB2312" w:cs="宋体"/>
                <w:szCs w:val="21"/>
              </w:rPr>
              <w:t>高质量打造出政务服务现代化</w:t>
            </w:r>
            <w:r>
              <w:rPr>
                <w:rFonts w:hint="eastAsia" w:ascii="仿宋_GB2312" w:hAnsi="宋体" w:eastAsia="仿宋_GB2312" w:cs="宋体"/>
                <w:szCs w:val="21"/>
                <w:lang w:val="en-US" w:eastAsia="zh-CN"/>
              </w:rPr>
              <w:t>的</w:t>
            </w:r>
            <w:r>
              <w:rPr>
                <w:rFonts w:hint="eastAsia" w:ascii="仿宋_GB2312" w:hAnsi="宋体" w:eastAsia="仿宋_GB2312" w:cs="宋体"/>
                <w:szCs w:val="21"/>
              </w:rPr>
              <w:t>“湘潭县样板”</w:t>
            </w:r>
            <w:r>
              <w:rPr>
                <w:rFonts w:hint="eastAsia" w:ascii="仿宋_GB2312" w:hAnsi="宋体" w:eastAsia="仿宋_GB2312" w:cs="宋体"/>
                <w:szCs w:val="21"/>
                <w:lang w:eastAsia="zh-CN"/>
              </w:rPr>
              <w:t>。</w:t>
            </w:r>
          </w:p>
          <w:p>
            <w:pPr>
              <w:spacing w:line="560" w:lineRule="exact"/>
              <w:ind w:firstLine="420" w:firstLineChars="20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vAlign w:val="center"/>
          </w:tcPr>
          <w:p>
            <w:pPr>
              <w:spacing w:line="576" w:lineRule="exact"/>
              <w:ind w:right="-6"/>
              <w:rPr>
                <w:rFonts w:hint="eastAsia" w:ascii="仿宋" w:hAnsi="仿宋" w:eastAsia="仿宋" w:cs="宋体"/>
                <w:kern w:val="0"/>
                <w:szCs w:val="21"/>
              </w:rPr>
            </w:pPr>
            <w:r>
              <w:rPr>
                <w:rFonts w:hint="eastAsia" w:ascii="仿宋" w:hAnsi="仿宋" w:eastAsia="仿宋" w:cs="宋体"/>
                <w:kern w:val="0"/>
                <w:szCs w:val="21"/>
              </w:rPr>
              <w:t>1.绩效目标的编制有待完善。</w:t>
            </w:r>
          </w:p>
          <w:p>
            <w:pPr>
              <w:spacing w:line="576" w:lineRule="exact"/>
              <w:ind w:right="-6"/>
              <w:rPr>
                <w:rFonts w:hint="eastAsia" w:ascii="仿宋" w:hAnsi="仿宋" w:eastAsia="仿宋" w:cs="宋体"/>
                <w:kern w:val="0"/>
                <w:szCs w:val="21"/>
              </w:rPr>
            </w:pPr>
            <w:r>
              <w:rPr>
                <w:rFonts w:hint="eastAsia" w:ascii="仿宋" w:hAnsi="仿宋" w:eastAsia="仿宋" w:cs="宋体"/>
                <w:kern w:val="0"/>
                <w:szCs w:val="21"/>
              </w:rPr>
              <w:t>2.预算与实际支出明细存在偏差,其项目实际支出与预算支出列支的科目存在差异，预算编制欠精准。</w:t>
            </w:r>
          </w:p>
          <w:p>
            <w:pPr>
              <w:spacing w:line="576" w:lineRule="exact"/>
              <w:ind w:right="-6"/>
              <w:rPr>
                <w:rFonts w:ascii="仿宋_GB2312" w:hAnsi="宋体" w:eastAsia="仿宋_GB2312" w:cs="宋体"/>
                <w:szCs w:val="21"/>
              </w:rPr>
            </w:pPr>
            <w:r>
              <w:rPr>
                <w:rFonts w:hint="eastAsia" w:ascii="仿宋" w:hAnsi="仿宋" w:eastAsia="仿宋" w:cs="宋体"/>
                <w:kern w:val="0"/>
                <w:szCs w:val="21"/>
              </w:rPr>
              <w:t>3.基本支出因年初预算不足，造成资金短缺。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vAlign w:val="center"/>
          </w:tcPr>
          <w:p>
            <w:pPr>
              <w:spacing w:line="576" w:lineRule="exact"/>
              <w:ind w:right="-6"/>
              <w:rPr>
                <w:rFonts w:hint="eastAsia" w:ascii="仿宋" w:hAnsi="仿宋" w:eastAsia="仿宋" w:cs="宋体"/>
                <w:kern w:val="0"/>
                <w:szCs w:val="21"/>
              </w:rPr>
            </w:pPr>
            <w:r>
              <w:rPr>
                <w:rFonts w:hint="eastAsia" w:ascii="仿宋" w:hAnsi="仿宋" w:eastAsia="仿宋" w:cs="宋体"/>
                <w:kern w:val="0"/>
                <w:szCs w:val="21"/>
              </w:rPr>
              <w:t>1.完善绩效目标编制工作，不断加强预算编制管理，保障预算编制的合理性、科学性.</w:t>
            </w:r>
          </w:p>
          <w:p>
            <w:pPr>
              <w:spacing w:line="576" w:lineRule="exact"/>
              <w:ind w:right="-6"/>
              <w:rPr>
                <w:rFonts w:hint="eastAsia" w:ascii="仿宋" w:hAnsi="仿宋" w:eastAsia="仿宋" w:cs="宋体"/>
                <w:kern w:val="0"/>
                <w:szCs w:val="21"/>
              </w:rPr>
            </w:pPr>
            <w:r>
              <w:rPr>
                <w:rFonts w:hint="eastAsia" w:ascii="仿宋" w:hAnsi="仿宋" w:eastAsia="仿宋" w:cs="宋体"/>
                <w:kern w:val="0"/>
                <w:szCs w:val="21"/>
              </w:rPr>
              <w:t>2.提高对财政绩效管理的认识，提高自评管理水平，严格按照《湖南省预算绩效目标管理办法》的要求编制绩效目标，且目标需与年度的任务数或计划数相对应。</w:t>
            </w:r>
          </w:p>
          <w:p>
            <w:pPr>
              <w:spacing w:line="576" w:lineRule="exact"/>
              <w:ind w:right="-6"/>
              <w:rPr>
                <w:rFonts w:hint="eastAsia" w:ascii="仿宋" w:hAnsi="仿宋" w:eastAsia="仿宋" w:cs="宋体"/>
                <w:kern w:val="0"/>
                <w:szCs w:val="21"/>
              </w:rPr>
            </w:pPr>
            <w:r>
              <w:rPr>
                <w:rFonts w:hint="eastAsia" w:ascii="仿宋" w:hAnsi="仿宋" w:eastAsia="仿宋" w:cs="宋体"/>
                <w:kern w:val="0"/>
                <w:szCs w:val="21"/>
              </w:rPr>
              <w:t>3.及时与上级财政部门搞好协调，确保指标的下达及时，加强财经管理，实际支出严格按年初预算执行，提高公用经费的管理，合理安排，科学管理，合理安排预算支出，项目实施和资金的使用，严格按照规定进行，从而减少预算与实际执行的差异。</w:t>
            </w:r>
          </w:p>
          <w:p>
            <w:pPr>
              <w:spacing w:line="576" w:lineRule="exact"/>
              <w:ind w:right="-6"/>
              <w:rPr>
                <w:rFonts w:ascii="仿宋" w:hAnsi="仿宋" w:eastAsia="仿宋" w:cs="宋体"/>
                <w:kern w:val="0"/>
                <w:szCs w:val="21"/>
              </w:rPr>
            </w:pPr>
            <w:r>
              <w:rPr>
                <w:rFonts w:hint="eastAsia" w:ascii="仿宋" w:hAnsi="仿宋" w:eastAsia="仿宋" w:cs="宋体"/>
                <w:kern w:val="0"/>
                <w:szCs w:val="21"/>
              </w:rPr>
              <w:t>4.加强资金使用管理。在今后的工作中加强对专项资金使用的检查，对财政专项资金的资金用途严格审核，对资金的支出明细进行逐笔核查，发现有账务处理不恰当的及时调整，确保专款专用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pPr>
              <w:spacing w:line="576" w:lineRule="exact"/>
              <w:jc w:val="center"/>
              <w:rPr>
                <w:rFonts w:ascii="仿宋_GB2312" w:hAnsi="宋体" w:eastAsia="仿宋_GB2312" w:cs="宋体"/>
                <w:szCs w:val="21"/>
              </w:rPr>
            </w:pPr>
          </w:p>
        </w:tc>
        <w:tc>
          <w:tcPr>
            <w:tcW w:w="1985" w:type="dxa"/>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vAlign w:val="center"/>
          </w:tcPr>
          <w:p>
            <w:pPr>
              <w:spacing w:line="576" w:lineRule="exact"/>
              <w:ind w:right="879" w:rightChars="419"/>
              <w:jc w:val="center"/>
              <w:rPr>
                <w:rFonts w:ascii="仿宋_GB2312" w:hAnsi="宋体" w:eastAsia="仿宋_GB2312" w:cs="宋体"/>
                <w:szCs w:val="21"/>
              </w:rPr>
            </w:pPr>
            <w:r>
              <w:rPr>
                <w:rFonts w:hint="eastAsia" w:ascii="仿宋_GB2312" w:hAnsi="宋体" w:eastAsia="仿宋_GB2312" w:cs="宋体"/>
                <w:szCs w:val="21"/>
              </w:rPr>
              <w:t>无</w:t>
            </w:r>
          </w:p>
        </w:tc>
      </w:tr>
    </w:tbl>
    <w:p>
      <w:pPr>
        <w:jc w:val="left"/>
        <w:rPr>
          <w:rFonts w:cs="黑体" w:asciiTheme="minorEastAsia" w:hAnsiTheme="minorEastAsia"/>
          <w:color w:val="000000"/>
          <w:kern w:val="0"/>
          <w:sz w:val="32"/>
          <w:szCs w:val="32"/>
        </w:rPr>
      </w:pPr>
    </w:p>
    <w:sectPr>
      <w:pgSz w:w="11906" w:h="16838"/>
      <w:pgMar w:top="1440" w:right="1800" w:bottom="1440" w:left="180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11AAE55"/>
    <w:multiLevelType w:val="singleLevel"/>
    <w:tmpl w:val="411AAE55"/>
    <w:lvl w:ilvl="0" w:tentative="0">
      <w:start w:val="2"/>
      <w:numFmt w:val="chineseCounting"/>
      <w:suff w:val="nothing"/>
      <w:lvlText w:val="（%1）"/>
      <w:lvlJc w:val="left"/>
      <w:rPr>
        <w:rFonts w:hint="eastAsia"/>
      </w:rPr>
    </w:lvl>
  </w:abstractNum>
  <w:abstractNum w:abstractNumId="2">
    <w:nsid w:val="7FFEBF87"/>
    <w:multiLevelType w:val="singleLevel"/>
    <w:tmpl w:val="7FFEBF87"/>
    <w:lvl w:ilvl="0" w:tentative="0">
      <w:start w:val="7"/>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6F635A"/>
    <w:rsid w:val="1D97DEFF"/>
    <w:rsid w:val="1DFF72E5"/>
    <w:rsid w:val="1EFC6F07"/>
    <w:rsid w:val="1FDB6650"/>
    <w:rsid w:val="251E0F21"/>
    <w:rsid w:val="27BF5DD6"/>
    <w:rsid w:val="28FD0BAB"/>
    <w:rsid w:val="2CF434F8"/>
    <w:rsid w:val="2EF97A16"/>
    <w:rsid w:val="2F39911F"/>
    <w:rsid w:val="2FDF85B8"/>
    <w:rsid w:val="2FFFA7D6"/>
    <w:rsid w:val="2FFFEE04"/>
    <w:rsid w:val="34DF85B0"/>
    <w:rsid w:val="37B539FA"/>
    <w:rsid w:val="37F50B9F"/>
    <w:rsid w:val="37F531D3"/>
    <w:rsid w:val="398BAB75"/>
    <w:rsid w:val="39BE5EE8"/>
    <w:rsid w:val="3ADF5619"/>
    <w:rsid w:val="3B8F36BC"/>
    <w:rsid w:val="3CFFA52F"/>
    <w:rsid w:val="3EF7FD8D"/>
    <w:rsid w:val="3EFF040C"/>
    <w:rsid w:val="3F196CD7"/>
    <w:rsid w:val="3F7F2068"/>
    <w:rsid w:val="3F8D33FC"/>
    <w:rsid w:val="3F9E5ABA"/>
    <w:rsid w:val="3FEEA0A1"/>
    <w:rsid w:val="3FF76535"/>
    <w:rsid w:val="3FF9D8FC"/>
    <w:rsid w:val="3FFE589C"/>
    <w:rsid w:val="475F4240"/>
    <w:rsid w:val="47F7BFB6"/>
    <w:rsid w:val="491FF225"/>
    <w:rsid w:val="4DBDE03D"/>
    <w:rsid w:val="4DFD2722"/>
    <w:rsid w:val="4E5E7082"/>
    <w:rsid w:val="4F26C3A9"/>
    <w:rsid w:val="4FFB3353"/>
    <w:rsid w:val="4FFD214C"/>
    <w:rsid w:val="513FDB14"/>
    <w:rsid w:val="5377E21A"/>
    <w:rsid w:val="53FC4B7F"/>
    <w:rsid w:val="5777D4F5"/>
    <w:rsid w:val="57AEC287"/>
    <w:rsid w:val="59DD8326"/>
    <w:rsid w:val="5AFDCF2F"/>
    <w:rsid w:val="5B7FC6D7"/>
    <w:rsid w:val="5DEF592A"/>
    <w:rsid w:val="5EEF2BD2"/>
    <w:rsid w:val="5EF7CE76"/>
    <w:rsid w:val="5F2715F1"/>
    <w:rsid w:val="5FA805A8"/>
    <w:rsid w:val="5FC6BB1E"/>
    <w:rsid w:val="5FF720F1"/>
    <w:rsid w:val="5FFE63CC"/>
    <w:rsid w:val="65ED7E11"/>
    <w:rsid w:val="65EE45BA"/>
    <w:rsid w:val="67E2C550"/>
    <w:rsid w:val="67FF5C0B"/>
    <w:rsid w:val="69E0CCAE"/>
    <w:rsid w:val="6B7FAEF6"/>
    <w:rsid w:val="6BD7F7F0"/>
    <w:rsid w:val="6BEBB977"/>
    <w:rsid w:val="6DDFA9BC"/>
    <w:rsid w:val="6DFF662E"/>
    <w:rsid w:val="6E1ECEB1"/>
    <w:rsid w:val="6EFC0924"/>
    <w:rsid w:val="6EFF54AE"/>
    <w:rsid w:val="6F97C3A3"/>
    <w:rsid w:val="6FB74722"/>
    <w:rsid w:val="6FEE02EC"/>
    <w:rsid w:val="6FEF8B7E"/>
    <w:rsid w:val="6FFE0341"/>
    <w:rsid w:val="6FFF1F5D"/>
    <w:rsid w:val="6FFF85EF"/>
    <w:rsid w:val="71A6591B"/>
    <w:rsid w:val="72BB53E3"/>
    <w:rsid w:val="737D59BA"/>
    <w:rsid w:val="73EF3678"/>
    <w:rsid w:val="74FB6A06"/>
    <w:rsid w:val="767D44A2"/>
    <w:rsid w:val="76DD6BD5"/>
    <w:rsid w:val="77AF70C2"/>
    <w:rsid w:val="77C37683"/>
    <w:rsid w:val="77F784D2"/>
    <w:rsid w:val="77F7F79D"/>
    <w:rsid w:val="77FF9161"/>
    <w:rsid w:val="78688791"/>
    <w:rsid w:val="79FF515B"/>
    <w:rsid w:val="79FF6580"/>
    <w:rsid w:val="7ADBA885"/>
    <w:rsid w:val="7B5A9BB2"/>
    <w:rsid w:val="7B5F389F"/>
    <w:rsid w:val="7B7A395A"/>
    <w:rsid w:val="7B8676D6"/>
    <w:rsid w:val="7BD3A1F7"/>
    <w:rsid w:val="7BDF5E2E"/>
    <w:rsid w:val="7D3D0C1E"/>
    <w:rsid w:val="7DD548A1"/>
    <w:rsid w:val="7DEE7B23"/>
    <w:rsid w:val="7E1D2F6A"/>
    <w:rsid w:val="7E75725F"/>
    <w:rsid w:val="7E7734E0"/>
    <w:rsid w:val="7E8D381B"/>
    <w:rsid w:val="7E9E1962"/>
    <w:rsid w:val="7E9F11B4"/>
    <w:rsid w:val="7EAC0EEC"/>
    <w:rsid w:val="7EF65AAD"/>
    <w:rsid w:val="7F37EC1E"/>
    <w:rsid w:val="7F5F5A62"/>
    <w:rsid w:val="7F7BA715"/>
    <w:rsid w:val="7F7DCD9D"/>
    <w:rsid w:val="7F952D00"/>
    <w:rsid w:val="7F970A6F"/>
    <w:rsid w:val="7F9A3A9C"/>
    <w:rsid w:val="7FBBEE30"/>
    <w:rsid w:val="7FBF9A77"/>
    <w:rsid w:val="7FC1FFF3"/>
    <w:rsid w:val="7FC69637"/>
    <w:rsid w:val="7FD3D582"/>
    <w:rsid w:val="7FDF8620"/>
    <w:rsid w:val="7FFB242F"/>
    <w:rsid w:val="7FFBCDD4"/>
    <w:rsid w:val="7FFD1EF1"/>
    <w:rsid w:val="7FFDB408"/>
    <w:rsid w:val="7FFE4EEB"/>
    <w:rsid w:val="95FB2B98"/>
    <w:rsid w:val="96FF2B07"/>
    <w:rsid w:val="9A639BC2"/>
    <w:rsid w:val="9E5F64AC"/>
    <w:rsid w:val="9F767A89"/>
    <w:rsid w:val="9FF7D786"/>
    <w:rsid w:val="ABBFB23D"/>
    <w:rsid w:val="ACFAA5D7"/>
    <w:rsid w:val="AE6D1AD4"/>
    <w:rsid w:val="AF3E1323"/>
    <w:rsid w:val="AFCA3270"/>
    <w:rsid w:val="B3F81EA0"/>
    <w:rsid w:val="B76E1D37"/>
    <w:rsid w:val="B777D61A"/>
    <w:rsid w:val="B7FDDD9E"/>
    <w:rsid w:val="BDDC4A2A"/>
    <w:rsid w:val="BDF44520"/>
    <w:rsid w:val="BDFD9DF8"/>
    <w:rsid w:val="BF7DE23A"/>
    <w:rsid w:val="BFDD65CA"/>
    <w:rsid w:val="C3B4DA5A"/>
    <w:rsid w:val="C6DAED04"/>
    <w:rsid w:val="C7DEBEDB"/>
    <w:rsid w:val="CBFF70E0"/>
    <w:rsid w:val="CCDF6DF9"/>
    <w:rsid w:val="CFF50B82"/>
    <w:rsid w:val="CFFFAD89"/>
    <w:rsid w:val="D73EE1BB"/>
    <w:rsid w:val="D7DE0AC9"/>
    <w:rsid w:val="D7EF4A8C"/>
    <w:rsid w:val="D93D995E"/>
    <w:rsid w:val="DBBF4062"/>
    <w:rsid w:val="DBEFBC09"/>
    <w:rsid w:val="DDBEAE87"/>
    <w:rsid w:val="DDDC98AE"/>
    <w:rsid w:val="DDFB6CB7"/>
    <w:rsid w:val="DE53EF8C"/>
    <w:rsid w:val="DEAFCEC8"/>
    <w:rsid w:val="DF7F0556"/>
    <w:rsid w:val="DFBF4827"/>
    <w:rsid w:val="DFEE1504"/>
    <w:rsid w:val="DFFB0D9E"/>
    <w:rsid w:val="DFFE359E"/>
    <w:rsid w:val="DFFE4FFD"/>
    <w:rsid w:val="E5DFA673"/>
    <w:rsid w:val="E665CCAA"/>
    <w:rsid w:val="E6DFA7C9"/>
    <w:rsid w:val="E7D8D6FA"/>
    <w:rsid w:val="E7EF7408"/>
    <w:rsid w:val="E7FE3C62"/>
    <w:rsid w:val="EB372ACC"/>
    <w:rsid w:val="EEABED75"/>
    <w:rsid w:val="EF7DD50A"/>
    <w:rsid w:val="EFDF4E4C"/>
    <w:rsid w:val="EFFE1F24"/>
    <w:rsid w:val="EFFF9FBA"/>
    <w:rsid w:val="F0F4B1EC"/>
    <w:rsid w:val="F28DC96D"/>
    <w:rsid w:val="F37B883D"/>
    <w:rsid w:val="F3D961D6"/>
    <w:rsid w:val="F56FDF51"/>
    <w:rsid w:val="F63D67FB"/>
    <w:rsid w:val="F6B69F17"/>
    <w:rsid w:val="F74F6B43"/>
    <w:rsid w:val="F77F1D61"/>
    <w:rsid w:val="F7EABBD1"/>
    <w:rsid w:val="F7EFCC6F"/>
    <w:rsid w:val="F7F24101"/>
    <w:rsid w:val="F7F9D606"/>
    <w:rsid w:val="F7FED3A9"/>
    <w:rsid w:val="F8C9DB26"/>
    <w:rsid w:val="F97E8EAE"/>
    <w:rsid w:val="FB36E1A6"/>
    <w:rsid w:val="FB3BE134"/>
    <w:rsid w:val="FB7B4D9A"/>
    <w:rsid w:val="FBCEAC5C"/>
    <w:rsid w:val="FBDE3DE8"/>
    <w:rsid w:val="FBE528ED"/>
    <w:rsid w:val="FBF950C2"/>
    <w:rsid w:val="FBFBD6DE"/>
    <w:rsid w:val="FCFF4275"/>
    <w:rsid w:val="FD7FEEEA"/>
    <w:rsid w:val="FDD72038"/>
    <w:rsid w:val="FDFFB577"/>
    <w:rsid w:val="FE6B0768"/>
    <w:rsid w:val="FEEA50FE"/>
    <w:rsid w:val="FEED38FF"/>
    <w:rsid w:val="FF3FCB43"/>
    <w:rsid w:val="FF6ED773"/>
    <w:rsid w:val="FF7C34BF"/>
    <w:rsid w:val="FF7D47A9"/>
    <w:rsid w:val="FFBD91CE"/>
    <w:rsid w:val="FFBF3C06"/>
    <w:rsid w:val="FFC97D45"/>
    <w:rsid w:val="FFCF21CB"/>
    <w:rsid w:val="FFEF28A0"/>
    <w:rsid w:val="FFFB8133"/>
    <w:rsid w:val="FFFD83F7"/>
    <w:rsid w:val="FFFDA2BD"/>
    <w:rsid w:val="FFFF1C8B"/>
    <w:rsid w:val="FFFFD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11">
    <w:name w:val="页眉 Char"/>
    <w:basedOn w:val="10"/>
    <w:link w:val="6"/>
    <w:qFormat/>
    <w:uiPriority w:val="99"/>
    <w:rPr>
      <w:sz w:val="18"/>
      <w:szCs w:val="18"/>
    </w:rPr>
  </w:style>
  <w:style w:type="character" w:customStyle="1" w:styleId="12">
    <w:name w:val="页脚 Char"/>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1347</Words>
  <Characters>7679</Characters>
  <Lines>63</Lines>
  <Paragraphs>18</Paragraphs>
  <TotalTime>26</TotalTime>
  <ScaleCrop>false</ScaleCrop>
  <LinksUpToDate>false</LinksUpToDate>
  <CharactersWithSpaces>9008</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2020-07-10T02:32:00Z</dcterms:created>
  <dc:creator>李航 null</dc:creator>
  <cp:lastModifiedBy>kylin</cp:lastModifiedBy>
  <cp:lastPrinted>2024-08-10T10:20:00Z</cp:lastPrinted>
  <dcterms:modified xsi:type="dcterms:W3CDTF">2024-09-20T16:34:52Z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C54C8958C826D5348D2CEA667C18C337</vt:lpwstr>
  </property>
</Properties>
</file>