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rPr>
          <w:rFonts w:ascii="仿宋_GB2312" w:hAnsi="宋体" w:eastAsia="仿宋_GB2312" w:cs="宋体"/>
          <w:kern w:val="0"/>
          <w:sz w:val="32"/>
          <w:szCs w:val="32"/>
        </w:rPr>
      </w:pPr>
    </w:p>
    <w:p>
      <w:pPr>
        <w:spacing w:line="576" w:lineRule="exact"/>
        <w:jc w:val="center"/>
        <w:rPr>
          <w:rFonts w:ascii="宋体" w:hAnsi="宋体" w:eastAsia="宋体" w:cs="方正小标宋简体"/>
          <w:b/>
          <w:bCs/>
          <w:sz w:val="44"/>
          <w:szCs w:val="44"/>
        </w:rPr>
      </w:pPr>
      <w:r>
        <w:rPr>
          <w:rFonts w:hint="eastAsia" w:ascii="宋体" w:hAnsi="宋体" w:eastAsia="宋体" w:cs="方正小标宋简体"/>
          <w:b/>
          <w:bCs/>
          <w:sz w:val="44"/>
          <w:szCs w:val="44"/>
        </w:rPr>
        <w:t>湘潭县发展和改革局</w:t>
      </w:r>
    </w:p>
    <w:p>
      <w:pPr>
        <w:spacing w:line="576" w:lineRule="exact"/>
        <w:jc w:val="center"/>
        <w:rPr>
          <w:rFonts w:ascii="宋体" w:hAnsi="宋体" w:eastAsia="宋体" w:cs="方正小标宋简体"/>
          <w:b/>
          <w:szCs w:val="32"/>
        </w:rPr>
      </w:pPr>
      <w:r>
        <w:rPr>
          <w:rFonts w:hint="eastAsia" w:ascii="宋体" w:hAnsi="宋体" w:eastAsia="宋体" w:cs="方正小标宋简体"/>
          <w:b/>
          <w:bCs/>
          <w:sz w:val="44"/>
          <w:szCs w:val="44"/>
        </w:rPr>
        <w:t>部门整体支出绩效评价报告</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单位名称</w:t>
            </w:r>
          </w:p>
        </w:tc>
        <w:tc>
          <w:tcPr>
            <w:tcW w:w="616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湘潭县发展和改革局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年度预算金额</w:t>
            </w:r>
          </w:p>
        </w:tc>
        <w:tc>
          <w:tcPr>
            <w:tcW w:w="6166" w:type="dxa"/>
            <w:vAlign w:val="center"/>
          </w:tcPr>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2022年年初收入预算2214.12万元（一般财政公共预算拨款收入2214.121万元）；其中：基本支出预算514.12万元（人员经费430.39万元，公用经费83.73万元）；项目支出预算1700.00万元。</w:t>
            </w:r>
          </w:p>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预算调整金额为1204.08万元：本级预算调整金额为107.28万元，其中：基本支出调增18.87万元（职业年金个人账户资金记实、补记资金）；项目支出调增88.41万元；本年预算内收到中央、省级转移支付专项资金指标1,096.80万元。</w:t>
            </w:r>
          </w:p>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2022年度预算内指标合计3418.20万元（含本级及上级资金指标）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主管部门</w:t>
            </w:r>
          </w:p>
        </w:tc>
        <w:tc>
          <w:tcPr>
            <w:tcW w:w="6166" w:type="dxa"/>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单位基本职能</w:t>
            </w:r>
          </w:p>
        </w:tc>
        <w:tc>
          <w:tcPr>
            <w:tcW w:w="6166" w:type="dxa"/>
            <w:vAlign w:val="center"/>
          </w:tcPr>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一、部门概况</w:t>
            </w:r>
          </w:p>
          <w:p>
            <w:pPr>
              <w:spacing w:line="400" w:lineRule="exact"/>
              <w:ind w:firstLine="480" w:firstLineChars="200"/>
              <w:rPr>
                <w:rFonts w:ascii="仿宋" w:hAnsi="仿宋" w:eastAsia="仿宋" w:cs="仿宋"/>
                <w:sz w:val="24"/>
                <w:szCs w:val="24"/>
              </w:rPr>
            </w:pPr>
            <w:bookmarkStart w:id="0" w:name="_Toc471375420"/>
            <w:bookmarkStart w:id="1" w:name="_Toc441073740"/>
            <w:bookmarkStart w:id="2" w:name="_Toc407621608"/>
            <w:bookmarkStart w:id="3" w:name="_Toc407188978"/>
            <w:bookmarkStart w:id="4" w:name="_Toc407188922"/>
            <w:r>
              <w:rPr>
                <w:rFonts w:hint="eastAsia" w:ascii="仿宋" w:hAnsi="仿宋" w:eastAsia="仿宋" w:cs="仿宋"/>
                <w:sz w:val="24"/>
                <w:szCs w:val="24"/>
              </w:rPr>
              <w:t>（一）机构设置及在职人员情况</w:t>
            </w:r>
          </w:p>
          <w:bookmarkEnd w:id="0"/>
          <w:bookmarkEnd w:id="1"/>
          <w:p>
            <w:pPr>
              <w:spacing w:line="400" w:lineRule="exact"/>
              <w:ind w:firstLine="480" w:firstLineChars="200"/>
              <w:rPr>
                <w:rFonts w:ascii="仿宋" w:hAnsi="仿宋" w:eastAsia="仿宋" w:cs="仿宋"/>
                <w:sz w:val="24"/>
                <w:szCs w:val="24"/>
              </w:rPr>
            </w:pPr>
            <w:bookmarkStart w:id="5" w:name="_Toc471375421"/>
            <w:bookmarkStart w:id="6" w:name="_Toc441073741"/>
            <w:r>
              <w:rPr>
                <w:rFonts w:hint="eastAsia" w:ascii="仿宋" w:hAnsi="仿宋" w:eastAsia="仿宋" w:cs="仿宋"/>
                <w:sz w:val="24"/>
                <w:szCs w:val="24"/>
              </w:rPr>
              <w:t>湘潭县发展和改革局设内设机构单位内设机构14个，分别为：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湘潭县重点建设项目事务中心、湘潭县政府投资项目评审中心、湘潭县重点项目开发前期服务中心、湘潭县价格监测服务中心、长株潭一体化</w:t>
            </w:r>
            <w:r>
              <w:rPr>
                <w:rFonts w:hint="eastAsia" w:ascii="仿宋" w:hAnsi="仿宋" w:eastAsia="仿宋" w:cs="仿宋"/>
                <w:sz w:val="24"/>
                <w:szCs w:val="24"/>
                <w:lang w:eastAsia="zh-CN"/>
              </w:rPr>
              <w:t>发展</w:t>
            </w:r>
            <w:r>
              <w:rPr>
                <w:rFonts w:hint="eastAsia" w:ascii="仿宋" w:hAnsi="仿宋" w:eastAsia="仿宋" w:cs="仿宋"/>
                <w:sz w:val="24"/>
                <w:szCs w:val="24"/>
              </w:rPr>
              <w:t>事务中心。</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2022年部门预算编报范围本部门核定编制人数44名，其中</w:t>
            </w:r>
            <w:r>
              <w:rPr>
                <w:rFonts w:hint="eastAsia" w:ascii="仿宋" w:hAnsi="仿宋" w:eastAsia="仿宋" w:cs="仿宋"/>
                <w:sz w:val="24"/>
                <w:szCs w:val="24"/>
                <w:lang w:eastAsia="zh-CN"/>
              </w:rPr>
              <w:t>，</w:t>
            </w:r>
            <w:r>
              <w:rPr>
                <w:rFonts w:hint="eastAsia" w:ascii="仿宋" w:hAnsi="仿宋" w:eastAsia="仿宋" w:cs="仿宋"/>
                <w:sz w:val="24"/>
                <w:szCs w:val="24"/>
              </w:rPr>
              <w:t>行政编制16人，事业编制25人，后勤编制3人；实有在职人员41人，其中</w:t>
            </w:r>
            <w:r>
              <w:rPr>
                <w:rFonts w:hint="eastAsia" w:ascii="仿宋" w:hAnsi="仿宋" w:eastAsia="仿宋" w:cs="仿宋"/>
                <w:sz w:val="24"/>
                <w:szCs w:val="24"/>
                <w:lang w:eastAsia="zh-CN"/>
              </w:rPr>
              <w:t>，</w:t>
            </w:r>
            <w:r>
              <w:rPr>
                <w:rFonts w:hint="eastAsia" w:ascii="仿宋" w:hAnsi="仿宋" w:eastAsia="仿宋" w:cs="仿宋"/>
                <w:sz w:val="24"/>
                <w:szCs w:val="24"/>
              </w:rPr>
              <w:t>行政人员14人，非参公事业人员26人，机关后勤人员1人；退休人员73人，遗属人员7人。</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（二）部门主要工作职能</w:t>
            </w:r>
            <w:bookmarkEnd w:id="5"/>
            <w:bookmarkEnd w:id="6"/>
          </w:p>
          <w:bookmarkEnd w:id="2"/>
          <w:bookmarkEnd w:id="3"/>
          <w:bookmarkEnd w:id="4"/>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2、统筹协调经济社会发展。研究分析国内外、县内外经济形势和社会发展情况，监测预测预警全县宏观经济和社会发展态势，提出宏观调控措施和建议，协调解决宏观经济运行中的重大问题。</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3、参与拟订财政政策、金融政策、土地政策等，汇总、分析政策的执行情况。负责企业债券发行的审查和申报，监督发行企业债券募集资金的使用。</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4、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6、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7、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8、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9、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10、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11、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12、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13、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14、组织编制全县国民经济建设和国防建设协调发展的规划、计划，组织实施国民经济动员和装备动员有关工作。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15、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16、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17、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18、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19、统筹推进信用体系建设工作。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20、完成县委、县政府交办的其他任务。</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（三）2022年度发展规划</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深入贯彻县委总体部署，紧扣“三提一领”工作目标任务,坚持稳字当头、稳中求进总要求,坚定信心、迎难而上、扎实工作，聚力抓好经济运行调控、项目稳投资、争资争项等重要工作，推动县域经济高质量发展。</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（四）2022年度工作计划</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聚力抓好经济运行调控。积极应对需求收缩、供给冲击和预期转弱三重压力，加强对主要经济指标的动态监测研判，建立经济运行分析常态化联络对接机制，强化沟通协作配合，“一盘棋”推进经济运行分析调度工作，形成横向互动、合力攻坚的良好氛围，确保各项指标调度工作抓细抓实抓到位，及时为县委</w:t>
            </w:r>
            <w:r>
              <w:rPr>
                <w:rFonts w:hint="eastAsia" w:ascii="仿宋" w:hAnsi="仿宋" w:eastAsia="仿宋" w:cs="仿宋"/>
                <w:sz w:val="24"/>
                <w:szCs w:val="24"/>
                <w:lang w:eastAsia="zh-CN"/>
              </w:rPr>
              <w:t>县</w:t>
            </w:r>
            <w:bookmarkStart w:id="7" w:name="_GoBack"/>
            <w:bookmarkEnd w:id="7"/>
            <w:r>
              <w:rPr>
                <w:rFonts w:hint="eastAsia" w:ascii="仿宋" w:hAnsi="仿宋" w:eastAsia="仿宋" w:cs="仿宋"/>
                <w:sz w:val="24"/>
                <w:szCs w:val="24"/>
              </w:rPr>
              <w:t>政府决策提供参考。</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聚力抓项目稳投资。一是推进重点项目建设，始终把重大项目建设作为扩大有效投资的重要抓手，计划2022年铺排重点项目113个以上，年度计划投资138亿元；二是深化项目前期储备，策划包装一批增功能、强基础、利长远的项目；三是规范投资项目管理。抓好国省预算内项目和专项债项目实施，规范项目资金使用和管理，努力提高“四率”（项目开工率、资金拨付率、资金使用率、投资完成率），充分发挥政府性资金引领撬动作用，实现稳投资、促发展。</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聚力抓好争资争项。力争在新能源、制造业、水利、城市老旧管网、城市更新、社区改造、污水处理、医院改造、交通网络、港口码头、园区升级、片区开发、智慧城市、产业数字化、城乡冷链、市政基础设施、教育培训、医卫康养、长江经济带、环境治理、一老一小、保障性住房等方面谋划一批项目，积极争取更多项目、试点纳入国省政策笼子。</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4．聚力抓好改革创新赋能。持续深化要素市场化配置改革，强化创新要素精准供给，更高质量促进要素有序流动。</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5．聚力优化营商环境。持续深化放管服改革，全力以赴服务项目建设、企业发展，力争做到惠企政策和优质服务走在全省、全市前列。</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6．聚力抓好民生保障。一是深入推进价格公共服务，着力做好价费审批、审核、备案工作和价格成本监测与监审工作，开展农产品价格专项调查；二是真抓实干保粮食安全，全面贯彻落实粮食安全省长责任制，扛牢粮食安全责任，坚守粮食安全底线，深入实施“优质粮油工程”，持续抓好粮食流通重点工作，推进粮食收储体系和粮食产业健康发展，确保按时保质完成国省各项指标任务。</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（五）2022年度绩效目标</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在今年收支预算内，确保完成以下整体目标：</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目标1：全力推进投资增长，积极争取项目资金，确保中央和省市资金顺利到位，固定资产投资稳步增长。</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目标2：充分发挥政府投资的引导作用和放大效应，建立健全科学的政府投资决策、建设和监管制度。</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目标3：加强粮食物资储备和监管，确保地方临储稻谷处置价差及费用的资金拨付与监管工作。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目标4：加强机关作风建设和内务管理，严格遵守八项规定，控制“三公”消费，厉行节约，遵守单位十项规定，打造一个和谐、文明、服务的机关。</w:t>
            </w:r>
            <w:r>
              <w:rPr>
                <w:rFonts w:hint="eastAsia" w:ascii="仿宋" w:hAnsi="仿宋" w:eastAsia="仿宋" w:cs="仿宋"/>
                <w:sz w:val="24"/>
                <w:szCs w:val="24"/>
              </w:rPr>
              <w:tab/>
            </w:r>
            <w:r>
              <w:rPr>
                <w:rFonts w:hint="eastAsia" w:ascii="仿宋" w:hAnsi="仿宋" w:eastAsia="仿宋" w:cs="仿宋"/>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部门整体支出管理和使用基本情况</w:t>
            </w:r>
          </w:p>
        </w:tc>
        <w:tc>
          <w:tcPr>
            <w:tcW w:w="6166" w:type="dxa"/>
            <w:vAlign w:val="center"/>
          </w:tcPr>
          <w:p>
            <w:pPr>
              <w:spacing w:line="400" w:lineRule="exact"/>
              <w:ind w:firstLine="481" w:firstLineChars="200"/>
              <w:rPr>
                <w:rFonts w:ascii="仿宋" w:hAnsi="仿宋" w:eastAsia="仿宋" w:cs="仿宋"/>
                <w:b/>
                <w:sz w:val="24"/>
                <w:szCs w:val="24"/>
              </w:rPr>
            </w:pPr>
            <w:r>
              <w:rPr>
                <w:rFonts w:hint="eastAsia" w:ascii="仿宋" w:hAnsi="仿宋" w:eastAsia="仿宋" w:cs="仿宋"/>
                <w:b/>
                <w:sz w:val="24"/>
                <w:szCs w:val="24"/>
              </w:rPr>
              <w:t>一、预算安排情况</w:t>
            </w:r>
          </w:p>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2022年年初收入预算2214.12万元（一般财政公共预算拨款收入2214.121万元），其中：基本支出预算514.12万元（人员经费430.39万元，公用经费83.73万元）；项目支出预算1700.00万元。</w:t>
            </w:r>
          </w:p>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预算调整金额为1204.08万元：本级预算调整金额为107.28万元，其中：基本支出调增18.87万元（职业年金个人账户资金记实、补记资金）；项目支出调增88.41万元；本年预算内收到中央、省级转移支付专项资金指标1,096.80万元。</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2022年度预算内指标合计3418.20万元（含本级及上级资金指标）</w:t>
            </w:r>
          </w:p>
          <w:p>
            <w:pPr>
              <w:spacing w:line="400" w:lineRule="exact"/>
              <w:ind w:firstLine="481" w:firstLineChars="200"/>
              <w:rPr>
                <w:rFonts w:ascii="仿宋" w:hAnsi="仿宋" w:eastAsia="仿宋" w:cs="仿宋"/>
                <w:b/>
                <w:sz w:val="24"/>
                <w:szCs w:val="24"/>
              </w:rPr>
            </w:pPr>
            <w:r>
              <w:rPr>
                <w:rFonts w:hint="eastAsia" w:ascii="仿宋" w:hAnsi="仿宋" w:eastAsia="仿宋" w:cs="仿宋"/>
                <w:b/>
                <w:sz w:val="24"/>
                <w:szCs w:val="24"/>
              </w:rPr>
              <w:t>二、预算执行情况</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1.2022年部门收入决算情况</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2022年部门决算总收入4,722.53万元，其中一般公共财政拨款收入4133.50万元，占总收入的87.53%；其他资金收入589.03万元，占总收入的12.47%。</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2.2022年部门支出决算情况</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2022年决算总支出5049.10万元，其中基本支出812.49万元，占总支出的16.09%；项目支出4,236.61元，占总支出的83.91%;</w:t>
            </w:r>
          </w:p>
          <w:p>
            <w:pPr>
              <w:spacing w:line="400" w:lineRule="exact"/>
              <w:ind w:firstLine="600" w:firstLineChars="250"/>
              <w:rPr>
                <w:rFonts w:ascii="仿宋" w:hAnsi="仿宋" w:eastAsia="仿宋" w:cs="仿宋"/>
                <w:sz w:val="24"/>
                <w:szCs w:val="24"/>
              </w:rPr>
            </w:pPr>
            <w:r>
              <w:rPr>
                <w:rFonts w:hint="eastAsia" w:ascii="仿宋" w:hAnsi="仿宋" w:eastAsia="仿宋" w:cs="仿宋"/>
                <w:sz w:val="24"/>
                <w:szCs w:val="24"/>
              </w:rPr>
              <w:t>年初结转结余797.20万元，本年收入4,722.53万元，本年支出5,049.10万元，年末结转结余470.63万元，分项目核算结余结转，均为非财政拨款资金结转。</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3.“三公经费”情况：“三公经费”年初预算14.30万元，实际支出5.13万元，“三公经费”控制率为35.87%。</w:t>
            </w:r>
          </w:p>
          <w:p>
            <w:pPr>
              <w:spacing w:line="400" w:lineRule="exact"/>
              <w:ind w:firstLine="480"/>
              <w:rPr>
                <w:rFonts w:ascii="仿宋" w:hAnsi="仿宋" w:eastAsia="仿宋" w:cs="仿宋"/>
                <w:b/>
                <w:sz w:val="24"/>
                <w:szCs w:val="24"/>
              </w:rPr>
            </w:pPr>
            <w:r>
              <w:rPr>
                <w:rFonts w:hint="eastAsia" w:ascii="仿宋" w:hAnsi="仿宋" w:eastAsia="仿宋" w:cs="仿宋"/>
                <w:b/>
                <w:sz w:val="24"/>
                <w:szCs w:val="24"/>
              </w:rPr>
              <w:t>三、部门预算支出绩效指标情况分析</w:t>
            </w:r>
          </w:p>
          <w:p>
            <w:pPr>
              <w:spacing w:line="400" w:lineRule="exact"/>
              <w:ind w:firstLine="480"/>
              <w:rPr>
                <w:rFonts w:ascii="仿宋" w:hAnsi="仿宋" w:eastAsia="仿宋" w:cs="仿宋"/>
                <w:b/>
                <w:sz w:val="24"/>
                <w:szCs w:val="24"/>
              </w:rPr>
            </w:pPr>
            <w:r>
              <w:rPr>
                <w:rFonts w:hint="eastAsia" w:ascii="仿宋" w:hAnsi="仿宋" w:eastAsia="仿宋" w:cs="仿宋"/>
                <w:b/>
                <w:sz w:val="24"/>
                <w:szCs w:val="24"/>
              </w:rPr>
              <w:t>1.预算执行方面</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（1）预算控制率：我局2022年支出全部在年度预算资金内按计划安排，除了因政策性因素影响产生的人员经费增加，以及中央、省级项目资金的追加外，无其他预算资金的调整。</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预算执行控制率：2022年度预算资金支出总计5,049.10万元，其中：基本支出812.49万元（人员经费支出658.54万元，公用经费支出153.96万元）；基本支出年初预算数为514.12万元，年中政策性追加调资养老保险补缴、政策性调资合计18.87万元，基本支出指标合计532.99万元，基本支出预算控制率152.44%;项目支出决算数4,236.60万元，项目支出年初预算数为1,700.00万元，年中追加本级预算资金88.41万元，中央、省级项目资金下达1,096.80万元，使用年初结转指标2,018.55万元，项目支出预算指标合计4,903.76万元，项目支出预算控制率86.39%。</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（3）“三公经费”控制率：“三公经费”年初预算14.30万元，实际支出5.13万元，“三公经费”控制率为35.87%。</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（4）年初结转结余797.20万元，本年收入4,722.53万元，本年支出5,049.10万元，年末结转结余470.63万元，分项目核算结余结转。</w:t>
            </w:r>
          </w:p>
          <w:p>
            <w:pPr>
              <w:spacing w:line="400" w:lineRule="exact"/>
              <w:ind w:firstLine="602" w:firstLineChars="250"/>
              <w:rPr>
                <w:rFonts w:ascii="仿宋" w:hAnsi="仿宋" w:eastAsia="仿宋" w:cs="仿宋"/>
                <w:b/>
                <w:sz w:val="24"/>
                <w:szCs w:val="24"/>
              </w:rPr>
            </w:pPr>
            <w:r>
              <w:rPr>
                <w:rFonts w:hint="eastAsia" w:ascii="仿宋" w:hAnsi="仿宋" w:eastAsia="仿宋" w:cs="仿宋"/>
                <w:b/>
                <w:sz w:val="24"/>
                <w:szCs w:val="24"/>
              </w:rPr>
              <w:t>2.预算管理方面</w:t>
            </w:r>
          </w:p>
          <w:p>
            <w:pPr>
              <w:spacing w:line="400" w:lineRule="exact"/>
              <w:ind w:firstLine="480"/>
              <w:rPr>
                <w:rFonts w:ascii="仿宋" w:hAnsi="仿宋" w:eastAsia="仿宋" w:cs="仿宋"/>
                <w:sz w:val="24"/>
                <w:szCs w:val="24"/>
              </w:rPr>
            </w:pPr>
            <w:r>
              <w:rPr>
                <w:rFonts w:hint="eastAsia" w:ascii="仿宋" w:hAnsi="仿宋" w:eastAsia="仿宋" w:cs="仿宋"/>
                <w:sz w:val="24"/>
                <w:szCs w:val="24"/>
              </w:rPr>
              <w:t>（1）管理制度健全性:我局制定了《财务管理制度》和《内部控制手册》，明确了经费审批权限及程序，经费预算管理、财务收支管理、资产购置与处置、财务监督，开展公用经费使用监督和绩效评估，进一步落实厉行节约的各项规定，确保“三公经费”使用合理合规。</w:t>
            </w:r>
          </w:p>
          <w:p>
            <w:pPr>
              <w:spacing w:line="400" w:lineRule="exact"/>
              <w:ind w:firstLine="480"/>
              <w:rPr>
                <w:rFonts w:ascii="仿宋" w:hAnsi="仿宋" w:eastAsia="仿宋" w:cs="仿宋"/>
                <w:sz w:val="24"/>
                <w:szCs w:val="24"/>
              </w:rPr>
            </w:pPr>
            <w:r>
              <w:rPr>
                <w:rFonts w:hint="eastAsia" w:ascii="仿宋" w:hAnsi="仿宋" w:eastAsia="仿宋" w:cs="仿宋"/>
                <w:sz w:val="24"/>
                <w:szCs w:val="24"/>
              </w:rPr>
              <w:t>（2）专账核算：我局项目支出全部分项目单独核算。</w:t>
            </w:r>
          </w:p>
          <w:p>
            <w:pPr>
              <w:spacing w:line="400" w:lineRule="exact"/>
              <w:ind w:firstLine="480"/>
              <w:rPr>
                <w:rFonts w:ascii="仿宋" w:hAnsi="仿宋" w:eastAsia="仿宋" w:cs="仿宋"/>
                <w:sz w:val="24"/>
                <w:szCs w:val="24"/>
              </w:rPr>
            </w:pPr>
            <w:r>
              <w:rPr>
                <w:rFonts w:hint="eastAsia" w:ascii="仿宋" w:hAnsi="仿宋" w:eastAsia="仿宋" w:cs="仿宋"/>
                <w:sz w:val="24"/>
                <w:szCs w:val="24"/>
              </w:rPr>
              <w:t>（3）预决算公开：我局按照规定时限和规定内容在单位门户网站以及湘潭县人民政府网站公开部门预算、决算以及绩效自评信息，各项应向社会公开的信息及时、完整、真实。</w:t>
            </w:r>
          </w:p>
          <w:p>
            <w:pPr>
              <w:spacing w:line="400" w:lineRule="exact"/>
              <w:ind w:firstLine="480"/>
              <w:rPr>
                <w:rFonts w:ascii="仿宋" w:hAnsi="仿宋" w:eastAsia="仿宋" w:cs="仿宋"/>
                <w:sz w:val="24"/>
                <w:szCs w:val="24"/>
              </w:rPr>
            </w:pPr>
            <w:r>
              <w:rPr>
                <w:rFonts w:hint="eastAsia" w:ascii="仿宋" w:hAnsi="仿宋" w:eastAsia="仿宋" w:cs="仿宋"/>
                <w:sz w:val="24"/>
                <w:szCs w:val="24"/>
              </w:rPr>
              <w:t>（4）政府采购：按照《政府采购法》、《政府采购内部控制制度》的要求，对达到政府采购限额的货物和服务都进行了政府采购，采购执行率100%。</w:t>
            </w:r>
          </w:p>
          <w:p>
            <w:pPr>
              <w:spacing w:line="400" w:lineRule="exact"/>
              <w:ind w:firstLine="480"/>
              <w:rPr>
                <w:rFonts w:ascii="仿宋" w:hAnsi="仿宋" w:eastAsia="仿宋" w:cs="仿宋"/>
                <w:sz w:val="24"/>
                <w:szCs w:val="24"/>
              </w:rPr>
            </w:pPr>
            <w:r>
              <w:rPr>
                <w:rFonts w:hint="eastAsia" w:ascii="仿宋" w:hAnsi="仿宋" w:eastAsia="仿宋" w:cs="仿宋"/>
                <w:sz w:val="24"/>
                <w:szCs w:val="24"/>
              </w:rPr>
              <w:t>（5）资产管理：我局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w:t>
            </w:r>
          </w:p>
          <w:p>
            <w:pPr>
              <w:spacing w:line="400" w:lineRule="exact"/>
              <w:jc w:val="center"/>
              <w:rPr>
                <w:rFonts w:ascii="仿宋" w:hAnsi="仿宋" w:eastAsia="仿宋" w:cs="仿宋"/>
                <w:sz w:val="24"/>
                <w:szCs w:val="24"/>
              </w:rPr>
            </w:pPr>
            <w:r>
              <w:rPr>
                <w:rFonts w:hint="eastAsia" w:ascii="仿宋" w:hAnsi="仿宋" w:eastAsia="仿宋" w:cs="仿宋"/>
                <w:sz w:val="24"/>
                <w:szCs w:val="24"/>
              </w:rPr>
              <w:t>支出绩效</w:t>
            </w:r>
          </w:p>
        </w:tc>
        <w:tc>
          <w:tcPr>
            <w:tcW w:w="6166" w:type="dxa"/>
            <w:vAlign w:val="center"/>
          </w:tcPr>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2022年坚决落实“疫情要防住、经济要稳住、发展要安全”的重要指示和国、省、市、县经济工作会议精神，紧扣市委市政府加快建设“四区一地一圈一强”决策部署和县委、县政府“三提一领”发展目标，踔厉奋发，扎实推动县域经济高质量发展，较好地完成了各项目标任务：</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全年完成地区生产总值595亿元，增长5.5%;固定资产投资304亿元，增长6.8%;全年新增规模服务业企业11家，规模以上服务业企业总量将达52家，规模以上服务业企业营收达20亿元，同比增速14%;城镇居民人均可支配收入44178元，增长4.5%。</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（2）全年开工建设重点项目105个，完成投资148亿元，其中省重点项目投资完成率达150%，市重点项目投资完成率达120%。</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（3）成功争取到位国省预算内资金9801万元，专项债券资金7.06亿元，一般债券资金0.69亿元。共储备2023年中央预算内投资项目44个、总投资41.3亿元，拟争取中央预算内资金9.9亿元。</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4）牵头组织包容普惠创新、获得电力等指标评价工作，顺利通过省市营商环境评价实地调查。积极推进信用体系建设。依托社会信用信息收集平台，做好信用数据归集及信息查询；积极推广“信易贷”平台，全县目前入驻平台企业1127家，通过平台获得银行贷款企业25家，放款金额1.88亿元，为部分中小微企业解决了融资难、融资贵的问题。全面落实减税降费政策,严格清理取消供水供电供气行业不合理收费，最大限度让企业和居民享受了国家政策“红利”。全力落实“在线”审批政务服务平台推广运用，推行“不见面审批”，全年企业备案类项目241件，审批核准类项目31件，实现“平台之外无审批”，做到让信息多跑路,服务对象少跑(不跑)路；整理2010年至2021年认证文书档案1547册。</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5）全面落实“双碳”行动，开展多种形式的全国节能宣传周暨全国低碳日活动，共计发放宣传“双碳”、“节能降碳”资料5万余份，进企业宣传15次，全年开展“两高”企业摸底排查工作12次，下达整改意见1次；继续推进花石尾矿库项目建设，推进杨河循环经济产业园申报工作。全力推进风电、光伏等绿色能源发展。全县已纳入湖南省“十四五”新能源规划风、光电项目2个，光伏总装机容量70兆瓦，风电总装机容量60兆瓦。有序推进绿心生态保护，成功组织申报省级2022年绿心生态补偿专项资金项目4个，争取资金162万元。</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6）坚决扛牢粮食安全责任重担，切实做好粮食收购工作，确保仓容、资金、仓储、服务保障到位，全面落实收购工作“五个标准化”要求，落实上门预检、预约收购、绿色通道等便利措施，确保了粮食收购市场平稳有序，未发生“卖粮难”现象和负面舆情，我县早稻粮食收购工作获中央二台《经济信息联播》报道，湘潭县落实粮食安全责任制纳入省政府督查激励单位名单。落实重要商品监测品种116个、采集监测数据228次，上报数据4176个。全年受理价格认证案件144宗，办结案件144宗，涉案金额338.7万元，案件办结率100%。完成县云龙小学等三所义务教育阶段非营利性民办学校生均成本监审，有力推动了教育体制机制改革；调整了湘潭县巡游出租车运价；对我县12个中型灌区开展了成本监审并核定我县农业水价标准。全力推进乡村振兴，扎实开展易地扶贫后续扶持，顺利通过巩固拓展脱贫攻坚成果同乡村振兴有效衔接省级考核。全力做好用气用电保障，牵头制定并印发《湘潭县2022年度有序用电应急预案》，组织县供电公司完成“一户一策”、“一企一策”工作，组织县天然气公司采取保民生、保安全有序用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存在的问题</w:t>
            </w:r>
          </w:p>
        </w:tc>
        <w:tc>
          <w:tcPr>
            <w:tcW w:w="6166" w:type="dxa"/>
            <w:vAlign w:val="center"/>
          </w:tcPr>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1.基本支出预算控制率有待降低。</w:t>
            </w:r>
          </w:p>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扣除客观因素影响，2022年度我局基本支出预算控制率为152.44%。主要是部分支出年初无预算安排或预算安排不足。</w:t>
            </w:r>
          </w:p>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2.资产卡片信息更新不及时。主要原因是部分股室变动，资产管理人员未能及时了解各股室资产变动情况，资产系统信息未能及时更新。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改进措施</w:t>
            </w:r>
          </w:p>
        </w:tc>
        <w:tc>
          <w:tcPr>
            <w:tcW w:w="6166" w:type="dxa"/>
            <w:vAlign w:val="center"/>
          </w:tcPr>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加强预算编制的前瞻性，按照新《预算法》及其实施条例的相关规定，做好、做细预算基础工作，提高预算的准确性，进一步加强业务股室的预算管理意识，在资金安排和年初预算审核时，结合实际，分类研究，科学测算，合理安排，统一支出标准，进一步提高预算编制的科学性、严谨性和可控性。</w:t>
            </w:r>
          </w:p>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2．一是加强与财政资产管理部门的沟通，确保新增资产卡片录入信息符合财政要求；二是增强对资产变动的管理登记，确保资产系统中资产信息的时效性和准确性。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235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其他需要说明问题</w:t>
            </w:r>
          </w:p>
        </w:tc>
        <w:tc>
          <w:tcPr>
            <w:tcW w:w="6166"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无</w:t>
            </w:r>
          </w:p>
        </w:tc>
      </w:tr>
    </w:tbl>
    <w:p>
      <w:pPr>
        <w:snapToGrid w:val="0"/>
        <w:spacing w:line="540" w:lineRule="exact"/>
        <w:rPr>
          <w:rFonts w:ascii="方正仿宋简体" w:hAnsi="宋体" w:eastAsia="方正仿宋简体" w:cs="宋体"/>
          <w:kern w:val="0"/>
          <w:szCs w:val="32"/>
        </w:rPr>
      </w:pPr>
    </w:p>
    <w:p/>
    <w:p/>
    <w:p/>
    <w:p/>
    <w:p/>
    <w:p/>
    <w:p/>
    <w:p/>
    <w:p/>
    <w:p/>
    <w:p/>
    <w:sectPr>
      <w:head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简体">
    <w:altName w:val="方正仿宋_GBK"/>
    <w:panose1 w:val="00000000000000000000"/>
    <w:charset w:val="86"/>
    <w:family w:val="auto"/>
    <w:pitch w:val="default"/>
    <w:sig w:usb0="00000000" w:usb1="00000000" w:usb2="00000010" w:usb3="00000000" w:csb0="00040000"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OWMzNGNiZmU2NGVkOTVlNmRiN2M1M2YzNzVmMzQifQ=="/>
  </w:docVars>
  <w:rsids>
    <w:rsidRoot w:val="005F0930"/>
    <w:rsid w:val="00051922"/>
    <w:rsid w:val="000C6E57"/>
    <w:rsid w:val="00105C6C"/>
    <w:rsid w:val="00170ECF"/>
    <w:rsid w:val="001B7705"/>
    <w:rsid w:val="00223FF1"/>
    <w:rsid w:val="002F510C"/>
    <w:rsid w:val="003E5D56"/>
    <w:rsid w:val="004656BD"/>
    <w:rsid w:val="00493F61"/>
    <w:rsid w:val="004B65F7"/>
    <w:rsid w:val="00577044"/>
    <w:rsid w:val="005F0930"/>
    <w:rsid w:val="00657822"/>
    <w:rsid w:val="0072447B"/>
    <w:rsid w:val="00754A3C"/>
    <w:rsid w:val="00847C36"/>
    <w:rsid w:val="00876285"/>
    <w:rsid w:val="00894F9E"/>
    <w:rsid w:val="008B17BB"/>
    <w:rsid w:val="008B4BBD"/>
    <w:rsid w:val="00936B88"/>
    <w:rsid w:val="00A4683D"/>
    <w:rsid w:val="00C563DC"/>
    <w:rsid w:val="00CA30CB"/>
    <w:rsid w:val="00CA71F2"/>
    <w:rsid w:val="00D306A2"/>
    <w:rsid w:val="00D749F1"/>
    <w:rsid w:val="00DD5117"/>
    <w:rsid w:val="00E46591"/>
    <w:rsid w:val="00EB6B38"/>
    <w:rsid w:val="00F50E88"/>
    <w:rsid w:val="04020B93"/>
    <w:rsid w:val="074B22CD"/>
    <w:rsid w:val="0ACF6096"/>
    <w:rsid w:val="0B972975"/>
    <w:rsid w:val="0CDA66AA"/>
    <w:rsid w:val="0F394781"/>
    <w:rsid w:val="12B42DA0"/>
    <w:rsid w:val="13C34DAE"/>
    <w:rsid w:val="19027F6C"/>
    <w:rsid w:val="19A95D33"/>
    <w:rsid w:val="1BFC37FC"/>
    <w:rsid w:val="22666301"/>
    <w:rsid w:val="232517E7"/>
    <w:rsid w:val="24DA06FE"/>
    <w:rsid w:val="28E40CDA"/>
    <w:rsid w:val="2BCE7FDF"/>
    <w:rsid w:val="39096080"/>
    <w:rsid w:val="3A5868E2"/>
    <w:rsid w:val="40367F60"/>
    <w:rsid w:val="45B61B47"/>
    <w:rsid w:val="4CAA7F24"/>
    <w:rsid w:val="50785DD0"/>
    <w:rsid w:val="50CB687F"/>
    <w:rsid w:val="52053071"/>
    <w:rsid w:val="54240834"/>
    <w:rsid w:val="54BF3380"/>
    <w:rsid w:val="563E3E22"/>
    <w:rsid w:val="5AF36842"/>
    <w:rsid w:val="5B640B1D"/>
    <w:rsid w:val="5CE623B9"/>
    <w:rsid w:val="5D8D08F4"/>
    <w:rsid w:val="5E8B50FA"/>
    <w:rsid w:val="5FB84348"/>
    <w:rsid w:val="61E56E5E"/>
    <w:rsid w:val="63E152FB"/>
    <w:rsid w:val="70043888"/>
    <w:rsid w:val="76446247"/>
    <w:rsid w:val="76FE0751"/>
    <w:rsid w:val="77CF1F77"/>
    <w:rsid w:val="7BB7D72D"/>
    <w:rsid w:val="7DFF3BD0"/>
    <w:rsid w:val="7E6358E1"/>
    <w:rsid w:val="7FBF6B82"/>
    <w:rsid w:val="EBBFAA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Body Text Indent"/>
    <w:basedOn w:val="1"/>
    <w:semiHidden/>
    <w:qFormat/>
    <w:uiPriority w:val="99"/>
    <w:pPr>
      <w:spacing w:after="120"/>
      <w:ind w:left="420" w:leftChars="200"/>
    </w:p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4"/>
    <w:unhideWhenUsed/>
    <w:qFormat/>
    <w:uiPriority w:val="99"/>
    <w:pPr>
      <w:spacing w:before="100" w:beforeAutospacing="1"/>
      <w:ind w:firstLine="420"/>
    </w:pPr>
    <w:rPr>
      <w:sz w:val="22"/>
    </w:rPr>
  </w:style>
  <w:style w:type="character" w:customStyle="1" w:styleId="9">
    <w:name w:val="页眉 Char"/>
    <w:basedOn w:val="8"/>
    <w:link w:val="5"/>
    <w:qFormat/>
    <w:uiPriority w:val="99"/>
    <w:rPr>
      <w:sz w:val="18"/>
      <w:szCs w:val="18"/>
    </w:rPr>
  </w:style>
  <w:style w:type="character" w:customStyle="1" w:styleId="10">
    <w:name w:val="页脚 Char"/>
    <w:basedOn w:val="8"/>
    <w:link w:val="2"/>
    <w:qFormat/>
    <w:uiPriority w:val="99"/>
    <w:rPr>
      <w:sz w:val="18"/>
      <w:szCs w:val="18"/>
    </w:rPr>
  </w:style>
  <w:style w:type="paragraph" w:customStyle="1" w:styleId="11">
    <w:name w:val="p0"/>
    <w:basedOn w:val="1"/>
    <w:qFormat/>
    <w:uiPriority w:val="0"/>
    <w:pPr>
      <w:widowControl/>
    </w:pPr>
    <w:rPr>
      <w:rFonts w:ascii="Calibri" w:hAnsi="Calibri" w:cs="Calibri"/>
      <w:kern w:val="0"/>
      <w:szCs w:val="21"/>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7231</Words>
  <Characters>7781</Characters>
  <Lines>56</Lines>
  <Paragraphs>15</Paragraphs>
  <TotalTime>4</TotalTime>
  <ScaleCrop>false</ScaleCrop>
  <LinksUpToDate>false</LinksUpToDate>
  <CharactersWithSpaces>7783</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2017-03-05T21:05:00Z</dcterms:created>
  <dc:creator>LJ</dc:creator>
  <cp:lastModifiedBy>liaoling</cp:lastModifiedBy>
  <dcterms:modified xsi:type="dcterms:W3CDTF">2024-09-18T17:31:38Z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31F0C17DFA6C6107FA9DEA66C1320AFC</vt:lpwstr>
  </property>
</Properties>
</file>