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44E6B">
      <w:pPr>
        <w:spacing w:line="579" w:lineRule="exact"/>
        <w:jc w:val="left"/>
        <w:rPr>
          <w:rFonts w:ascii="方正小标宋_GBK" w:eastAsia="方正小标宋_GBK" w:hAnsi="方正小标宋_GBK" w:cs="方正小标宋_GBK" w:hint="eastAsia"/>
          <w:sz w:val="44"/>
          <w:szCs w:val="44"/>
        </w:rPr>
      </w:pPr>
    </w:p>
    <w:p w:rsidR="00000000" w:rsidRDefault="00944E6B">
      <w:pPr>
        <w:spacing w:line="560" w:lineRule="exact"/>
        <w:ind w:firstLineChars="600" w:firstLine="2640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湘潭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县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年度</w:t>
      </w:r>
    </w:p>
    <w:p w:rsidR="00000000" w:rsidRDefault="00944E6B">
      <w:pPr>
        <w:spacing w:line="560" w:lineRule="exact"/>
        <w:ind w:firstLineChars="200" w:firstLine="880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重点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项目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绩效评价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执行结果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情况</w:t>
      </w:r>
    </w:p>
    <w:p w:rsidR="00000000" w:rsidRDefault="00944E6B">
      <w:pPr>
        <w:pStyle w:val="1"/>
        <w:spacing w:line="560" w:lineRule="exact"/>
        <w:rPr>
          <w:rFonts w:hint="eastAsia"/>
        </w:rPr>
      </w:pPr>
    </w:p>
    <w:p w:rsidR="00000000" w:rsidRDefault="00944E6B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为进一步规范财政资金管理，强化财政支出绩效理念和责任意识，切实提高财政资金使用效益，根据</w:t>
      </w: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年湘潭县财政局的工作部署和财政支出的重点方向，我们对年度重点项目进行了绩效评价。现将</w:t>
      </w: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年绩效评价工作情况报告如下：</w:t>
      </w:r>
    </w:p>
    <w:p w:rsidR="00000000" w:rsidRDefault="00944E6B">
      <w:pPr>
        <w:spacing w:line="560" w:lineRule="exact"/>
        <w:ind w:firstLineChars="200" w:firstLine="643"/>
        <w:rPr>
          <w:rFonts w:ascii="黑体" w:eastAsia="黑体" w:hAnsi="黑体" w:cs="黑体" w:hint="eastAsia"/>
          <w:b/>
          <w:bCs/>
          <w:sz w:val="32"/>
          <w:szCs w:val="32"/>
          <w:lang w:val="zh-CN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一、</w:t>
      </w:r>
      <w:r>
        <w:rPr>
          <w:rFonts w:ascii="黑体" w:eastAsia="黑体" w:hAnsi="黑体" w:cs="黑体" w:hint="eastAsia"/>
          <w:b/>
          <w:bCs/>
          <w:sz w:val="32"/>
          <w:szCs w:val="32"/>
          <w:lang w:val="zh-CN"/>
        </w:rPr>
        <w:t>重点绩效评价项目概况</w:t>
      </w:r>
    </w:p>
    <w:p w:rsidR="00000000" w:rsidRDefault="00944E6B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，我们继续秉承稳增长、促改革、调结构、惠民生、防风险的财政支出原则，对一般公共预算中的重大支出项目进行了深入的绩效评价。在各相关部门自评的基础上，我们采取了财政自行评价与聘用第三方评价相结合的方式，确保评</w:t>
      </w:r>
      <w:r>
        <w:rPr>
          <w:rFonts w:ascii="仿宋_GB2312" w:eastAsia="仿宋_GB2312" w:hAnsi="仿宋_GB2312" w:cs="仿宋_GB2312" w:hint="eastAsia"/>
          <w:sz w:val="32"/>
          <w:szCs w:val="32"/>
        </w:rPr>
        <w:t>价工作的客观性和公正性。本年度绩效评价覆盖了</w:t>
      </w:r>
      <w:r>
        <w:rPr>
          <w:rFonts w:ascii="仿宋_GB2312" w:eastAsia="仿宋_GB2312" w:hAnsi="仿宋_GB2312" w:cs="仿宋_GB2312" w:hint="eastAsia"/>
          <w:sz w:val="32"/>
          <w:szCs w:val="32"/>
        </w:rPr>
        <w:t>15</w:t>
      </w:r>
      <w:r>
        <w:rPr>
          <w:rFonts w:ascii="仿宋_GB2312" w:eastAsia="仿宋_GB2312" w:hAnsi="仿宋_GB2312" w:cs="仿宋_GB2312" w:hint="eastAsia"/>
          <w:sz w:val="32"/>
          <w:szCs w:val="32"/>
        </w:rPr>
        <w:t>个单位的</w:t>
      </w:r>
      <w:r>
        <w:rPr>
          <w:rFonts w:ascii="仿宋_GB2312" w:eastAsia="仿宋_GB2312" w:hAnsi="仿宋_GB2312" w:cs="仿宋_GB2312" w:hint="eastAsia"/>
          <w:sz w:val="32"/>
          <w:szCs w:val="32"/>
        </w:rPr>
        <w:t>22</w:t>
      </w:r>
      <w:r>
        <w:rPr>
          <w:rFonts w:ascii="仿宋_GB2312" w:eastAsia="仿宋_GB2312" w:hAnsi="仿宋_GB2312" w:cs="仿宋_GB2312" w:hint="eastAsia"/>
          <w:sz w:val="32"/>
          <w:szCs w:val="32"/>
        </w:rPr>
        <w:t>个项目，其中包括</w:t>
      </w:r>
      <w:r>
        <w:rPr>
          <w:rFonts w:ascii="仿宋_GB2312" w:eastAsia="仿宋_GB2312" w:hAnsi="仿宋_GB2312" w:cs="仿宋_GB2312" w:hint="eastAsia"/>
          <w:sz w:val="32"/>
          <w:szCs w:val="32"/>
        </w:rPr>
        <w:t>21</w:t>
      </w:r>
      <w:r>
        <w:rPr>
          <w:rFonts w:ascii="仿宋_GB2312" w:eastAsia="仿宋_GB2312" w:hAnsi="仿宋_GB2312" w:cs="仿宋_GB2312" w:hint="eastAsia"/>
          <w:sz w:val="32"/>
          <w:szCs w:val="32"/>
        </w:rPr>
        <w:t>个专项支出和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个部门整体支出，涉及年初预算资金</w:t>
      </w:r>
      <w:r>
        <w:rPr>
          <w:rFonts w:ascii="仿宋_GB2312" w:eastAsia="仿宋_GB2312" w:hAnsi="仿宋_GB2312" w:cs="仿宋_GB2312" w:hint="eastAsia"/>
          <w:sz w:val="32"/>
          <w:szCs w:val="32"/>
        </w:rPr>
        <w:t>4.19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亿元。通过财政组织实施的重点评价项目金额为</w:t>
      </w:r>
      <w:r>
        <w:rPr>
          <w:rFonts w:ascii="仿宋_GB2312" w:eastAsia="仿宋_GB2312" w:hAnsi="仿宋_GB2312" w:cs="仿宋_GB2312" w:hint="eastAsia"/>
          <w:sz w:val="32"/>
          <w:szCs w:val="32"/>
        </w:rPr>
        <w:t>38033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万元，各股室自行评价的金额为</w:t>
      </w:r>
      <w:r>
        <w:rPr>
          <w:rFonts w:ascii="仿宋_GB2312" w:eastAsia="仿宋_GB2312" w:hAnsi="仿宋_GB2312" w:cs="仿宋_GB2312" w:hint="eastAsia"/>
          <w:sz w:val="32"/>
          <w:szCs w:val="32"/>
        </w:rPr>
        <w:t>78727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p w:rsidR="00000000" w:rsidRDefault="00944E6B">
      <w:pPr>
        <w:spacing w:line="560" w:lineRule="exact"/>
        <w:ind w:firstLineChars="200" w:firstLine="643"/>
        <w:rPr>
          <w:rFonts w:ascii="黑体" w:eastAsia="黑体" w:hAnsi="黑体" w:cs="黑体" w:hint="eastAsia"/>
          <w:b/>
          <w:bCs/>
          <w:sz w:val="32"/>
          <w:szCs w:val="32"/>
          <w:lang w:val="zh-CN"/>
        </w:rPr>
      </w:pPr>
      <w:r>
        <w:rPr>
          <w:rFonts w:ascii="黑体" w:eastAsia="黑体" w:hAnsi="黑体" w:cs="黑体" w:hint="eastAsia"/>
          <w:b/>
          <w:bCs/>
          <w:sz w:val="32"/>
          <w:szCs w:val="32"/>
          <w:lang w:val="zh-CN"/>
        </w:rPr>
        <w:t>二、重点绩效评价组织实施过程</w:t>
      </w:r>
    </w:p>
    <w:p w:rsidR="00000000" w:rsidRDefault="00944E6B">
      <w:pPr>
        <w:spacing w:line="560" w:lineRule="exact"/>
        <w:ind w:rightChars="231" w:right="485" w:firstLineChars="150" w:firstLine="482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、前期准备（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—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月）</w:t>
      </w:r>
    </w:p>
    <w:p w:rsidR="00000000" w:rsidRDefault="00944E6B">
      <w:pPr>
        <w:spacing w:line="560" w:lineRule="exact"/>
        <w:ind w:rightChars="231" w:right="485" w:firstLineChars="150" w:firstLine="4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主要是制定工作计划；要求县直机关单位和乡镇开展绩效自评工作；选取绩效评价体系内容；组织县直机关单位和乡镇财政所工作人员培训；划定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个绩效评价工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作组的责任分工。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</w:p>
    <w:p w:rsidR="00000000" w:rsidRDefault="00944E6B">
      <w:pPr>
        <w:spacing w:line="560" w:lineRule="exact"/>
        <w:ind w:rightChars="231" w:right="485" w:firstLineChars="150" w:firstLine="482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、组织实施（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—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月）</w:t>
      </w:r>
    </w:p>
    <w:p w:rsidR="00000000" w:rsidRDefault="00944E6B">
      <w:pPr>
        <w:spacing w:line="560" w:lineRule="exact"/>
        <w:ind w:rightChars="231" w:right="485" w:firstLineChars="150" w:firstLine="4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制定下发评价工作通知书；</w:t>
      </w:r>
      <w:r>
        <w:rPr>
          <w:rFonts w:ascii="仿宋_GB2312" w:eastAsia="仿宋_GB2312" w:hAnsi="仿宋_GB2312" w:cs="仿宋_GB2312" w:hint="eastAsia"/>
          <w:sz w:val="32"/>
          <w:szCs w:val="32"/>
        </w:rPr>
        <w:t>召开全县绩效管理工作暨培训会议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  <w:r>
        <w:rPr>
          <w:rFonts w:ascii="仿宋_GB2312" w:eastAsia="仿宋_GB2312" w:hAnsi="仿宋_GB2312" w:cs="仿宋_GB2312" w:hint="eastAsia"/>
          <w:sz w:val="32"/>
          <w:szCs w:val="32"/>
        </w:rPr>
        <w:t>评价工作组进驻相关单位和乡镇进行现场评价；收集相关资料。</w:t>
      </w:r>
    </w:p>
    <w:p w:rsidR="00000000" w:rsidRDefault="00944E6B">
      <w:pPr>
        <w:spacing w:line="560" w:lineRule="exact"/>
        <w:ind w:rightChars="231" w:right="485" w:firstLineChars="150" w:firstLine="482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、分析评价（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—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11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月）</w:t>
      </w:r>
    </w:p>
    <w:p w:rsidR="00000000" w:rsidRDefault="00944E6B">
      <w:pPr>
        <w:spacing w:line="560" w:lineRule="exact"/>
        <w:ind w:rightChars="231" w:right="485" w:firstLineChars="150" w:firstLine="4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各评价工作组运用有关政策规定和要求，对相关信息进行综合整理、分析、形成初报告；初审并完善各评价工作组撰写的每个评价初报告；与相关单位反馈评价工作意见；审核每个评价报告。</w:t>
      </w:r>
    </w:p>
    <w:p w:rsidR="00000000" w:rsidRDefault="00944E6B">
      <w:pPr>
        <w:spacing w:line="560" w:lineRule="exact"/>
        <w:ind w:rightChars="231" w:right="485" w:firstLineChars="150" w:firstLine="482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、汇总落实（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月）</w:t>
      </w:r>
    </w:p>
    <w:p w:rsidR="00000000" w:rsidRDefault="00944E6B">
      <w:pPr>
        <w:spacing w:line="560" w:lineRule="exact"/>
        <w:ind w:rightChars="231" w:right="485" w:firstLineChars="150" w:firstLine="4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评价工作汇总上报；通报评价情况；提出整改方案应用评价结果。</w:t>
      </w:r>
    </w:p>
    <w:p w:rsidR="00000000" w:rsidRDefault="00944E6B">
      <w:pPr>
        <w:spacing w:line="560" w:lineRule="exact"/>
        <w:ind w:firstLineChars="200" w:firstLine="643"/>
        <w:rPr>
          <w:rFonts w:ascii="黑体" w:eastAsia="黑体" w:hAnsi="黑体" w:cs="黑体" w:hint="eastAsia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三、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重点绩效评价结果</w:t>
      </w:r>
    </w:p>
    <w:p w:rsidR="00000000" w:rsidRDefault="00944E6B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经过三个多月的努力和两次专家组评审会，我们确定了</w:t>
      </w:r>
      <w:r>
        <w:rPr>
          <w:rFonts w:ascii="仿宋_GB2312" w:eastAsia="仿宋_GB2312" w:hAnsi="仿宋_GB2312" w:cs="仿宋_GB2312" w:hint="eastAsia"/>
          <w:sz w:val="32"/>
          <w:szCs w:val="32"/>
        </w:rPr>
        <w:t>19</w:t>
      </w:r>
      <w:r>
        <w:rPr>
          <w:rFonts w:ascii="仿宋_GB2312" w:eastAsia="仿宋_GB2312" w:hAnsi="仿宋_GB2312" w:cs="仿宋_GB2312" w:hint="eastAsia"/>
          <w:sz w:val="32"/>
          <w:szCs w:val="32"/>
        </w:rPr>
        <w:t>个项目为良好、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个项目为中等档次。评价结果已报县政府同意，并在全</w:t>
      </w:r>
      <w:r>
        <w:rPr>
          <w:rFonts w:ascii="仿宋_GB2312" w:eastAsia="仿宋_GB2312" w:hAnsi="仿宋_GB2312" w:cs="仿宋_GB2312" w:hint="eastAsia"/>
          <w:sz w:val="32"/>
          <w:szCs w:val="32"/>
        </w:rPr>
        <w:t>县范围内进行了通报。</w:t>
      </w:r>
      <w:r>
        <w:rPr>
          <w:rFonts w:ascii="仿宋_GB2312" w:eastAsia="仿宋_GB2312" w:hAnsi="仿宋_GB2312" w:cs="仿宋_GB2312" w:hint="eastAsia"/>
          <w:sz w:val="32"/>
          <w:szCs w:val="32"/>
        </w:rPr>
        <w:t>具体结果如下：</w:t>
      </w:r>
    </w:p>
    <w:p w:rsidR="00000000" w:rsidRDefault="00944E6B">
      <w:pPr>
        <w:spacing w:line="560" w:lineRule="exact"/>
        <w:ind w:firstLineChars="200" w:firstLine="643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湘潭县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年度财政支出重点绩效评价工作情况表</w:t>
      </w:r>
    </w:p>
    <w:tbl>
      <w:tblPr>
        <w:tblpPr w:leftFromText="180" w:rightFromText="180" w:vertAnchor="text" w:horzAnchor="page" w:tblpX="1276" w:tblpY="628"/>
        <w:tblOverlap w:val="never"/>
        <w:tblW w:w="9840" w:type="dxa"/>
        <w:tblInd w:w="0" w:type="dxa"/>
        <w:tblLook w:val="0000"/>
      </w:tblPr>
      <w:tblGrid>
        <w:gridCol w:w="700"/>
        <w:gridCol w:w="5600"/>
        <w:gridCol w:w="2560"/>
        <w:gridCol w:w="980"/>
      </w:tblGrid>
      <w:tr w:rsidR="00000000">
        <w:trPr>
          <w:trHeight w:val="9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5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 w:val="22"/>
                <w:szCs w:val="22"/>
              </w:rPr>
              <w:t>项目名称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 w:val="22"/>
                <w:szCs w:val="22"/>
              </w:rPr>
              <w:t>主管单位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 w:val="22"/>
                <w:szCs w:val="22"/>
              </w:rPr>
              <w:t>档次</w:t>
            </w:r>
          </w:p>
        </w:tc>
      </w:tr>
      <w:tr w:rsidR="00000000">
        <w:trPr>
          <w:trHeight w:val="6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2022</w:t>
            </w: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年义务教育薄弱环节改善和能力提升规划建设项目（总投资</w:t>
            </w: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1.5</w:t>
            </w: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亿，涉及</w:t>
            </w: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17</w:t>
            </w: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个乡镇</w:t>
            </w: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31</w:t>
            </w: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个学校）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县教育局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良</w:t>
            </w:r>
          </w:p>
        </w:tc>
      </w:tr>
      <w:tr w:rsidR="00000000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湘潭县农村宅基地房地一体化确权项目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县自然资源局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良</w:t>
            </w:r>
          </w:p>
        </w:tc>
      </w:tr>
      <w:tr w:rsidR="00000000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3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石潭芙蓉学校建设项目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县教育局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良</w:t>
            </w:r>
          </w:p>
        </w:tc>
      </w:tr>
      <w:tr w:rsidR="00000000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4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高能耗投入、设备运行及干线维护经费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县融媒体中心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良</w:t>
            </w:r>
          </w:p>
        </w:tc>
      </w:tr>
      <w:tr w:rsidR="00000000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5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2021</w:t>
            </w: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年国考（高考、学考）考点建设费和组考费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县教育局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良</w:t>
            </w:r>
          </w:p>
        </w:tc>
      </w:tr>
      <w:tr w:rsidR="00000000">
        <w:trPr>
          <w:trHeight w:val="63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6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政府举办的公益文艺演出、电影放映等农村电</w:t>
            </w: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影（政府购买服务项目）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县文体局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良</w:t>
            </w:r>
          </w:p>
        </w:tc>
      </w:tr>
      <w:tr w:rsidR="00000000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7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人居环境整治专项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县农业农村局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良</w:t>
            </w:r>
          </w:p>
        </w:tc>
      </w:tr>
      <w:tr w:rsidR="00000000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lastRenderedPageBreak/>
              <w:t>8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现代农业示范园及特色乡镇资金专项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县农业农村局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良</w:t>
            </w:r>
          </w:p>
        </w:tc>
      </w:tr>
      <w:tr w:rsidR="00000000">
        <w:trPr>
          <w:trHeight w:val="6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9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基层医疗卫生机构实施基本药物制度等综合改革补偿资金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县卫健局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良</w:t>
            </w:r>
          </w:p>
        </w:tc>
      </w:tr>
      <w:tr w:rsidR="00000000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10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贫困残疾人家庭无障碍改造专项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县残联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良</w:t>
            </w:r>
          </w:p>
        </w:tc>
      </w:tr>
      <w:tr w:rsidR="00000000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11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临时困难救助和特殊困难帮扶援助资金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县退役军人事务局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良</w:t>
            </w:r>
          </w:p>
        </w:tc>
      </w:tr>
      <w:tr w:rsidR="00000000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12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2018</w:t>
            </w: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－</w:t>
            </w: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2019</w:t>
            </w: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年畜禽粪污资源化利用整县推进项目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县农业农村局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良</w:t>
            </w:r>
          </w:p>
        </w:tc>
      </w:tr>
      <w:tr w:rsidR="00000000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13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食品安全能力提升专项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县市场监督管理局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良</w:t>
            </w:r>
          </w:p>
        </w:tc>
      </w:tr>
      <w:tr w:rsidR="00000000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14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基层公共服务“一门式”全覆盖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县行政审批局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良</w:t>
            </w:r>
          </w:p>
        </w:tc>
      </w:tr>
      <w:tr w:rsidR="00000000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15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2021</w:t>
            </w: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年部门整体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县公安局交通警察大队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良</w:t>
            </w:r>
          </w:p>
        </w:tc>
      </w:tr>
      <w:tr w:rsidR="00000000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16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城乡居民基本养老保险基金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县人社局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良</w:t>
            </w:r>
          </w:p>
        </w:tc>
      </w:tr>
      <w:tr w:rsidR="00000000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17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其他政府购买服务事项优抚集中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县民政局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良</w:t>
            </w:r>
          </w:p>
        </w:tc>
      </w:tr>
      <w:tr w:rsidR="00000000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18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彩票公益金河口敬老院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县民政局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良</w:t>
            </w:r>
          </w:p>
        </w:tc>
      </w:tr>
      <w:tr w:rsidR="00000000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19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农贸集贸市场新改建扶持资金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县商务局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良</w:t>
            </w:r>
          </w:p>
        </w:tc>
      </w:tr>
      <w:tr w:rsidR="00000000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20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不动产登记专项（含平台硬件建设、信息化建设）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县农业农村局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中</w:t>
            </w:r>
          </w:p>
        </w:tc>
      </w:tr>
      <w:tr w:rsidR="00000000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21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农村厕所革命专项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县自然资源局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中</w:t>
            </w:r>
          </w:p>
        </w:tc>
      </w:tr>
      <w:tr w:rsidR="00000000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22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44E6B" w:rsidP="006E6079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巩固</w:t>
            </w:r>
            <w:r w:rsidR="006E6079">
              <w:rPr>
                <w:rFonts w:ascii="仿宋_GB2312" w:eastAsia="仿宋_GB2312" w:hAnsi="宋体" w:cs="宋体" w:hint="eastAsia"/>
                <w:sz w:val="22"/>
                <w:szCs w:val="22"/>
              </w:rPr>
              <w:t>拓展</w:t>
            </w: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脱贫攻坚成果</w:t>
            </w:r>
            <w:r w:rsidR="006E6079">
              <w:rPr>
                <w:rFonts w:ascii="仿宋_GB2312" w:eastAsia="仿宋_GB2312" w:hAnsi="宋体" w:cs="宋体" w:hint="eastAsia"/>
                <w:sz w:val="22"/>
                <w:szCs w:val="22"/>
              </w:rPr>
              <w:t>同</w:t>
            </w: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乡村振兴有效衔接部门预算资金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县乡村振兴事务中心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0000" w:rsidRDefault="00944E6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中</w:t>
            </w:r>
          </w:p>
        </w:tc>
      </w:tr>
    </w:tbl>
    <w:p w:rsidR="00000000" w:rsidRDefault="00944E6B">
      <w:pPr>
        <w:spacing w:line="560" w:lineRule="exact"/>
        <w:ind w:rightChars="231" w:right="485" w:firstLineChars="150" w:firstLine="482"/>
        <w:rPr>
          <w:rFonts w:ascii="黑体" w:eastAsia="黑体" w:hAnsi="黑体" w:hint="eastAsia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四、重点绩效评价结果应用</w:t>
      </w:r>
    </w:p>
    <w:p w:rsidR="00000000" w:rsidRDefault="00944E6B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根据此次</w:t>
      </w:r>
      <w:r>
        <w:rPr>
          <w:rFonts w:ascii="仿宋_GB2312" w:eastAsia="仿宋_GB2312" w:hAnsi="仿宋_GB2312" w:cs="仿宋_GB2312" w:hint="eastAsia"/>
          <w:sz w:val="32"/>
          <w:szCs w:val="32"/>
        </w:rPr>
        <w:t>重点</w:t>
      </w:r>
      <w:r>
        <w:rPr>
          <w:rFonts w:ascii="仿宋_GB2312" w:eastAsia="仿宋_GB2312" w:hAnsi="仿宋_GB2312" w:cs="仿宋_GB2312" w:hint="eastAsia"/>
          <w:sz w:val="32"/>
          <w:szCs w:val="32"/>
        </w:rPr>
        <w:t>评价涉及</w:t>
      </w:r>
      <w:r>
        <w:rPr>
          <w:rFonts w:ascii="仿宋_GB2312" w:eastAsia="仿宋_GB2312" w:hAnsi="仿宋_GB2312" w:cs="仿宋_GB2312" w:hint="eastAsia"/>
          <w:sz w:val="32"/>
          <w:szCs w:val="32"/>
        </w:rPr>
        <w:t>的</w:t>
      </w:r>
      <w:r>
        <w:rPr>
          <w:rFonts w:ascii="仿宋_GB2312" w:eastAsia="仿宋_GB2312" w:hAnsi="仿宋_GB2312" w:cs="仿宋_GB2312" w:hint="eastAsia"/>
          <w:sz w:val="32"/>
          <w:szCs w:val="32"/>
        </w:rPr>
        <w:t>15</w:t>
      </w:r>
      <w:r>
        <w:rPr>
          <w:rFonts w:ascii="仿宋_GB2312" w:eastAsia="仿宋_GB2312" w:hAnsi="仿宋_GB2312" w:cs="仿宋_GB2312" w:hint="eastAsia"/>
          <w:sz w:val="32"/>
          <w:szCs w:val="32"/>
        </w:rPr>
        <w:t>个单位</w:t>
      </w:r>
      <w:r>
        <w:rPr>
          <w:rFonts w:ascii="仿宋_GB2312" w:eastAsia="仿宋_GB2312" w:hAnsi="仿宋_GB2312" w:cs="仿宋_GB2312" w:hint="eastAsia"/>
          <w:sz w:val="32"/>
          <w:szCs w:val="32"/>
        </w:rPr>
        <w:t>22</w:t>
      </w:r>
      <w:r>
        <w:rPr>
          <w:rFonts w:ascii="仿宋_GB2312" w:eastAsia="仿宋_GB2312" w:hAnsi="仿宋_GB2312" w:cs="仿宋_GB2312" w:hint="eastAsia"/>
          <w:sz w:val="32"/>
          <w:szCs w:val="32"/>
        </w:rPr>
        <w:t>个项</w:t>
      </w:r>
      <w:r>
        <w:rPr>
          <w:rFonts w:ascii="仿宋_GB2312" w:eastAsia="仿宋_GB2312" w:hAnsi="仿宋_GB2312" w:cs="仿宋_GB2312" w:hint="eastAsia"/>
          <w:sz w:val="32"/>
          <w:szCs w:val="32"/>
        </w:rPr>
        <w:t>目评价结果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按照《湘潭县预算绩效管理实施办法》（潭县政办发〔</w:t>
      </w:r>
      <w:r>
        <w:rPr>
          <w:rFonts w:ascii="仿宋_GB2312" w:eastAsia="仿宋_GB2312" w:hAnsi="仿宋_GB2312" w:cs="仿宋_GB2312" w:hint="eastAsia"/>
          <w:sz w:val="32"/>
          <w:szCs w:val="32"/>
        </w:rPr>
        <w:t>2014</w:t>
      </w:r>
      <w:r>
        <w:rPr>
          <w:rFonts w:ascii="仿宋_GB2312" w:eastAsia="仿宋_GB2312" w:hAnsi="仿宋_GB2312" w:cs="仿宋_GB2312" w:hint="eastAsia"/>
          <w:sz w:val="32"/>
          <w:szCs w:val="32"/>
        </w:rPr>
        <w:t>〕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号）要求，建议对评价结果为“中”档次、项目进度缓慢、资金有结余的项目，在本年度或下年度预算安排时进行调整：</w:t>
      </w:r>
    </w:p>
    <w:p w:rsidR="00000000" w:rsidRDefault="00944E6B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县乡村振兴事务中心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6E6079" w:rsidRPr="006E6079">
        <w:rPr>
          <w:rFonts w:ascii="仿宋_GB2312" w:eastAsia="仿宋_GB2312" w:hAnsi="仿宋_GB2312" w:cs="仿宋_GB2312" w:hint="eastAsia"/>
          <w:sz w:val="32"/>
          <w:szCs w:val="32"/>
        </w:rPr>
        <w:t>巩固拓展脱贫攻坚成果同乡村振兴有效衔接</w:t>
      </w:r>
      <w:r>
        <w:rPr>
          <w:rFonts w:ascii="仿宋_GB2312" w:eastAsia="仿宋_GB2312" w:hAnsi="仿宋_GB2312" w:cs="仿宋_GB2312" w:hint="eastAsia"/>
          <w:sz w:val="32"/>
          <w:szCs w:val="32"/>
        </w:rPr>
        <w:t>专项，经第三方机构评定结果为“中”档次。本项目预算</w:t>
      </w:r>
      <w:r>
        <w:rPr>
          <w:rFonts w:ascii="仿宋_GB2312" w:eastAsia="仿宋_GB2312" w:hAnsi="仿宋_GB2312" w:cs="仿宋_GB2312" w:hint="eastAsia"/>
          <w:sz w:val="32"/>
          <w:szCs w:val="32"/>
        </w:rPr>
        <w:t>200.00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万元，该项目在项目管理方面：一是预算执行率低；二是项目资金存在挪用、挤占；三是未进行专账核算。建议：一是收回项目资金的结余指标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129.21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万元，纳入下年度预算编制；二是根据评定结果档次，在下一年度安排预算</w:t>
      </w:r>
      <w:r>
        <w:rPr>
          <w:rFonts w:ascii="仿宋_GB2312" w:eastAsia="仿宋_GB2312" w:hAnsi="仿宋_GB2312" w:cs="仿宋_GB2312" w:hint="eastAsia"/>
          <w:sz w:val="32"/>
          <w:szCs w:val="32"/>
        </w:rPr>
        <w:t>以本项目预算安排数为基数核减</w:t>
      </w:r>
      <w:r>
        <w:rPr>
          <w:rFonts w:ascii="仿宋_GB2312" w:eastAsia="仿宋_GB2312" w:hAnsi="仿宋_GB2312" w:cs="仿宋_GB2312" w:hint="eastAsia"/>
          <w:sz w:val="32"/>
          <w:szCs w:val="32"/>
        </w:rPr>
        <w:t>10%</w:t>
      </w:r>
      <w:r>
        <w:rPr>
          <w:rFonts w:ascii="仿宋_GB2312" w:eastAsia="仿宋_GB2312" w:hAnsi="仿宋_GB2312" w:cs="仿宋_GB2312" w:hint="eastAsia"/>
          <w:sz w:val="32"/>
          <w:szCs w:val="32"/>
        </w:rPr>
        <w:t>，调减单位项目支出金额</w:t>
      </w:r>
      <w:r>
        <w:rPr>
          <w:rFonts w:ascii="仿宋_GB2312" w:eastAsia="仿宋_GB2312" w:hAnsi="仿宋_GB2312" w:cs="仿宋_GB2312" w:hint="eastAsia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p w:rsidR="00000000" w:rsidRDefault="00944E6B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县农业农村局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年农村厕所革命专项，经第三方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机构评定结果为“中”档次。本项目预算</w:t>
      </w:r>
      <w:r>
        <w:rPr>
          <w:rFonts w:ascii="仿宋_GB2312" w:eastAsia="仿宋_GB2312" w:hAnsi="仿宋_GB2312" w:cs="仿宋_GB2312" w:hint="eastAsia"/>
          <w:sz w:val="32"/>
          <w:szCs w:val="32"/>
        </w:rPr>
        <w:t>2977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万元，其中中央</w:t>
      </w:r>
      <w:r>
        <w:rPr>
          <w:rFonts w:ascii="仿宋_GB2312" w:eastAsia="仿宋_GB2312" w:hAnsi="仿宋_GB2312" w:cs="仿宋_GB2312" w:hint="eastAsia"/>
          <w:sz w:val="32"/>
          <w:szCs w:val="32"/>
        </w:rPr>
        <w:t>658.14</w:t>
      </w:r>
      <w:r>
        <w:rPr>
          <w:rFonts w:ascii="仿宋_GB2312" w:eastAsia="仿宋_GB2312" w:hAnsi="仿宋_GB2312" w:cs="仿宋_GB2312" w:hint="eastAsia"/>
          <w:sz w:val="32"/>
          <w:szCs w:val="32"/>
        </w:rPr>
        <w:t>万万元、省级</w:t>
      </w:r>
      <w:r>
        <w:rPr>
          <w:rFonts w:ascii="仿宋_GB2312" w:eastAsia="仿宋_GB2312" w:hAnsi="仿宋_GB2312" w:cs="仿宋_GB2312" w:hint="eastAsia"/>
          <w:sz w:val="32"/>
          <w:szCs w:val="32"/>
        </w:rPr>
        <w:t>438.76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万元、市级安排</w:t>
      </w:r>
      <w:r>
        <w:rPr>
          <w:rFonts w:ascii="仿宋_GB2312" w:eastAsia="仿宋_GB2312" w:hAnsi="仿宋_GB2312" w:cs="仿宋_GB2312" w:hint="eastAsia"/>
          <w:sz w:val="32"/>
          <w:szCs w:val="32"/>
        </w:rPr>
        <w:t>470.1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万元、县级安排</w:t>
      </w:r>
      <w:r>
        <w:rPr>
          <w:rFonts w:ascii="仿宋_GB2312" w:eastAsia="仿宋_GB2312" w:hAnsi="仿宋_GB2312" w:cs="仿宋_GB2312" w:hint="eastAsia"/>
          <w:sz w:val="32"/>
          <w:szCs w:val="32"/>
        </w:rPr>
        <w:t>1410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该项目在项目管理方面：一是专项资金拨付进度缓慢；二是后期长效管护机制落实困难。综上述原因，建议：一是强化对项目资金的监管机制；二是根据评定结果档次，在下一年度安排预算以本项目县级预算安排数为基数核减</w:t>
      </w:r>
      <w:r>
        <w:rPr>
          <w:rFonts w:ascii="仿宋_GB2312" w:eastAsia="仿宋_GB2312" w:hAnsi="仿宋_GB2312" w:cs="仿宋_GB2312" w:hint="eastAsia"/>
          <w:sz w:val="32"/>
          <w:szCs w:val="32"/>
        </w:rPr>
        <w:t>10%</w:t>
      </w:r>
      <w:r>
        <w:rPr>
          <w:rFonts w:ascii="仿宋_GB2312" w:eastAsia="仿宋_GB2312" w:hAnsi="仿宋_GB2312" w:cs="仿宋_GB2312" w:hint="eastAsia"/>
          <w:sz w:val="32"/>
          <w:szCs w:val="32"/>
        </w:rPr>
        <w:t>，调减单位项目支出金额</w:t>
      </w:r>
      <w:r>
        <w:rPr>
          <w:rFonts w:ascii="仿宋_GB2312" w:eastAsia="仿宋_GB2312" w:hAnsi="仿宋_GB2312" w:cs="仿宋_GB2312" w:hint="eastAsia"/>
          <w:sz w:val="32"/>
          <w:szCs w:val="32"/>
        </w:rPr>
        <w:t>141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p w:rsidR="00000000" w:rsidRDefault="00944E6B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县</w:t>
      </w:r>
      <w:r>
        <w:rPr>
          <w:rFonts w:ascii="仿宋_GB2312" w:eastAsia="仿宋_GB2312" w:hAnsi="仿宋_GB2312" w:cs="仿宋_GB2312" w:hint="eastAsia"/>
          <w:sz w:val="32"/>
          <w:szCs w:val="32"/>
        </w:rPr>
        <w:t>自然资源局不动产登记专项，经第三方机构评定结果评为“中”档次。本项目预算为</w:t>
      </w:r>
      <w:r>
        <w:rPr>
          <w:rFonts w:ascii="仿宋_GB2312" w:eastAsia="仿宋_GB2312" w:hAnsi="仿宋_GB2312" w:cs="仿宋_GB2312" w:hint="eastAsia"/>
          <w:sz w:val="32"/>
          <w:szCs w:val="32"/>
        </w:rPr>
        <w:t>171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万元，由三个子项目组成，一是湘潭县不动产登记系统信息化建设</w:t>
      </w:r>
      <w:r>
        <w:rPr>
          <w:rFonts w:ascii="仿宋_GB2312" w:eastAsia="仿宋_GB2312" w:hAnsi="仿宋_GB2312" w:cs="仿宋_GB2312" w:hint="eastAsia"/>
          <w:sz w:val="32"/>
          <w:szCs w:val="32"/>
        </w:rPr>
        <w:t>93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万元；二是不动产登记专项</w:t>
      </w:r>
      <w:r>
        <w:rPr>
          <w:rFonts w:ascii="仿宋_GB2312" w:eastAsia="仿宋_GB2312" w:hAnsi="仿宋_GB2312" w:cs="仿宋_GB2312" w:hint="eastAsia"/>
          <w:sz w:val="32"/>
          <w:szCs w:val="32"/>
        </w:rPr>
        <w:t>40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万元；三是湘潭县不动产登记交易一体化平台支撑硬件建设</w:t>
      </w:r>
      <w:r>
        <w:rPr>
          <w:rFonts w:ascii="仿宋_GB2312" w:eastAsia="仿宋_GB2312" w:hAnsi="仿宋_GB2312" w:cs="仿宋_GB2312" w:hint="eastAsia"/>
          <w:sz w:val="32"/>
          <w:szCs w:val="32"/>
        </w:rPr>
        <w:t>38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该项目在项目管理方面：一是任务划分不明晰，项目申报不严谨；二是财政资金使用效率不高；三是项目预算编制准确率不高。建议：一是对该类似项目在以后年度安排预算时进行整合；二是收回不动产登记专项</w:t>
      </w:r>
      <w:r>
        <w:rPr>
          <w:rFonts w:ascii="仿宋_GB2312" w:eastAsia="仿宋_GB2312" w:hAnsi="仿宋_GB2312" w:cs="仿宋_GB2312" w:hint="eastAsia"/>
          <w:sz w:val="32"/>
          <w:szCs w:val="32"/>
        </w:rPr>
        <w:t>40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万元；三是湘潭县不动产登记交易一体化平台支撑硬件建设</w:t>
      </w:r>
      <w:r>
        <w:rPr>
          <w:rFonts w:ascii="仿宋_GB2312" w:eastAsia="仿宋_GB2312" w:hAnsi="仿宋_GB2312" w:cs="仿宋_GB2312" w:hint="eastAsia"/>
          <w:sz w:val="32"/>
          <w:szCs w:val="32"/>
        </w:rPr>
        <w:t>38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万元因竞价流标，指标暂收回财政，待</w:t>
      </w:r>
      <w:r>
        <w:rPr>
          <w:rFonts w:ascii="仿宋_GB2312" w:eastAsia="仿宋_GB2312" w:hAnsi="仿宋_GB2312" w:cs="仿宋_GB2312" w:hint="eastAsia"/>
          <w:sz w:val="32"/>
          <w:szCs w:val="32"/>
        </w:rPr>
        <w:t>单位完成招投标再安排预算；四是根据评定结果档次，在下一年度安排预算以本项目预算安排数为基数核减</w:t>
      </w:r>
      <w:r>
        <w:rPr>
          <w:rFonts w:ascii="仿宋_GB2312" w:eastAsia="仿宋_GB2312" w:hAnsi="仿宋_GB2312" w:cs="仿宋_GB2312" w:hint="eastAsia"/>
          <w:sz w:val="32"/>
          <w:szCs w:val="32"/>
        </w:rPr>
        <w:t>10%</w:t>
      </w:r>
      <w:r>
        <w:rPr>
          <w:rFonts w:ascii="仿宋_GB2312" w:eastAsia="仿宋_GB2312" w:hAnsi="仿宋_GB2312" w:cs="仿宋_GB2312" w:hint="eastAsia"/>
          <w:sz w:val="32"/>
          <w:szCs w:val="32"/>
        </w:rPr>
        <w:t>，调减单位项目支出金额</w:t>
      </w:r>
      <w:r>
        <w:rPr>
          <w:rFonts w:ascii="仿宋_GB2312" w:eastAsia="仿宋_GB2312" w:hAnsi="仿宋_GB2312" w:cs="仿宋_GB2312" w:hint="eastAsia"/>
          <w:sz w:val="32"/>
          <w:szCs w:val="32"/>
        </w:rPr>
        <w:t>17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p w:rsidR="00000000" w:rsidRDefault="00944E6B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县商务局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年农贸市场新改建项目预算资金</w:t>
      </w:r>
      <w:r>
        <w:rPr>
          <w:rFonts w:ascii="仿宋_GB2312" w:eastAsia="仿宋_GB2312" w:hAnsi="仿宋_GB2312" w:cs="仿宋_GB2312" w:hint="eastAsia"/>
          <w:sz w:val="32"/>
          <w:szCs w:val="32"/>
        </w:rPr>
        <w:t>400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万元，预算支出金额为</w:t>
      </w:r>
      <w:r>
        <w:rPr>
          <w:rFonts w:ascii="仿宋_GB2312" w:eastAsia="仿宋_GB2312" w:hAnsi="仿宋_GB2312" w:cs="仿宋_GB2312" w:hint="eastAsia"/>
          <w:sz w:val="32"/>
          <w:szCs w:val="32"/>
        </w:rPr>
        <w:t>48.66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万元，指标用于疫情防控、伙食费、印刷费等支出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73.54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万元，指标结余</w:t>
      </w:r>
      <w:r>
        <w:rPr>
          <w:rFonts w:ascii="仿宋_GB2312" w:eastAsia="仿宋_GB2312" w:hAnsi="仿宋_GB2312" w:cs="仿宋_GB2312" w:hint="eastAsia"/>
          <w:sz w:val="32"/>
          <w:szCs w:val="32"/>
        </w:rPr>
        <w:t>277.8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万元。该项目在项目管理方面：一是资金分配方案不符合要求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未与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县财政局联合行文；二是预算完成率低，资金未专款专用；三是绩效管理工作有待加强。建议：一是收回项目资金的结余指标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277.8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万元，重新整合后再进行分配；二是追回</w:t>
      </w:r>
      <w:r>
        <w:rPr>
          <w:rFonts w:ascii="仿宋_GB2312" w:eastAsia="仿宋_GB2312" w:hAnsi="仿宋_GB2312" w:cs="仿宋_GB2312" w:hint="eastAsia"/>
          <w:sz w:val="32"/>
          <w:szCs w:val="32"/>
        </w:rPr>
        <w:t>挪用指标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73.54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p w:rsidR="00000000" w:rsidRDefault="00944E6B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b/>
          <w:bCs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县民政局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年其他政府购买服务事项优抚集中项目上年度结余</w:t>
      </w:r>
      <w:r>
        <w:rPr>
          <w:rFonts w:ascii="仿宋_GB2312" w:eastAsia="仿宋_GB2312" w:hAnsi="仿宋_GB2312" w:cs="仿宋_GB2312" w:hint="eastAsia"/>
          <w:sz w:val="32"/>
          <w:szCs w:val="32"/>
        </w:rPr>
        <w:t>26.5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万元，年中追加</w:t>
      </w:r>
      <w:r>
        <w:rPr>
          <w:rFonts w:ascii="仿宋_GB2312" w:eastAsia="仿宋_GB2312" w:hAnsi="仿宋_GB2312" w:cs="仿宋_GB2312" w:hint="eastAsia"/>
          <w:sz w:val="32"/>
          <w:szCs w:val="32"/>
        </w:rPr>
        <w:t>76.5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万元，共</w:t>
      </w:r>
      <w:r>
        <w:rPr>
          <w:rFonts w:ascii="仿宋_GB2312" w:eastAsia="仿宋_GB2312" w:hAnsi="仿宋_GB2312" w:cs="仿宋_GB2312" w:hint="eastAsia"/>
          <w:sz w:val="32"/>
          <w:szCs w:val="32"/>
        </w:rPr>
        <w:t>103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万元，实际支出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80.88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万元。指标结余</w:t>
      </w:r>
      <w:r>
        <w:rPr>
          <w:rFonts w:ascii="仿宋_GB2312" w:eastAsia="仿宋_GB2312" w:hAnsi="仿宋_GB2312" w:cs="仿宋_GB2312" w:hint="eastAsia"/>
          <w:sz w:val="32"/>
          <w:szCs w:val="32"/>
        </w:rPr>
        <w:t>22.12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万元。该项目在项目管理方面：一是绩效目标指标未量化或未定性情况；二是未进行专账管理；三是财务管理有待加强。建议：收回项目资金的结余指标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22.12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万元，纳入下年度预算编制。</w:t>
      </w:r>
    </w:p>
    <w:p w:rsidR="00000000" w:rsidRDefault="00944E6B">
      <w:pPr>
        <w:spacing w:line="560" w:lineRule="exact"/>
        <w:ind w:firstLineChars="200" w:firstLine="643"/>
        <w:rPr>
          <w:rFonts w:ascii="黑体" w:eastAsia="黑体" w:hAnsi="黑体" w:cs="黑体" w:hint="eastAsia"/>
          <w:b/>
          <w:bCs/>
          <w:sz w:val="32"/>
          <w:szCs w:val="32"/>
          <w:lang w:val="zh-CN"/>
        </w:rPr>
      </w:pPr>
      <w:r>
        <w:rPr>
          <w:rFonts w:ascii="黑体" w:eastAsia="黑体" w:hAnsi="黑体" w:cs="黑体" w:hint="eastAsia"/>
          <w:b/>
          <w:bCs/>
          <w:sz w:val="32"/>
          <w:szCs w:val="32"/>
          <w:lang w:val="zh-CN"/>
        </w:rPr>
        <w:t>五、后续工作要求</w:t>
      </w:r>
    </w:p>
    <w:p w:rsidR="00000000" w:rsidRDefault="00944E6B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我们将继续加强对评价结果的跟踪监督，确保整改措施得到切实执行。同时，我们将进一步完善绩效评价机制，提高评价工作的科学性和公正性，为推动我县经</w:t>
      </w:r>
      <w:r>
        <w:rPr>
          <w:rFonts w:ascii="仿宋_GB2312" w:eastAsia="仿宋_GB2312" w:hAnsi="仿宋_GB2312" w:cs="仿宋_GB2312" w:hint="eastAsia"/>
          <w:sz w:val="32"/>
          <w:szCs w:val="32"/>
        </w:rPr>
        <w:t>济社会持续健康发展提供有力保障。</w:t>
      </w:r>
    </w:p>
    <w:p w:rsidR="00944E6B" w:rsidRDefault="00944E6B">
      <w:pPr>
        <w:rPr>
          <w:rFonts w:ascii="仿宋_GB2312" w:eastAsia="仿宋_GB2312" w:hAnsi="仿宋_GB2312" w:cs="仿宋_GB2312" w:hint="eastAsia"/>
          <w:sz w:val="32"/>
          <w:szCs w:val="32"/>
        </w:rPr>
      </w:pPr>
    </w:p>
    <w:sectPr w:rsidR="00944E6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4E6B" w:rsidRDefault="00944E6B" w:rsidP="006E6079">
      <w:r>
        <w:separator/>
      </w:r>
    </w:p>
  </w:endnote>
  <w:endnote w:type="continuationSeparator" w:id="1">
    <w:p w:rsidR="00944E6B" w:rsidRDefault="00944E6B" w:rsidP="006E60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4E6B" w:rsidRDefault="00944E6B" w:rsidP="006E6079">
      <w:r>
        <w:separator/>
      </w:r>
    </w:p>
  </w:footnote>
  <w:footnote w:type="continuationSeparator" w:id="1">
    <w:p w:rsidR="00944E6B" w:rsidRDefault="00944E6B" w:rsidP="006E60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RkY2FiNmM2YzYxMjlhMjQ5YmYzODAyMDhlYTFiNzgifQ=="/>
    <w:docVar w:name="KSO_WPS_MARK_KEY" w:val="178f7819-e4b9-452c-b524-187c41741a43"/>
  </w:docVars>
  <w:rsids>
    <w:rsidRoot w:val="007106C5"/>
    <w:rsid w:val="00062AFC"/>
    <w:rsid w:val="001572E6"/>
    <w:rsid w:val="00175FA8"/>
    <w:rsid w:val="001A4846"/>
    <w:rsid w:val="00216606"/>
    <w:rsid w:val="00284497"/>
    <w:rsid w:val="00361CFA"/>
    <w:rsid w:val="00385BFE"/>
    <w:rsid w:val="003A049B"/>
    <w:rsid w:val="00427501"/>
    <w:rsid w:val="0050361F"/>
    <w:rsid w:val="00613636"/>
    <w:rsid w:val="0064655A"/>
    <w:rsid w:val="00673D12"/>
    <w:rsid w:val="006B1E1B"/>
    <w:rsid w:val="006E6079"/>
    <w:rsid w:val="007106C5"/>
    <w:rsid w:val="00754CE4"/>
    <w:rsid w:val="008D49BE"/>
    <w:rsid w:val="00900B10"/>
    <w:rsid w:val="00923EA2"/>
    <w:rsid w:val="009434BF"/>
    <w:rsid w:val="00944E6B"/>
    <w:rsid w:val="0096081D"/>
    <w:rsid w:val="00994144"/>
    <w:rsid w:val="009F502B"/>
    <w:rsid w:val="00B116BC"/>
    <w:rsid w:val="00B55A22"/>
    <w:rsid w:val="00BF31D3"/>
    <w:rsid w:val="00C44682"/>
    <w:rsid w:val="00C62EC3"/>
    <w:rsid w:val="00E2664E"/>
    <w:rsid w:val="00EB6868"/>
    <w:rsid w:val="00F44DB3"/>
    <w:rsid w:val="01EB8DCD"/>
    <w:rsid w:val="02EE5A20"/>
    <w:rsid w:val="07CC6DAB"/>
    <w:rsid w:val="0A8600C0"/>
    <w:rsid w:val="0B260613"/>
    <w:rsid w:val="0DBDBD7C"/>
    <w:rsid w:val="10953945"/>
    <w:rsid w:val="111E1B8C"/>
    <w:rsid w:val="1644358D"/>
    <w:rsid w:val="17B46E10"/>
    <w:rsid w:val="1AFE4759"/>
    <w:rsid w:val="1B5178D7"/>
    <w:rsid w:val="1BDD553D"/>
    <w:rsid w:val="1C6F7740"/>
    <w:rsid w:val="1CFBC0C1"/>
    <w:rsid w:val="1D13456F"/>
    <w:rsid w:val="1DE55F0B"/>
    <w:rsid w:val="1DFE3748"/>
    <w:rsid w:val="1F6043D3"/>
    <w:rsid w:val="1F737547"/>
    <w:rsid w:val="1FDE5137"/>
    <w:rsid w:val="1FED125A"/>
    <w:rsid w:val="1FFD7045"/>
    <w:rsid w:val="20992FDD"/>
    <w:rsid w:val="21A824BA"/>
    <w:rsid w:val="27A26C1B"/>
    <w:rsid w:val="27F679C2"/>
    <w:rsid w:val="27FEC580"/>
    <w:rsid w:val="282A7965"/>
    <w:rsid w:val="2A1F00A4"/>
    <w:rsid w:val="2B4F70BA"/>
    <w:rsid w:val="2B990335"/>
    <w:rsid w:val="2ED4951F"/>
    <w:rsid w:val="2F2F5238"/>
    <w:rsid w:val="2F7CF86B"/>
    <w:rsid w:val="2FE5F5C0"/>
    <w:rsid w:val="2FFD8433"/>
    <w:rsid w:val="2FFF1EBD"/>
    <w:rsid w:val="304E7940"/>
    <w:rsid w:val="333F7A14"/>
    <w:rsid w:val="337B156E"/>
    <w:rsid w:val="33DF36FF"/>
    <w:rsid w:val="34DF7A0E"/>
    <w:rsid w:val="34FF56AD"/>
    <w:rsid w:val="35777CF5"/>
    <w:rsid w:val="357F113D"/>
    <w:rsid w:val="36AB0431"/>
    <w:rsid w:val="376B252C"/>
    <w:rsid w:val="3790083E"/>
    <w:rsid w:val="37985945"/>
    <w:rsid w:val="37DD6EE5"/>
    <w:rsid w:val="38D37636"/>
    <w:rsid w:val="38DFE2AC"/>
    <w:rsid w:val="38F592D1"/>
    <w:rsid w:val="39FB49E1"/>
    <w:rsid w:val="3BBFDC62"/>
    <w:rsid w:val="3CB4F04E"/>
    <w:rsid w:val="3CBD7827"/>
    <w:rsid w:val="3DBF6956"/>
    <w:rsid w:val="3DFF359F"/>
    <w:rsid w:val="3E247F32"/>
    <w:rsid w:val="3EAB0813"/>
    <w:rsid w:val="3EBF6305"/>
    <w:rsid w:val="3EF70531"/>
    <w:rsid w:val="3F33F923"/>
    <w:rsid w:val="3F3B5434"/>
    <w:rsid w:val="3F3ED96F"/>
    <w:rsid w:val="3F7A7991"/>
    <w:rsid w:val="3FAA3B77"/>
    <w:rsid w:val="3FF52BFC"/>
    <w:rsid w:val="3FFBF677"/>
    <w:rsid w:val="3FFC0BB2"/>
    <w:rsid w:val="42C45840"/>
    <w:rsid w:val="433DF46B"/>
    <w:rsid w:val="44C65952"/>
    <w:rsid w:val="46D85D5E"/>
    <w:rsid w:val="476E321A"/>
    <w:rsid w:val="4783074C"/>
    <w:rsid w:val="47DFC550"/>
    <w:rsid w:val="495C2C76"/>
    <w:rsid w:val="49897B4D"/>
    <w:rsid w:val="4A08695A"/>
    <w:rsid w:val="4A791606"/>
    <w:rsid w:val="4A7DB043"/>
    <w:rsid w:val="4BE66B7E"/>
    <w:rsid w:val="4BF1EA5F"/>
    <w:rsid w:val="4D027691"/>
    <w:rsid w:val="4F7FEEB3"/>
    <w:rsid w:val="4FAD5DBD"/>
    <w:rsid w:val="4FDF3ECE"/>
    <w:rsid w:val="509B22D6"/>
    <w:rsid w:val="50D94BAC"/>
    <w:rsid w:val="51E352CF"/>
    <w:rsid w:val="52E71802"/>
    <w:rsid w:val="53DE637D"/>
    <w:rsid w:val="53FFD00C"/>
    <w:rsid w:val="552E3970"/>
    <w:rsid w:val="55AF8A10"/>
    <w:rsid w:val="565371AF"/>
    <w:rsid w:val="57064221"/>
    <w:rsid w:val="574CC743"/>
    <w:rsid w:val="576172EB"/>
    <w:rsid w:val="577C3D90"/>
    <w:rsid w:val="57A9EE67"/>
    <w:rsid w:val="57AB51BB"/>
    <w:rsid w:val="57F4B146"/>
    <w:rsid w:val="57F7A7D8"/>
    <w:rsid w:val="59411541"/>
    <w:rsid w:val="59EFD5C0"/>
    <w:rsid w:val="5ABF8312"/>
    <w:rsid w:val="5B4661D0"/>
    <w:rsid w:val="5BAF69B1"/>
    <w:rsid w:val="5BD515E8"/>
    <w:rsid w:val="5BE76C8A"/>
    <w:rsid w:val="5CE172C2"/>
    <w:rsid w:val="5D5F631C"/>
    <w:rsid w:val="5DBE54AF"/>
    <w:rsid w:val="5DE68E91"/>
    <w:rsid w:val="5DFE7DA7"/>
    <w:rsid w:val="5DFFAEB2"/>
    <w:rsid w:val="5EBFC02F"/>
    <w:rsid w:val="5EE40E78"/>
    <w:rsid w:val="5EFBC219"/>
    <w:rsid w:val="5EFE25DA"/>
    <w:rsid w:val="5F7F2E8C"/>
    <w:rsid w:val="5F7F7729"/>
    <w:rsid w:val="5FDFD455"/>
    <w:rsid w:val="5FED0B72"/>
    <w:rsid w:val="5FF5B8E1"/>
    <w:rsid w:val="5FFBFD43"/>
    <w:rsid w:val="5FFDBF21"/>
    <w:rsid w:val="5FFDF3BC"/>
    <w:rsid w:val="5FFFA920"/>
    <w:rsid w:val="60EFBEBC"/>
    <w:rsid w:val="61255665"/>
    <w:rsid w:val="61D373F6"/>
    <w:rsid w:val="62CBFBE0"/>
    <w:rsid w:val="63FE5AE8"/>
    <w:rsid w:val="64FB7602"/>
    <w:rsid w:val="64FD3107"/>
    <w:rsid w:val="65646CE3"/>
    <w:rsid w:val="657B1834"/>
    <w:rsid w:val="66FB8975"/>
    <w:rsid w:val="676B191E"/>
    <w:rsid w:val="67799103"/>
    <w:rsid w:val="67D738CF"/>
    <w:rsid w:val="68294213"/>
    <w:rsid w:val="68725BBA"/>
    <w:rsid w:val="695A0B28"/>
    <w:rsid w:val="69BA34A1"/>
    <w:rsid w:val="6B9BE73B"/>
    <w:rsid w:val="6BAF46F7"/>
    <w:rsid w:val="6BE50451"/>
    <w:rsid w:val="6BFE0636"/>
    <w:rsid w:val="6CC9825F"/>
    <w:rsid w:val="6D7B0E32"/>
    <w:rsid w:val="6DCE9880"/>
    <w:rsid w:val="6DF5D375"/>
    <w:rsid w:val="6E8E8FAE"/>
    <w:rsid w:val="6E9BA9F8"/>
    <w:rsid w:val="6EBBEAE3"/>
    <w:rsid w:val="6EBC44DA"/>
    <w:rsid w:val="6EF17411"/>
    <w:rsid w:val="6F5D4172"/>
    <w:rsid w:val="6F9E1E8B"/>
    <w:rsid w:val="6FAF1F71"/>
    <w:rsid w:val="6FDC0670"/>
    <w:rsid w:val="6FDD2141"/>
    <w:rsid w:val="6FEFE7B0"/>
    <w:rsid w:val="6FF744BC"/>
    <w:rsid w:val="6FFD757B"/>
    <w:rsid w:val="6FFDE6DB"/>
    <w:rsid w:val="6FFE4225"/>
    <w:rsid w:val="6FFF52EA"/>
    <w:rsid w:val="715916C6"/>
    <w:rsid w:val="719C7804"/>
    <w:rsid w:val="727E61A0"/>
    <w:rsid w:val="72EB87C5"/>
    <w:rsid w:val="73C60B68"/>
    <w:rsid w:val="73F3FC0F"/>
    <w:rsid w:val="74E8995C"/>
    <w:rsid w:val="7610256F"/>
    <w:rsid w:val="761771C3"/>
    <w:rsid w:val="765FC226"/>
    <w:rsid w:val="7675738E"/>
    <w:rsid w:val="76BDEA94"/>
    <w:rsid w:val="76CE3DB3"/>
    <w:rsid w:val="76D6DDA5"/>
    <w:rsid w:val="76F123A0"/>
    <w:rsid w:val="76F3613E"/>
    <w:rsid w:val="76FF1876"/>
    <w:rsid w:val="770FB364"/>
    <w:rsid w:val="776DAFFA"/>
    <w:rsid w:val="77AE3B9A"/>
    <w:rsid w:val="77C7E432"/>
    <w:rsid w:val="77F3D8EF"/>
    <w:rsid w:val="77FF58AE"/>
    <w:rsid w:val="77FFB4CC"/>
    <w:rsid w:val="78D60276"/>
    <w:rsid w:val="799565BB"/>
    <w:rsid w:val="79BAA873"/>
    <w:rsid w:val="79E6DCFA"/>
    <w:rsid w:val="79F609A1"/>
    <w:rsid w:val="79FDF468"/>
    <w:rsid w:val="7ABEE082"/>
    <w:rsid w:val="7ACF4AD2"/>
    <w:rsid w:val="7ADBD6FC"/>
    <w:rsid w:val="7AF732CC"/>
    <w:rsid w:val="7B6D1922"/>
    <w:rsid w:val="7B765838"/>
    <w:rsid w:val="7B7F2B07"/>
    <w:rsid w:val="7B922066"/>
    <w:rsid w:val="7B9DE98F"/>
    <w:rsid w:val="7B9F23CB"/>
    <w:rsid w:val="7BB72B66"/>
    <w:rsid w:val="7BD488EA"/>
    <w:rsid w:val="7BE7D0F6"/>
    <w:rsid w:val="7BFD4724"/>
    <w:rsid w:val="7BFEE67C"/>
    <w:rsid w:val="7BFFC66A"/>
    <w:rsid w:val="7C64139A"/>
    <w:rsid w:val="7C67892D"/>
    <w:rsid w:val="7C9FAE22"/>
    <w:rsid w:val="7CCF3EB5"/>
    <w:rsid w:val="7CFF68D0"/>
    <w:rsid w:val="7D1257D1"/>
    <w:rsid w:val="7D3B5BFB"/>
    <w:rsid w:val="7D57189D"/>
    <w:rsid w:val="7D57BBDD"/>
    <w:rsid w:val="7D5B6B1E"/>
    <w:rsid w:val="7D73571A"/>
    <w:rsid w:val="7D7F6915"/>
    <w:rsid w:val="7DBF4BFE"/>
    <w:rsid w:val="7DCBF34D"/>
    <w:rsid w:val="7DCF00FE"/>
    <w:rsid w:val="7DD3C27C"/>
    <w:rsid w:val="7DDA593C"/>
    <w:rsid w:val="7DF5CCDA"/>
    <w:rsid w:val="7DF7917E"/>
    <w:rsid w:val="7DFA5234"/>
    <w:rsid w:val="7DFF81DB"/>
    <w:rsid w:val="7E1A058B"/>
    <w:rsid w:val="7E5FBA90"/>
    <w:rsid w:val="7E7FC907"/>
    <w:rsid w:val="7ECFED8B"/>
    <w:rsid w:val="7EDDD88C"/>
    <w:rsid w:val="7EEBC67B"/>
    <w:rsid w:val="7EF9B9BF"/>
    <w:rsid w:val="7EFBC789"/>
    <w:rsid w:val="7EFBCA49"/>
    <w:rsid w:val="7EFDDE72"/>
    <w:rsid w:val="7EFF597E"/>
    <w:rsid w:val="7F2D4398"/>
    <w:rsid w:val="7F3ECCD6"/>
    <w:rsid w:val="7F4F1A37"/>
    <w:rsid w:val="7F534D1A"/>
    <w:rsid w:val="7F5FE7FB"/>
    <w:rsid w:val="7F774A01"/>
    <w:rsid w:val="7F7B43C4"/>
    <w:rsid w:val="7F7B4B4A"/>
    <w:rsid w:val="7F7B738C"/>
    <w:rsid w:val="7F7E102D"/>
    <w:rsid w:val="7F7EF01D"/>
    <w:rsid w:val="7F8F7167"/>
    <w:rsid w:val="7FBF3B83"/>
    <w:rsid w:val="7FCF0F9A"/>
    <w:rsid w:val="7FD32DB3"/>
    <w:rsid w:val="7FD42078"/>
    <w:rsid w:val="7FDF5A0F"/>
    <w:rsid w:val="7FDFD5B2"/>
    <w:rsid w:val="7FE709C9"/>
    <w:rsid w:val="7FEEB1D8"/>
    <w:rsid w:val="7FEFFAA0"/>
    <w:rsid w:val="7FF228C9"/>
    <w:rsid w:val="7FF74220"/>
    <w:rsid w:val="7FF7859E"/>
    <w:rsid w:val="7FF99BCF"/>
    <w:rsid w:val="7FFE565A"/>
    <w:rsid w:val="7FFF7B04"/>
    <w:rsid w:val="7FFF821A"/>
    <w:rsid w:val="7FFFEA1A"/>
    <w:rsid w:val="877FA0C3"/>
    <w:rsid w:val="87CE17E7"/>
    <w:rsid w:val="8A3F28EF"/>
    <w:rsid w:val="8DFAFA4A"/>
    <w:rsid w:val="8FDEF244"/>
    <w:rsid w:val="95DB649F"/>
    <w:rsid w:val="9ADF1A88"/>
    <w:rsid w:val="9BFD9DDD"/>
    <w:rsid w:val="9E6F99CF"/>
    <w:rsid w:val="9E9AF841"/>
    <w:rsid w:val="A7EE45C7"/>
    <w:rsid w:val="AB6ACC8A"/>
    <w:rsid w:val="AB6E8F15"/>
    <w:rsid w:val="ACF82763"/>
    <w:rsid w:val="AE7F0FA6"/>
    <w:rsid w:val="AEA76A1E"/>
    <w:rsid w:val="AFFD5B70"/>
    <w:rsid w:val="B3E3F157"/>
    <w:rsid w:val="B4FF72F3"/>
    <w:rsid w:val="B6CF4856"/>
    <w:rsid w:val="B70522A8"/>
    <w:rsid w:val="B7B94EFF"/>
    <w:rsid w:val="B7BAEA8E"/>
    <w:rsid w:val="B7EDF447"/>
    <w:rsid w:val="B7F74569"/>
    <w:rsid w:val="B8F39599"/>
    <w:rsid w:val="B9C73697"/>
    <w:rsid w:val="BB7657B3"/>
    <w:rsid w:val="BBFD244F"/>
    <w:rsid w:val="BBFE7E26"/>
    <w:rsid w:val="BBFEF5D5"/>
    <w:rsid w:val="BBFF6FAC"/>
    <w:rsid w:val="BCE59661"/>
    <w:rsid w:val="BCFB04E2"/>
    <w:rsid w:val="BDDDFE8A"/>
    <w:rsid w:val="BDFCD85A"/>
    <w:rsid w:val="BE99CE00"/>
    <w:rsid w:val="BEF34421"/>
    <w:rsid w:val="BF8A544C"/>
    <w:rsid w:val="BF9B7869"/>
    <w:rsid w:val="BFD929C4"/>
    <w:rsid w:val="BFDE1138"/>
    <w:rsid w:val="BFEFFC91"/>
    <w:rsid w:val="BFFF2DA2"/>
    <w:rsid w:val="BFFF5272"/>
    <w:rsid w:val="BFFF7084"/>
    <w:rsid w:val="BFFFEE6A"/>
    <w:rsid w:val="C4FB93A8"/>
    <w:rsid w:val="C4FF698C"/>
    <w:rsid w:val="C5DFDC7C"/>
    <w:rsid w:val="C5FF4931"/>
    <w:rsid w:val="C6FF972F"/>
    <w:rsid w:val="C7FEE73F"/>
    <w:rsid w:val="C93FF676"/>
    <w:rsid w:val="CDBF4FD4"/>
    <w:rsid w:val="CDCF4AAF"/>
    <w:rsid w:val="CDD40567"/>
    <w:rsid w:val="CDDB67BB"/>
    <w:rsid w:val="CDFFD826"/>
    <w:rsid w:val="CF67730E"/>
    <w:rsid w:val="CF73910D"/>
    <w:rsid w:val="CF8BB96C"/>
    <w:rsid w:val="CF8EA2FF"/>
    <w:rsid w:val="D1DBCB50"/>
    <w:rsid w:val="D1FDB5F1"/>
    <w:rsid w:val="D1FF8568"/>
    <w:rsid w:val="D2F7F50C"/>
    <w:rsid w:val="D3687475"/>
    <w:rsid w:val="D5CC87AF"/>
    <w:rsid w:val="D5DE5D61"/>
    <w:rsid w:val="D5F7111E"/>
    <w:rsid w:val="D66F23F7"/>
    <w:rsid w:val="D6BD9048"/>
    <w:rsid w:val="D73E03CE"/>
    <w:rsid w:val="D7BFF151"/>
    <w:rsid w:val="D7FB0A92"/>
    <w:rsid w:val="D7FF2CA9"/>
    <w:rsid w:val="D9F7EA09"/>
    <w:rsid w:val="DAD94ACC"/>
    <w:rsid w:val="DBAFC519"/>
    <w:rsid w:val="DCDDC946"/>
    <w:rsid w:val="DDBE0295"/>
    <w:rsid w:val="DDDFD7AB"/>
    <w:rsid w:val="DDF7ABE8"/>
    <w:rsid w:val="DDFC7D41"/>
    <w:rsid w:val="DE46D95D"/>
    <w:rsid w:val="DE7F1B31"/>
    <w:rsid w:val="DF37B9CB"/>
    <w:rsid w:val="DF5B38F2"/>
    <w:rsid w:val="DF7F9E6D"/>
    <w:rsid w:val="DF8F56D7"/>
    <w:rsid w:val="DFB9D231"/>
    <w:rsid w:val="DFDEBA22"/>
    <w:rsid w:val="DFE7F433"/>
    <w:rsid w:val="DFED55C2"/>
    <w:rsid w:val="DFF9A758"/>
    <w:rsid w:val="DFFA35D2"/>
    <w:rsid w:val="DFFD13EA"/>
    <w:rsid w:val="E1DFC7D1"/>
    <w:rsid w:val="E5E13678"/>
    <w:rsid w:val="E5F8BE74"/>
    <w:rsid w:val="E67A3CAC"/>
    <w:rsid w:val="E6FFF85C"/>
    <w:rsid w:val="E77DD905"/>
    <w:rsid w:val="E77DED93"/>
    <w:rsid w:val="E79B7B21"/>
    <w:rsid w:val="E7EF6997"/>
    <w:rsid w:val="E7FED6E2"/>
    <w:rsid w:val="E9FBC8D1"/>
    <w:rsid w:val="EB1F89D2"/>
    <w:rsid w:val="EBCF1E2E"/>
    <w:rsid w:val="EC3D325D"/>
    <w:rsid w:val="ECAFB8C6"/>
    <w:rsid w:val="ECFF2232"/>
    <w:rsid w:val="ED6F2352"/>
    <w:rsid w:val="ED9E1B8B"/>
    <w:rsid w:val="EDECC326"/>
    <w:rsid w:val="EDFF5DDB"/>
    <w:rsid w:val="EE4DE872"/>
    <w:rsid w:val="EE6FDB1C"/>
    <w:rsid w:val="EEBDBD7F"/>
    <w:rsid w:val="EEDD8749"/>
    <w:rsid w:val="EEEE6224"/>
    <w:rsid w:val="EF9701B3"/>
    <w:rsid w:val="EFAC6BD0"/>
    <w:rsid w:val="EFB7CF4E"/>
    <w:rsid w:val="EFBEB21C"/>
    <w:rsid w:val="EFDDBF6B"/>
    <w:rsid w:val="EFE75BC1"/>
    <w:rsid w:val="EFFE8471"/>
    <w:rsid w:val="EFFF17AA"/>
    <w:rsid w:val="F27F097A"/>
    <w:rsid w:val="F2A78D70"/>
    <w:rsid w:val="F3AF4EE3"/>
    <w:rsid w:val="F3CE4373"/>
    <w:rsid w:val="F3D6E038"/>
    <w:rsid w:val="F3DAC256"/>
    <w:rsid w:val="F3EDC459"/>
    <w:rsid w:val="F4EE58A0"/>
    <w:rsid w:val="F5BFD6A3"/>
    <w:rsid w:val="F69F98A2"/>
    <w:rsid w:val="F6DF2550"/>
    <w:rsid w:val="F6FC730A"/>
    <w:rsid w:val="F6FDE29C"/>
    <w:rsid w:val="F7633711"/>
    <w:rsid w:val="F7BF665A"/>
    <w:rsid w:val="F7BF86D8"/>
    <w:rsid w:val="F7EF7D59"/>
    <w:rsid w:val="F7F711C6"/>
    <w:rsid w:val="F7FF5074"/>
    <w:rsid w:val="F7FFC458"/>
    <w:rsid w:val="F879788E"/>
    <w:rsid w:val="F9D7BBDE"/>
    <w:rsid w:val="F9EB3B51"/>
    <w:rsid w:val="FABF92AE"/>
    <w:rsid w:val="FAFF15D8"/>
    <w:rsid w:val="FB77BF17"/>
    <w:rsid w:val="FBBCE76B"/>
    <w:rsid w:val="FBFD63AB"/>
    <w:rsid w:val="FBFF803E"/>
    <w:rsid w:val="FBFFA2B3"/>
    <w:rsid w:val="FBFFD357"/>
    <w:rsid w:val="FC4F921D"/>
    <w:rsid w:val="FC6AF24C"/>
    <w:rsid w:val="FC78D483"/>
    <w:rsid w:val="FCBFC3D6"/>
    <w:rsid w:val="FCD52BF5"/>
    <w:rsid w:val="FD1AF137"/>
    <w:rsid w:val="FD2A23BF"/>
    <w:rsid w:val="FD7F8152"/>
    <w:rsid w:val="FDB77DA8"/>
    <w:rsid w:val="FDBEA3A7"/>
    <w:rsid w:val="FDD67D79"/>
    <w:rsid w:val="FDF781D8"/>
    <w:rsid w:val="FDF78A52"/>
    <w:rsid w:val="FDFE0452"/>
    <w:rsid w:val="FECB0221"/>
    <w:rsid w:val="FEF7866E"/>
    <w:rsid w:val="FEFBC1CF"/>
    <w:rsid w:val="FF4C0266"/>
    <w:rsid w:val="FF5EE38B"/>
    <w:rsid w:val="FF5F371D"/>
    <w:rsid w:val="FF66E191"/>
    <w:rsid w:val="FF6D6DEC"/>
    <w:rsid w:val="FF73797C"/>
    <w:rsid w:val="FF768551"/>
    <w:rsid w:val="FF9BF690"/>
    <w:rsid w:val="FFBED6E4"/>
    <w:rsid w:val="FFBF8FC7"/>
    <w:rsid w:val="FFD766DB"/>
    <w:rsid w:val="FFD895EA"/>
    <w:rsid w:val="FFE76593"/>
    <w:rsid w:val="FFEF383C"/>
    <w:rsid w:val="FFF362EE"/>
    <w:rsid w:val="FFF52300"/>
    <w:rsid w:val="FFF7A639"/>
    <w:rsid w:val="FFF7BF87"/>
    <w:rsid w:val="FFF917E5"/>
    <w:rsid w:val="FFF94473"/>
    <w:rsid w:val="FFFBDC57"/>
    <w:rsid w:val="FFFCA2A7"/>
    <w:rsid w:val="FFFCF9B1"/>
    <w:rsid w:val="FFFE02C4"/>
    <w:rsid w:val="FFFE033B"/>
    <w:rsid w:val="FFFF0DE3"/>
    <w:rsid w:val="FFFF3192"/>
    <w:rsid w:val="FFFF7F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endnote text" w:semiHidden="1" w:uiPriority="99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uiPriority w:val="99"/>
    <w:semiHidden/>
    <w:qFormat/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4"/>
    <w:uiPriority w:val="99"/>
    <w:rPr>
      <w:rFonts w:ascii="Calibri" w:hAnsi="Calibri"/>
      <w:kern w:val="2"/>
      <w:sz w:val="18"/>
      <w:szCs w:val="18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rPr>
      <w:rFonts w:ascii="Calibri" w:hAnsi="Calibri"/>
      <w:kern w:val="2"/>
      <w:sz w:val="18"/>
      <w:szCs w:val="18"/>
    </w:rPr>
  </w:style>
  <w:style w:type="paragraph" w:styleId="a6">
    <w:name w:val="Normal (Web)"/>
    <w:basedOn w:val="a"/>
    <w:link w:val="Char1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1">
    <w:name w:val="普通(网站) Char"/>
    <w:link w:val="a6"/>
    <w:rPr>
      <w:kern w:val="0"/>
      <w:sz w:val="24"/>
      <w:lang w:val="en-US" w:eastAsia="zh-CN"/>
    </w:rPr>
  </w:style>
  <w:style w:type="character" w:styleId="a7">
    <w:name w:val="Strong"/>
    <w:qFormat/>
    <w:rPr>
      <w:b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423</Words>
  <Characters>2415</Characters>
  <Application>Microsoft Office Word</Application>
  <DocSecurity>0</DocSecurity>
  <Lines>20</Lines>
  <Paragraphs>5</Paragraphs>
  <ScaleCrop>false</ScaleCrop>
  <Company/>
  <LinksUpToDate>false</LinksUpToDate>
  <CharactersWithSpaces>2833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2023-10-11T02:49:00Z</cp:lastPrinted>
  <dcterms:created xsi:type="dcterms:W3CDTF">2024-09-18T01:16:00Z</dcterms:created>
  <dcterms:modified xsi:type="dcterms:W3CDTF">2024-09-18T01:16:00Z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FE89724B968C4605AACD4A5768DFD165_13</vt:lpwstr>
  </property>
</Properties>
</file>