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rPr>
          <w:rFonts w:ascii="宋体" w:hAnsi="宋体" w:eastAsia="宋体" w:cs="宋体"/>
          <w:sz w:val="72"/>
          <w:szCs w:val="72"/>
        </w:rPr>
      </w:pPr>
    </w:p>
    <w:p>
      <w:pPr>
        <w:pStyle w:val="11"/>
        <w:jc w:val="center"/>
        <w:rPr>
          <w:rFonts w:ascii="宋体" w:hAnsi="宋体" w:eastAsia="宋体" w:cs="宋体"/>
          <w:sz w:val="72"/>
          <w:szCs w:val="72"/>
        </w:rPr>
      </w:pPr>
    </w:p>
    <w:p>
      <w:pPr>
        <w:pStyle w:val="11"/>
        <w:jc w:val="center"/>
        <w:rPr>
          <w:rFonts w:ascii="宋体" w:hAnsi="宋体" w:eastAsia="宋体" w:cs="宋体"/>
          <w:sz w:val="72"/>
          <w:szCs w:val="72"/>
        </w:rPr>
      </w:pPr>
    </w:p>
    <w:p>
      <w:pPr>
        <w:pStyle w:val="11"/>
        <w:jc w:val="center"/>
        <w:rPr>
          <w:rFonts w:ascii="宋体" w:hAnsi="宋体" w:eastAsia="宋体" w:cs="宋体"/>
          <w:sz w:val="72"/>
          <w:szCs w:val="72"/>
        </w:rPr>
      </w:pPr>
    </w:p>
    <w:p>
      <w:pPr>
        <w:pStyle w:val="11"/>
        <w:jc w:val="center"/>
        <w:rPr>
          <w:rFonts w:ascii="宋体" w:hAnsi="宋体" w:eastAsia="宋体" w:cs="宋体"/>
          <w:sz w:val="72"/>
          <w:szCs w:val="72"/>
        </w:rPr>
      </w:pPr>
    </w:p>
    <w:p>
      <w:pPr>
        <w:pStyle w:val="11"/>
        <w:jc w:val="center"/>
        <w:rPr>
          <w:rFonts w:ascii="宋体" w:hAnsi="宋体" w:eastAsia="宋体" w:cs="Times New Roman"/>
          <w:sz w:val="72"/>
          <w:szCs w:val="72"/>
        </w:rPr>
      </w:pPr>
      <w:r>
        <w:rPr>
          <w:rFonts w:ascii="宋体" w:hAnsi="宋体" w:eastAsia="宋体" w:cs="宋体"/>
          <w:sz w:val="72"/>
          <w:szCs w:val="72"/>
        </w:rPr>
        <w:t>202</w:t>
      </w:r>
      <w:r>
        <w:rPr>
          <w:rFonts w:hint="eastAsia" w:ascii="宋体" w:hAnsi="宋体" w:eastAsia="宋体" w:cs="宋体"/>
          <w:sz w:val="72"/>
          <w:szCs w:val="72"/>
        </w:rPr>
        <w:t>2年度</w:t>
      </w:r>
    </w:p>
    <w:p>
      <w:pPr>
        <w:pStyle w:val="11"/>
        <w:jc w:val="center"/>
        <w:rPr>
          <w:rFonts w:ascii="宋体" w:hAnsi="宋体" w:eastAsia="宋体" w:cs="Times New Roman"/>
          <w:sz w:val="72"/>
          <w:szCs w:val="72"/>
        </w:rPr>
      </w:pPr>
      <w:r>
        <w:rPr>
          <w:rFonts w:hint="eastAsia" w:ascii="宋体" w:hAnsi="宋体" w:eastAsia="宋体" w:cs="宋体"/>
          <w:sz w:val="72"/>
          <w:szCs w:val="72"/>
        </w:rPr>
        <w:t>湘潭县商务局部门决算</w:t>
      </w:r>
    </w:p>
    <w:p>
      <w:pPr>
        <w:pStyle w:val="11"/>
        <w:jc w:val="center"/>
        <w:rPr>
          <w:rFonts w:ascii="宋体" w:hAnsi="宋体" w:eastAsia="宋体" w:cs="Times New Roman"/>
          <w:sz w:val="72"/>
          <w:szCs w:val="72"/>
        </w:rPr>
      </w:pPr>
    </w:p>
    <w:p>
      <w:pPr>
        <w:pStyle w:val="11"/>
        <w:jc w:val="center"/>
        <w:rPr>
          <w:rFonts w:cs="Times New Roman"/>
          <w:sz w:val="56"/>
          <w:szCs w:val="56"/>
        </w:rPr>
      </w:pPr>
    </w:p>
    <w:p>
      <w:pPr>
        <w:pStyle w:val="11"/>
        <w:jc w:val="center"/>
        <w:rPr>
          <w:rFonts w:cs="Times New Roman"/>
          <w:sz w:val="56"/>
          <w:szCs w:val="56"/>
        </w:rPr>
      </w:pPr>
    </w:p>
    <w:p>
      <w:pPr>
        <w:pStyle w:val="11"/>
        <w:jc w:val="center"/>
        <w:rPr>
          <w:rFonts w:cs="Times New Roman"/>
          <w:sz w:val="56"/>
          <w:szCs w:val="56"/>
        </w:rPr>
      </w:pPr>
    </w:p>
    <w:p>
      <w:pPr>
        <w:pStyle w:val="11"/>
        <w:jc w:val="center"/>
        <w:rPr>
          <w:rFonts w:cs="Times New Roman"/>
          <w:sz w:val="32"/>
          <w:szCs w:val="32"/>
        </w:rPr>
      </w:pPr>
    </w:p>
    <w:p>
      <w:pPr>
        <w:pStyle w:val="11"/>
        <w:jc w:val="center"/>
        <w:rPr>
          <w:rFonts w:cs="Times New Roman"/>
          <w:sz w:val="32"/>
          <w:szCs w:val="32"/>
        </w:rPr>
      </w:pPr>
    </w:p>
    <w:p>
      <w:pPr>
        <w:pStyle w:val="11"/>
        <w:jc w:val="center"/>
        <w:rPr>
          <w:rFonts w:cs="Times New Roman"/>
          <w:sz w:val="32"/>
          <w:szCs w:val="32"/>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40" w:lineRule="exact"/>
        <w:jc w:val="center"/>
        <w:rPr>
          <w:rFonts w:cs="Times New Roman"/>
          <w:sz w:val="56"/>
          <w:szCs w:val="56"/>
        </w:rPr>
      </w:pPr>
    </w:p>
    <w:p>
      <w:pPr>
        <w:pStyle w:val="11"/>
        <w:spacing w:line="500" w:lineRule="exact"/>
        <w:jc w:val="center"/>
        <w:rPr>
          <w:rFonts w:cs="Times New Roman"/>
          <w:b/>
          <w:bCs/>
          <w:sz w:val="36"/>
          <w:szCs w:val="36"/>
        </w:rPr>
      </w:pPr>
      <w:r>
        <w:rPr>
          <w:rFonts w:hint="eastAsia"/>
          <w:b/>
          <w:bCs/>
          <w:sz w:val="36"/>
          <w:szCs w:val="36"/>
        </w:rPr>
        <w:t>目录</w:t>
      </w:r>
    </w:p>
    <w:p>
      <w:pPr>
        <w:pStyle w:val="11"/>
        <w:spacing w:line="460" w:lineRule="exact"/>
        <w:rPr>
          <w:rFonts w:ascii="仿宋_GB2312" w:eastAsia="仿宋_GB2312" w:cs="Times New Roman"/>
          <w:b/>
          <w:bCs/>
          <w:sz w:val="28"/>
          <w:szCs w:val="28"/>
        </w:rPr>
      </w:pPr>
      <w:r>
        <w:rPr>
          <w:rFonts w:hint="eastAsia"/>
          <w:b/>
          <w:bCs/>
          <w:sz w:val="28"/>
          <w:szCs w:val="28"/>
        </w:rPr>
        <w:t>第一部分单位概况</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pPr>
        <w:pStyle w:val="11"/>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w:t>
      </w:r>
      <w:r>
        <w:rPr>
          <w:rFonts w:hint="eastAsia" w:hAnsi="仿宋_GB2312"/>
          <w:b/>
          <w:bCs/>
          <w:sz w:val="28"/>
          <w:szCs w:val="28"/>
          <w:lang w:val="en-US" w:eastAsia="zh-CN"/>
        </w:rPr>
        <w:t>2</w:t>
      </w:r>
      <w:r>
        <w:rPr>
          <w:rFonts w:hint="eastAsia" w:hAnsi="仿宋_GB2312"/>
          <w:b/>
          <w:bCs/>
          <w:sz w:val="28"/>
          <w:szCs w:val="28"/>
        </w:rPr>
        <w:t>年度部门决算表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11"/>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w:t>
      </w:r>
      <w:r>
        <w:rPr>
          <w:rFonts w:hint="eastAsia" w:hAnsi="仿宋_GB2312"/>
          <w:b/>
          <w:bCs/>
          <w:sz w:val="28"/>
          <w:szCs w:val="28"/>
          <w:lang w:val="en-US" w:eastAsia="zh-CN"/>
        </w:rPr>
        <w:t>2</w:t>
      </w:r>
      <w:r>
        <w:rPr>
          <w:rFonts w:hint="eastAsia" w:hAnsi="仿宋_GB2312"/>
          <w:b/>
          <w:bCs/>
          <w:sz w:val="28"/>
          <w:szCs w:val="28"/>
        </w:rPr>
        <w:t>年度部门决算情况说明</w:t>
      </w:r>
    </w:p>
    <w:p>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pPr>
        <w:pStyle w:val="11"/>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pPr>
        <w:pStyle w:val="11"/>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w:t>
      </w:r>
      <w:r>
        <w:rPr>
          <w:rFonts w:hint="eastAsia" w:ascii="宋体" w:hAnsi="宋体" w:eastAsia="宋体" w:cs="宋体"/>
          <w:sz w:val="28"/>
          <w:szCs w:val="28"/>
        </w:rPr>
        <w:t>于</w:t>
      </w:r>
      <w:r>
        <w:rPr>
          <w:rFonts w:ascii="宋体" w:hAnsi="宋体" w:eastAsia="宋体" w:cs="宋体"/>
          <w:sz w:val="28"/>
          <w:szCs w:val="28"/>
        </w:rPr>
        <w:t>202</w:t>
      </w:r>
      <w:r>
        <w:rPr>
          <w:rFonts w:hint="eastAsia" w:ascii="宋体" w:hAnsi="宋体" w:eastAsia="宋体" w:cs="宋体"/>
          <w:sz w:val="28"/>
          <w:szCs w:val="28"/>
          <w:lang w:val="en-US" w:eastAsia="zh-CN"/>
        </w:rPr>
        <w:t>2</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pPr>
        <w:pStyle w:val="11"/>
        <w:jc w:val="center"/>
        <w:rPr>
          <w:rFonts w:ascii="宋体" w:hAnsi="宋体" w:eastAsia="宋体" w:cs="Times New Roman"/>
          <w:sz w:val="72"/>
          <w:szCs w:val="72"/>
        </w:rPr>
      </w:pPr>
      <w:r>
        <w:rPr>
          <w:rFonts w:hint="eastAsia" w:ascii="宋体" w:hAnsi="宋体" w:eastAsia="宋体" w:cs="宋体"/>
          <w:sz w:val="72"/>
          <w:szCs w:val="72"/>
        </w:rPr>
        <w:t>第一部分</w:t>
      </w:r>
    </w:p>
    <w:p>
      <w:pPr>
        <w:pStyle w:val="11"/>
        <w:jc w:val="center"/>
        <w:rPr>
          <w:rFonts w:ascii="宋体" w:hAnsi="宋体" w:eastAsia="宋体" w:cs="Times New Roman"/>
          <w:sz w:val="72"/>
          <w:szCs w:val="72"/>
        </w:rPr>
      </w:pPr>
    </w:p>
    <w:p>
      <w:pPr>
        <w:pStyle w:val="11"/>
        <w:jc w:val="center"/>
        <w:rPr>
          <w:rFonts w:cs="Times New Roman"/>
          <w:sz w:val="84"/>
          <w:szCs w:val="84"/>
        </w:rPr>
      </w:pPr>
      <w:r>
        <w:rPr>
          <w:rFonts w:hint="eastAsia" w:ascii="宋体" w:hAnsi="宋体" w:eastAsia="宋体" w:cs="宋体"/>
          <w:sz w:val="72"/>
          <w:szCs w:val="72"/>
        </w:rPr>
        <w:t>湘潭县商务局单位概况</w:t>
      </w:r>
    </w:p>
    <w:p>
      <w:pPr>
        <w:pStyle w:val="12"/>
        <w:ind w:firstLine="0" w:firstLineChars="0"/>
        <w:jc w:val="left"/>
        <w:rPr>
          <w:rFonts w:ascii="黑体" w:hAnsi="黑体" w:eastAsia="黑体" w:cs="Times New Roman"/>
          <w:sz w:val="32"/>
          <w:szCs w:val="32"/>
        </w:rPr>
      </w:pPr>
    </w:p>
    <w:p>
      <w:pPr>
        <w:pStyle w:val="12"/>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pPr>
        <w:jc w:val="left"/>
        <w:rPr>
          <w:rFonts w:ascii="宋体" w:hAnsi="宋体" w:cs="宋体"/>
          <w:sz w:val="32"/>
          <w:szCs w:val="32"/>
        </w:rPr>
      </w:pPr>
      <w:r>
        <w:rPr>
          <w:rFonts w:hint="eastAsia" w:ascii="宋体" w:hAnsi="宋体" w:cs="宋体"/>
          <w:sz w:val="32"/>
          <w:szCs w:val="32"/>
        </w:rPr>
        <w:t>（一）职能职责</w:t>
      </w:r>
    </w:p>
    <w:p>
      <w:pPr>
        <w:jc w:val="left"/>
        <w:rPr>
          <w:rFonts w:ascii="宋体" w:hAnsi="宋体" w:cs="宋体"/>
          <w:sz w:val="32"/>
          <w:szCs w:val="32"/>
        </w:rPr>
      </w:pPr>
      <w:r>
        <w:rPr>
          <w:rFonts w:hint="eastAsia" w:ascii="宋体" w:hAnsi="宋体" w:cs="宋体"/>
          <w:sz w:val="32"/>
          <w:szCs w:val="32"/>
        </w:rPr>
        <w:t>　　1.贯彻落实国家、省、市有关内外贸易、对外投资、招商引资的发展战略、方针、政策；拟定全县商务经济、利用外资等相应的中长期发展规划以及规定、办法和措施。研究区域经济合作、现代流通方式的发展趋势并提出相关建议。</w:t>
      </w:r>
    </w:p>
    <w:p>
      <w:pPr>
        <w:jc w:val="left"/>
        <w:rPr>
          <w:rFonts w:ascii="宋体" w:hAnsi="宋体" w:cs="宋体"/>
          <w:sz w:val="32"/>
          <w:szCs w:val="32"/>
        </w:rPr>
      </w:pPr>
      <w:r>
        <w:rPr>
          <w:rFonts w:hint="eastAsia" w:ascii="宋体" w:hAnsi="宋体" w:cs="宋体"/>
          <w:sz w:val="32"/>
          <w:szCs w:val="32"/>
        </w:rPr>
        <w:t>　　2.负责推进流通产业结构调整，研究提出流通体制改革建议。指导商贸服务业和社区商业发展，提出促进商贸中小企业发展的建议；培育发展城乡市场，推进流通产业结构调整和连锁经营、物流配送、电子商务等现代流通方式的发展。指导全县流通领域信息网络和电子商务建设、指导、监督、规范全县商贸流通行业协会、学会等社团组织工作。</w:t>
      </w:r>
    </w:p>
    <w:p>
      <w:pPr>
        <w:jc w:val="left"/>
        <w:rPr>
          <w:rFonts w:ascii="宋体" w:hAnsi="宋体" w:cs="宋体"/>
          <w:sz w:val="32"/>
          <w:szCs w:val="32"/>
        </w:rPr>
      </w:pPr>
      <w:r>
        <w:rPr>
          <w:rFonts w:hint="eastAsia" w:ascii="宋体" w:hAnsi="宋体" w:cs="宋体"/>
          <w:sz w:val="32"/>
          <w:szCs w:val="32"/>
        </w:rPr>
        <w:t>3.拟定全县规范流通领域市场、流通秩序的有关规定。牵头协调整顿和规范市场经济秩序工作。指导、监督商务流通领域安全生产工作，拟订商务流通领域追溯体系建设规划并推进实施。推动商务领域信用建设，指导商业信用销售，建立市场诚信公共服务平台，按有关规定对特殊流通行业进行监督管理。</w:t>
      </w:r>
    </w:p>
    <w:p>
      <w:pPr>
        <w:jc w:val="left"/>
        <w:rPr>
          <w:rFonts w:ascii="宋体" w:hAnsi="宋体" w:cs="宋体"/>
          <w:sz w:val="32"/>
          <w:szCs w:val="32"/>
        </w:rPr>
      </w:pPr>
      <w:r>
        <w:rPr>
          <w:rFonts w:hint="eastAsia" w:ascii="宋体" w:hAnsi="宋体" w:cs="宋体"/>
          <w:sz w:val="32"/>
          <w:szCs w:val="32"/>
        </w:rPr>
        <w:t>4.拟订全县贸易发展规划，提出引导国内外资金投向市场体系建设的政策建议，指导城市商业网点、大宗产品批发市场（不含农贸市场）规划，推进全县商业体系建设，组织实施农村现代流通网络工程。</w:t>
      </w:r>
    </w:p>
    <w:p>
      <w:pPr>
        <w:jc w:val="left"/>
        <w:rPr>
          <w:rFonts w:ascii="宋体" w:hAnsi="宋体" w:cs="宋体"/>
          <w:sz w:val="32"/>
          <w:szCs w:val="32"/>
        </w:rPr>
      </w:pPr>
      <w:r>
        <w:rPr>
          <w:rFonts w:hint="eastAsia" w:ascii="宋体" w:hAnsi="宋体" w:cs="宋体"/>
          <w:sz w:val="32"/>
          <w:szCs w:val="32"/>
        </w:rPr>
        <w:t>5.承担组织实施重要消费品市场调控和重要生产资料流通管理的责任。负责建立健全生活必需品市场供应应急管理机制，监测分析市场运行、商品供求状况，调查分析商品价格信息进行预测、预警和信息引导。</w:t>
      </w:r>
    </w:p>
    <w:p>
      <w:pPr>
        <w:jc w:val="left"/>
        <w:rPr>
          <w:rFonts w:ascii="宋体" w:hAnsi="宋体" w:cs="宋体"/>
          <w:sz w:val="32"/>
          <w:szCs w:val="32"/>
        </w:rPr>
      </w:pPr>
      <w:r>
        <w:rPr>
          <w:rFonts w:hint="eastAsia" w:ascii="宋体" w:hAnsi="宋体" w:cs="宋体"/>
          <w:sz w:val="32"/>
          <w:szCs w:val="32"/>
        </w:rPr>
        <w:t>6.贯彻执行国家制定的进出口商品、加工贸易管理办法和进出口管理商品、技术目录，拟定促进外贸增长方式转变的政策措施，指导贸易促进活动和外贸促进体系建设。</w:t>
      </w:r>
    </w:p>
    <w:p>
      <w:pPr>
        <w:jc w:val="left"/>
        <w:rPr>
          <w:rFonts w:ascii="宋体" w:hAnsi="宋体" w:cs="宋体"/>
          <w:sz w:val="32"/>
          <w:szCs w:val="32"/>
        </w:rPr>
      </w:pPr>
      <w:r>
        <w:rPr>
          <w:rFonts w:hint="eastAsia" w:ascii="宋体" w:hAnsi="宋体" w:cs="宋体"/>
          <w:sz w:val="32"/>
          <w:szCs w:val="32"/>
        </w:rPr>
        <w:t>7.贯彻执行国家对外技术贸易、出口管制以及鼓励技术和成套设备进出口的政策，推进进出口贸易标准化工作。依法监督技术引进、设备进口、国家限制出口技术的工作。</w:t>
      </w:r>
    </w:p>
    <w:p>
      <w:pPr>
        <w:jc w:val="left"/>
        <w:rPr>
          <w:rFonts w:ascii="宋体" w:hAnsi="宋体" w:cs="宋体"/>
          <w:sz w:val="32"/>
          <w:szCs w:val="32"/>
        </w:rPr>
      </w:pPr>
      <w:r>
        <w:rPr>
          <w:rFonts w:hint="eastAsia" w:ascii="宋体" w:hAnsi="宋体" w:cs="宋体"/>
          <w:sz w:val="32"/>
          <w:szCs w:val="32"/>
        </w:rPr>
        <w:t>8.牵头拟定服务贸易发展和服务外包规划并开展相关工作，推动服务外包平台建设。</w:t>
      </w:r>
    </w:p>
    <w:p>
      <w:pPr>
        <w:jc w:val="left"/>
        <w:rPr>
          <w:rFonts w:ascii="宋体" w:hAnsi="宋体" w:cs="宋体"/>
          <w:sz w:val="32"/>
          <w:szCs w:val="32"/>
        </w:rPr>
      </w:pPr>
      <w:r>
        <w:rPr>
          <w:rFonts w:hint="eastAsia" w:ascii="宋体" w:hAnsi="宋体" w:cs="宋体"/>
          <w:sz w:val="32"/>
          <w:szCs w:val="32"/>
        </w:rPr>
        <w:t>9.指导全县对外经济技术合作，指导和监督管理全县对外承包工程、劳务合作等业务。牵头外派劳务和境外就业人员的权益保护工作。</w:t>
      </w:r>
    </w:p>
    <w:p>
      <w:pPr>
        <w:jc w:val="left"/>
        <w:rPr>
          <w:rFonts w:ascii="宋体" w:hAnsi="宋体" w:cs="宋体"/>
          <w:sz w:val="32"/>
          <w:szCs w:val="32"/>
        </w:rPr>
      </w:pPr>
      <w:r>
        <w:rPr>
          <w:rFonts w:hint="eastAsia" w:ascii="宋体" w:hAnsi="宋体" w:cs="宋体"/>
          <w:sz w:val="32"/>
          <w:szCs w:val="32"/>
        </w:rPr>
        <w:t>10.贯彻执行我国多双边（含区域、自由贸易区）经贸合作战略和政策，推进我县与其他国家（地区）的经贸往来与投资贸易合作。牵头承担全县商务领域涉及世界贸易组织事务的相关工作，负责对外经济贸易协调工作。</w:t>
      </w:r>
    </w:p>
    <w:p>
      <w:pPr>
        <w:jc w:val="left"/>
        <w:rPr>
          <w:rFonts w:ascii="宋体" w:hAnsi="宋体" w:cs="宋体"/>
          <w:sz w:val="32"/>
          <w:szCs w:val="32"/>
        </w:rPr>
      </w:pPr>
      <w:r>
        <w:rPr>
          <w:rFonts w:hint="eastAsia" w:ascii="宋体" w:hAnsi="宋体" w:cs="宋体"/>
          <w:sz w:val="32"/>
          <w:szCs w:val="32"/>
        </w:rPr>
        <w:t>11.配合省、市商务部门做好反倾销、反补贴、保障措施和其他与进出口公平贸易相关的工作，协助开展对外贸易调查和产业损害调查、产业安全应对等工作。</w:t>
      </w:r>
    </w:p>
    <w:p>
      <w:pPr>
        <w:jc w:val="left"/>
        <w:rPr>
          <w:rFonts w:ascii="宋体" w:hAnsi="宋体" w:cs="宋体"/>
          <w:sz w:val="32"/>
          <w:szCs w:val="32"/>
        </w:rPr>
      </w:pPr>
      <w:r>
        <w:rPr>
          <w:rFonts w:hint="eastAsia" w:ascii="宋体" w:hAnsi="宋体" w:cs="宋体"/>
          <w:sz w:val="32"/>
          <w:szCs w:val="32"/>
        </w:rPr>
        <w:t>12.指导、协调、组织参与以湘潭县名义在境内外举办的各种内外贸交易会、展览会、展销会等活动。</w:t>
      </w:r>
    </w:p>
    <w:p>
      <w:pPr>
        <w:jc w:val="left"/>
        <w:rPr>
          <w:rFonts w:ascii="宋体" w:hAnsi="宋体" w:cs="宋体"/>
          <w:sz w:val="32"/>
          <w:szCs w:val="32"/>
        </w:rPr>
      </w:pPr>
      <w:r>
        <w:rPr>
          <w:rFonts w:hint="eastAsia" w:ascii="宋体" w:hAnsi="宋体" w:cs="宋体"/>
          <w:sz w:val="32"/>
          <w:szCs w:val="32"/>
        </w:rPr>
        <w:t>13.宏观指导全县招商引资工作，组织拟订全县招商引资发展规划、政策措施，落实招商引资政策。负责全县招商信息交流工作。负责我县内外资及招商项目的协调和统计工作。负责考核全县各级各部门招商引资工作。承担县招商引资工作领导小组办公室的日常工作。</w:t>
      </w:r>
    </w:p>
    <w:p>
      <w:pPr>
        <w:jc w:val="left"/>
        <w:rPr>
          <w:rFonts w:ascii="宋体" w:hAnsi="宋体" w:cs="宋体"/>
          <w:sz w:val="32"/>
          <w:szCs w:val="32"/>
        </w:rPr>
      </w:pPr>
      <w:r>
        <w:rPr>
          <w:rFonts w:hint="eastAsia" w:ascii="宋体" w:hAnsi="宋体" w:cs="宋体"/>
          <w:sz w:val="32"/>
          <w:szCs w:val="32"/>
        </w:rPr>
        <w:t>14.分析研究全县外来投资情况，统一对外发布重点招商项目和招商信息。规范招商引资活动，指导投资促进活动。负责与境内外企业财团，各界人士联络。组织举办或参与各类招商活动。做好招商引资奖励的前期准备工作，跟踪调度重点招商项目并督促落实。</w:t>
      </w:r>
    </w:p>
    <w:p>
      <w:pPr>
        <w:jc w:val="left"/>
        <w:rPr>
          <w:rFonts w:ascii="宋体" w:hAnsi="宋体" w:cs="宋体"/>
          <w:sz w:val="32"/>
          <w:szCs w:val="32"/>
        </w:rPr>
      </w:pPr>
      <w:r>
        <w:rPr>
          <w:rFonts w:hint="eastAsia" w:ascii="宋体" w:hAnsi="宋体" w:cs="宋体"/>
          <w:sz w:val="32"/>
          <w:szCs w:val="32"/>
        </w:rPr>
        <w:t>15.监督检查外来投资企业执行有关法律法规规章、合同、章程的情况并协调解决有关问题。</w:t>
      </w:r>
    </w:p>
    <w:p>
      <w:pPr>
        <w:jc w:val="left"/>
        <w:rPr>
          <w:rFonts w:ascii="宋体" w:hAnsi="宋体" w:cs="宋体"/>
          <w:sz w:val="32"/>
          <w:szCs w:val="32"/>
        </w:rPr>
      </w:pPr>
      <w:r>
        <w:rPr>
          <w:rFonts w:hint="eastAsia" w:ascii="宋体" w:hAnsi="宋体" w:cs="宋体"/>
          <w:sz w:val="32"/>
          <w:szCs w:val="32"/>
        </w:rPr>
        <w:t>16.承担全县商务系统统计及信息发布工作。</w:t>
      </w:r>
    </w:p>
    <w:p>
      <w:pPr>
        <w:jc w:val="left"/>
        <w:rPr>
          <w:rFonts w:ascii="宋体" w:hAnsi="宋体" w:cs="宋体"/>
          <w:sz w:val="32"/>
          <w:szCs w:val="32"/>
        </w:rPr>
      </w:pPr>
      <w:r>
        <w:rPr>
          <w:rFonts w:hint="eastAsia" w:ascii="宋体" w:hAnsi="宋体" w:cs="宋体"/>
          <w:sz w:val="32"/>
          <w:szCs w:val="32"/>
        </w:rPr>
        <w:t>17.负责全县商务系统企业改制遗留问题的处理。</w:t>
      </w:r>
    </w:p>
    <w:p>
      <w:pPr>
        <w:jc w:val="left"/>
        <w:rPr>
          <w:rFonts w:ascii="宋体" w:hAnsi="宋体" w:cs="宋体"/>
          <w:sz w:val="32"/>
          <w:szCs w:val="32"/>
        </w:rPr>
      </w:pPr>
      <w:r>
        <w:rPr>
          <w:rFonts w:hint="eastAsia" w:ascii="宋体" w:hAnsi="宋体" w:cs="宋体"/>
          <w:sz w:val="32"/>
          <w:szCs w:val="32"/>
        </w:rPr>
        <w:t>18.完成县委、县人民政府交办的其他任务。</w:t>
      </w:r>
    </w:p>
    <w:p>
      <w:pPr>
        <w:jc w:val="left"/>
        <w:rPr>
          <w:rFonts w:ascii="宋体" w:hAnsi="宋体" w:cs="宋体"/>
          <w:sz w:val="32"/>
          <w:szCs w:val="32"/>
        </w:rPr>
      </w:pPr>
      <w:r>
        <w:rPr>
          <w:rFonts w:hint="eastAsia" w:ascii="宋体" w:hAnsi="宋体" w:cs="宋体"/>
          <w:sz w:val="32"/>
          <w:szCs w:val="32"/>
        </w:rPr>
        <w:t>19.职能转变。进一步加强全县招商引资工作。加强全县流通领域信息网络和电子商务建设。加强商品流通业和商贸服务业的行业管理。促进现代物流业发展，促进品牌建设和绿色流通发展，推进再生资源回收和流通领域节能减排工作。加强重要生活必需品的储备管理和市场调控工作。建立健全统一、开放、竞争、有序的市场体系。</w:t>
      </w:r>
    </w:p>
    <w:p>
      <w:pPr>
        <w:jc w:val="left"/>
        <w:rPr>
          <w:rFonts w:ascii="宋体" w:hAnsi="宋体" w:cs="宋体"/>
          <w:sz w:val="32"/>
          <w:szCs w:val="32"/>
        </w:rPr>
      </w:pPr>
      <w:r>
        <w:rPr>
          <w:rFonts w:hint="eastAsia" w:ascii="宋体" w:hAnsi="宋体" w:cs="宋体"/>
          <w:sz w:val="32"/>
          <w:szCs w:val="32"/>
        </w:rPr>
        <w:t>20.有关职责分工。与县发展和改革局有关职责分工。县发展和改革局、县商务局牵头会同外商投资涉及领域相关部门开展外商投资安全审查相关工作。县发展和改革局负责提出外商投资产业指导目录，并与县商务局联合发布。与县市场监督管理局有关职责分工。县商务局负责拟定药品流通发展规划和政策，县市场监督管理局在与药品零售环节的监督管理工作中配合执行药品流通发展规划和政策。</w:t>
      </w:r>
    </w:p>
    <w:p>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pPr>
        <w:widowControl/>
        <w:spacing w:line="600" w:lineRule="exact"/>
        <w:rPr>
          <w:rFonts w:ascii="宋体" w:cs="Times New Roman"/>
          <w:kern w:val="0"/>
          <w:sz w:val="32"/>
          <w:szCs w:val="32"/>
        </w:rPr>
      </w:pPr>
      <w:r>
        <w:rPr>
          <w:rFonts w:hint="eastAsia" w:ascii="宋体" w:hAnsi="宋体" w:cs="宋体"/>
          <w:kern w:val="0"/>
          <w:sz w:val="32"/>
          <w:szCs w:val="32"/>
        </w:rPr>
        <w:t>（一）内设机构设置。</w:t>
      </w:r>
      <w:r>
        <w:rPr>
          <w:rFonts w:hint="eastAsia" w:ascii="宋体" w:hAnsi="宋体" w:cs="宋体"/>
          <w:sz w:val="32"/>
          <w:szCs w:val="32"/>
        </w:rPr>
        <w:t>湘潭县商务局</w:t>
      </w:r>
      <w:r>
        <w:rPr>
          <w:rFonts w:hint="eastAsia" w:ascii="宋体" w:hAnsi="宋体" w:cs="宋体"/>
          <w:kern w:val="0"/>
          <w:sz w:val="32"/>
          <w:szCs w:val="32"/>
        </w:rPr>
        <w:t>内设机构包括：</w:t>
      </w:r>
      <w:r>
        <w:rPr>
          <w:rFonts w:hint="eastAsia" w:ascii="宋体" w:hAnsi="宋体" w:cs="宋体"/>
          <w:sz w:val="32"/>
          <w:szCs w:val="32"/>
        </w:rPr>
        <w:t>湘潭县商务局内设股室8个，下辖4个二级机构，分别是湘潭县投资促进服务中心、湘潭县电子商务公共服务中心、湘潭县槟榔产业服务中心、湘潭县对外劳务服务中心，以上内设股室和二级机构均为无独立经费核算机构。</w:t>
      </w:r>
    </w:p>
    <w:p>
      <w:pPr>
        <w:widowControl/>
        <w:spacing w:line="600" w:lineRule="exact"/>
        <w:rPr>
          <w:rFonts w:ascii="宋体" w:cs="Times New Roman"/>
          <w:kern w:val="0"/>
          <w:sz w:val="32"/>
          <w:szCs w:val="32"/>
        </w:rPr>
      </w:pPr>
      <w:r>
        <w:rPr>
          <w:rFonts w:hint="eastAsia" w:ascii="宋体" w:hAnsi="宋体" w:cs="宋体"/>
          <w:kern w:val="0"/>
          <w:sz w:val="32"/>
          <w:szCs w:val="32"/>
        </w:rPr>
        <w:t>（二）决算单位构成。</w:t>
      </w:r>
      <w:r>
        <w:rPr>
          <w:rFonts w:hint="eastAsia" w:ascii="宋体" w:hAnsi="宋体" w:cs="宋体"/>
          <w:sz w:val="32"/>
          <w:szCs w:val="32"/>
        </w:rPr>
        <w:t>湘潭县商务局</w:t>
      </w:r>
      <w:r>
        <w:rPr>
          <w:rFonts w:ascii="宋体" w:hAnsi="宋体" w:cs="宋体"/>
          <w:kern w:val="0"/>
          <w:sz w:val="32"/>
          <w:szCs w:val="32"/>
        </w:rPr>
        <w:t>202</w:t>
      </w:r>
      <w:r>
        <w:rPr>
          <w:rFonts w:hint="eastAsia" w:ascii="宋体" w:hAnsi="宋体" w:cs="宋体"/>
          <w:kern w:val="0"/>
          <w:sz w:val="32"/>
          <w:szCs w:val="32"/>
        </w:rPr>
        <w:t>2年部门决算汇总公开单位构成包括：</w:t>
      </w:r>
      <w:r>
        <w:rPr>
          <w:rFonts w:hint="eastAsia" w:ascii="宋体" w:hAnsi="宋体" w:cs="宋体"/>
          <w:sz w:val="32"/>
          <w:szCs w:val="32"/>
        </w:rPr>
        <w:t>湘潭县商务局</w:t>
      </w:r>
      <w:r>
        <w:rPr>
          <w:rFonts w:hint="eastAsia" w:ascii="宋体" w:hAnsi="宋体" w:cs="宋体"/>
          <w:kern w:val="0"/>
          <w:sz w:val="32"/>
          <w:szCs w:val="32"/>
        </w:rPr>
        <w:t>单位本级。</w:t>
      </w:r>
    </w:p>
    <w:p>
      <w:pPr>
        <w:jc w:val="left"/>
        <w:rPr>
          <w:rFonts w:ascii="仿宋_GB2312" w:hAnsi="宋体" w:eastAsia="仿宋_GB2312" w:cs="Times New Roman"/>
          <w:sz w:val="28"/>
          <w:szCs w:val="28"/>
        </w:rPr>
      </w:pPr>
    </w:p>
    <w:p>
      <w:pPr>
        <w:jc w:val="center"/>
        <w:rPr>
          <w:rFonts w:ascii="黑体" w:hAnsi="黑体" w:eastAsia="黑体" w:cs="Times New Roman"/>
          <w:sz w:val="28"/>
          <w:szCs w:val="28"/>
        </w:rPr>
      </w:pPr>
    </w:p>
    <w:p>
      <w:pPr>
        <w:jc w:val="center"/>
        <w:rPr>
          <w:rFonts w:hint="eastAsia" w:ascii="黑体" w:hAnsi="黑体" w:eastAsia="黑体" w:cs="Times New Roman"/>
          <w:sz w:val="28"/>
          <w:szCs w:val="28"/>
        </w:rPr>
      </w:pPr>
    </w:p>
    <w:p>
      <w:pPr>
        <w:jc w:val="center"/>
        <w:rPr>
          <w:rFonts w:hint="eastAsia" w:ascii="黑体" w:hAnsi="黑体" w:eastAsia="黑体" w:cs="Times New Roman"/>
          <w:sz w:val="28"/>
          <w:szCs w:val="28"/>
        </w:rPr>
      </w:pPr>
    </w:p>
    <w:p>
      <w:pPr>
        <w:jc w:val="center"/>
        <w:rPr>
          <w:rFonts w:hint="eastAsia"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jc w:val="center"/>
        <w:rPr>
          <w:rFonts w:cs="Times New Roman"/>
          <w:sz w:val="72"/>
          <w:szCs w:val="72"/>
        </w:rPr>
      </w:pPr>
      <w:r>
        <w:rPr>
          <w:rFonts w:hint="eastAsia" w:cs="宋体"/>
          <w:sz w:val="72"/>
          <w:szCs w:val="72"/>
        </w:rPr>
        <w:t>部门决算表</w:t>
      </w:r>
    </w:p>
    <w:p>
      <w:pPr>
        <w:jc w:val="center"/>
        <w:rPr>
          <w:rFonts w:cs="Times New Roman"/>
          <w:sz w:val="72"/>
          <w:szCs w:val="72"/>
        </w:rPr>
      </w:pPr>
    </w:p>
    <w:p>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6"/>
        <w:tblW w:w="14081" w:type="dxa"/>
        <w:tblInd w:w="-106"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r>
              <w:rPr>
                <w:rFonts w:ascii="宋体" w:hAnsi="宋体" w:cs="宋体"/>
                <w:color w:val="000000"/>
                <w:kern w:val="0"/>
                <w:sz w:val="20"/>
                <w:szCs w:val="20"/>
              </w:rPr>
              <w:t xml:space="preserve"> </w:t>
            </w:r>
            <w:r>
              <w:rPr>
                <w:rFonts w:hint="eastAsia" w:ascii="宋体" w:hAnsi="宋体" w:cs="宋体"/>
                <w:color w:val="000000"/>
                <w:kern w:val="0"/>
                <w:sz w:val="20"/>
                <w:szCs w:val="20"/>
              </w:rPr>
              <w:t>湘潭县商务局</w:t>
            </w:r>
          </w:p>
        </w:tc>
        <w:tc>
          <w:tcPr>
            <w:tcW w:w="69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ascii="宋体" w:hAnsi="宋体" w:cs="宋体"/>
                <w:kern w:val="0"/>
                <w:sz w:val="22"/>
                <w:szCs w:val="22"/>
              </w:rPr>
              <w:t>1404.85</w:t>
            </w: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rPr>
            </w:pPr>
            <w:r>
              <w:rPr>
                <w:rFonts w:hint="eastAsia" w:ascii="宋体" w:hAnsi="宋体" w:cs="宋体"/>
                <w:kern w:val="0"/>
                <w:sz w:val="22"/>
                <w:szCs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14</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ascii="宋体" w:hAnsi="宋体" w:cs="宋体"/>
                <w:kern w:val="0"/>
                <w:sz w:val="22"/>
                <w:szCs w:val="22"/>
              </w:rPr>
              <w:t>985.6</w:t>
            </w:r>
            <w:r>
              <w:rPr>
                <w:rFonts w:hint="eastAsia" w:ascii="宋体" w:hAnsi="宋体" w:cs="宋体"/>
                <w:kern w:val="0"/>
                <w:sz w:val="22"/>
                <w:szCs w:val="22"/>
              </w:rPr>
              <w:t>3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rPr>
            </w:pPr>
            <w:r>
              <w:rPr>
                <w:rFonts w:hint="eastAsia" w:ascii="宋体" w:hAnsi="宋体" w:cs="宋体"/>
                <w:kern w:val="0"/>
                <w:sz w:val="22"/>
                <w:szCs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2</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rPr>
            </w:pPr>
            <w:r>
              <w:rPr>
                <w:rFonts w:hint="eastAsia" w:ascii="宋体" w:hAnsi="宋体" w:cs="宋体"/>
                <w:kern w:val="0"/>
                <w:sz w:val="22"/>
                <w:szCs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15</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3</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rPr>
            </w:pPr>
            <w:r>
              <w:rPr>
                <w:rFonts w:hint="eastAsia" w:ascii="宋体" w:hAnsi="宋体" w:cs="宋体"/>
                <w:kern w:val="0"/>
                <w:sz w:val="22"/>
                <w:szCs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16</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rPr>
            </w:pPr>
            <w:r>
              <w:rPr>
                <w:rFonts w:hint="eastAsia" w:ascii="宋体" w:hAnsi="宋体" w:cs="宋体"/>
                <w:kern w:val="0"/>
                <w:sz w:val="22"/>
                <w:szCs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4</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rPr>
            </w:pPr>
            <w:r>
              <w:rPr>
                <w:rFonts w:hint="eastAsia" w:ascii="宋体" w:hAnsi="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17</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rPr>
            </w:pPr>
            <w:r>
              <w:rPr>
                <w:rFonts w:hint="eastAsia" w:ascii="宋体" w:hAnsi="宋体" w:cs="宋体"/>
                <w:kern w:val="0"/>
                <w:sz w:val="22"/>
                <w:szCs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5</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rPr>
            </w:pPr>
            <w:r>
              <w:rPr>
                <w:rFonts w:hint="eastAsia" w:ascii="宋体" w:hAnsi="宋体" w:cs="宋体"/>
                <w:kern w:val="0"/>
                <w:sz w:val="20"/>
                <w:szCs w:val="20"/>
              </w:rPr>
              <w:t>八、社会保障和就业支出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18</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ascii="宋体" w:hAnsi="宋体" w:cs="宋体"/>
                <w:kern w:val="0"/>
                <w:sz w:val="22"/>
                <w:szCs w:val="22"/>
              </w:rPr>
              <w:t>124.48</w:t>
            </w: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rPr>
            </w:pPr>
            <w:r>
              <w:rPr>
                <w:rFonts w:hint="eastAsia" w:ascii="宋体" w:hAnsi="宋体" w:cs="宋体"/>
                <w:kern w:val="0"/>
                <w:sz w:val="22"/>
                <w:szCs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6</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rPr>
            </w:pPr>
            <w:r>
              <w:rPr>
                <w:rFonts w:hint="eastAsia" w:ascii="宋体" w:hAnsi="宋体" w:cs="宋体"/>
                <w:kern w:val="0"/>
                <w:sz w:val="24"/>
                <w:szCs w:val="24"/>
              </w:rPr>
              <w:t>九、卫生健康支出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19</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ascii="宋体" w:hAnsi="宋体" w:cs="宋体"/>
                <w:kern w:val="0"/>
                <w:sz w:val="22"/>
                <w:szCs w:val="22"/>
              </w:rPr>
              <w:t>24.2</w:t>
            </w:r>
            <w:r>
              <w:rPr>
                <w:rFonts w:hint="eastAsia" w:ascii="宋体" w:hAnsi="宋体" w:cs="宋体"/>
                <w:kern w:val="0"/>
                <w:sz w:val="22"/>
                <w:szCs w:val="22"/>
              </w:rPr>
              <w:t>3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rPr>
            </w:pPr>
            <w:r>
              <w:rPr>
                <w:rFonts w:hint="eastAsia" w:ascii="宋体" w:hAnsi="宋体" w:cs="宋体"/>
                <w:kern w:val="0"/>
                <w:sz w:val="22"/>
                <w:szCs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7</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cs="Times New Roman"/>
                <w:kern w:val="0"/>
                <w:sz w:val="24"/>
                <w:szCs w:val="24"/>
              </w:rPr>
              <w:t>十一、城乡社区支出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ascii="宋体" w:cs="Times New Roman"/>
                <w:kern w:val="0"/>
                <w:sz w:val="22"/>
              </w:rPr>
              <w:t>2.59</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rPr>
            </w:pPr>
            <w:r>
              <w:rPr>
                <w:rFonts w:hint="eastAsia" w:ascii="宋体" w:hAnsi="宋体" w:cs="宋体"/>
                <w:kern w:val="0"/>
                <w:sz w:val="22"/>
                <w:szCs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8</w:t>
            </w:r>
          </w:p>
        </w:tc>
        <w:tc>
          <w:tcPr>
            <w:tcW w:w="1230"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xml:space="preserve">　 </w:t>
            </w:r>
            <w:r>
              <w:rPr>
                <w:rFonts w:ascii="宋体" w:hAnsi="宋体" w:cs="宋体"/>
                <w:kern w:val="0"/>
                <w:sz w:val="22"/>
                <w:szCs w:val="22"/>
              </w:rPr>
              <w:t>4.88</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cs="Times New Roman"/>
                <w:kern w:val="0"/>
                <w:sz w:val="24"/>
                <w:szCs w:val="24"/>
              </w:rPr>
              <w:t>十二、农林水支出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20</w:t>
            </w: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ascii="宋体" w:hAnsi="宋体" w:cs="宋体"/>
                <w:kern w:val="0"/>
                <w:sz w:val="22"/>
                <w:szCs w:val="22"/>
              </w:rPr>
              <w:t>37.2</w:t>
            </w: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ascii="宋体" w:hAnsi="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rPr>
            </w:pP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hAnsi="宋体" w:cs="宋体"/>
                <w:kern w:val="0"/>
                <w:sz w:val="22"/>
              </w:rPr>
            </w:pPr>
          </w:p>
        </w:tc>
        <w:tc>
          <w:tcPr>
            <w:tcW w:w="3798" w:type="dxa"/>
            <w:gridSpan w:val="3"/>
            <w:tcBorders>
              <w:top w:val="nil"/>
              <w:left w:val="nil"/>
              <w:bottom w:val="single" w:color="auto" w:sz="4" w:space="0"/>
              <w:right w:val="single" w:color="auto" w:sz="4" w:space="0"/>
            </w:tcBorders>
            <w:noWrap/>
            <w:vAlign w:val="center"/>
          </w:tcPr>
          <w:p>
            <w:pPr>
              <w:widowControl/>
              <w:ind w:right="480"/>
              <w:rPr>
                <w:rFonts w:ascii="宋体" w:cs="Times New Roman"/>
                <w:kern w:val="0"/>
                <w:sz w:val="24"/>
                <w:szCs w:val="24"/>
              </w:rPr>
            </w:pPr>
            <w:r>
              <w:rPr>
                <w:rFonts w:hint="eastAsia" w:ascii="宋体" w:hAnsi="宋体" w:cs="宋体"/>
                <w:kern w:val="0"/>
                <w:sz w:val="22"/>
                <w:szCs w:val="22"/>
              </w:rPr>
              <w:t>十五、商业服务业等支出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rPr>
            </w:pPr>
          </w:p>
        </w:tc>
        <w:tc>
          <w:tcPr>
            <w:tcW w:w="3633" w:type="dxa"/>
            <w:gridSpan w:val="3"/>
            <w:tcBorders>
              <w:top w:val="nil"/>
              <w:left w:val="nil"/>
              <w:bottom w:val="single" w:color="auto" w:sz="4" w:space="0"/>
              <w:right w:val="single" w:color="auto" w:sz="4" w:space="0"/>
            </w:tcBorders>
            <w:noWrap/>
            <w:vAlign w:val="center"/>
          </w:tcPr>
          <w:p>
            <w:pPr>
              <w:widowControl/>
              <w:jc w:val="right"/>
              <w:rPr>
                <w:rFonts w:ascii="宋体" w:hAnsi="宋体" w:cs="宋体"/>
                <w:b/>
                <w:bCs/>
                <w:kern w:val="0"/>
                <w:sz w:val="22"/>
              </w:rPr>
            </w:pPr>
            <w:r>
              <w:rPr>
                <w:rFonts w:ascii="宋体" w:hAnsi="宋体" w:cs="宋体"/>
                <w:kern w:val="0"/>
                <w:sz w:val="22"/>
                <w:szCs w:val="22"/>
              </w:rPr>
              <w:t>201.97</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ascii="宋体" w:hAnsi="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rPr>
            </w:pP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hAnsi="宋体" w:cs="宋体"/>
                <w:kern w:val="0"/>
                <w:sz w:val="22"/>
              </w:rPr>
            </w:pPr>
          </w:p>
        </w:tc>
        <w:tc>
          <w:tcPr>
            <w:tcW w:w="3798" w:type="dxa"/>
            <w:gridSpan w:val="3"/>
            <w:tcBorders>
              <w:top w:val="nil"/>
              <w:left w:val="nil"/>
              <w:bottom w:val="single" w:color="auto" w:sz="4" w:space="0"/>
              <w:right w:val="single" w:color="auto" w:sz="4" w:space="0"/>
            </w:tcBorders>
            <w:noWrap/>
            <w:vAlign w:val="center"/>
          </w:tcPr>
          <w:p>
            <w:pPr>
              <w:widowControl/>
              <w:ind w:right="480"/>
              <w:rPr>
                <w:rFonts w:ascii="宋体" w:cs="Times New Roman"/>
                <w:kern w:val="0"/>
                <w:sz w:val="24"/>
                <w:szCs w:val="24"/>
              </w:rPr>
            </w:pPr>
            <w:r>
              <w:rPr>
                <w:rFonts w:hint="eastAsia" w:ascii="宋体" w:cs="Times New Roman"/>
                <w:kern w:val="0"/>
                <w:sz w:val="24"/>
                <w:szCs w:val="24"/>
              </w:rPr>
              <w:t>十九、住房保障支出</w:t>
            </w:r>
            <w:r>
              <w:rPr>
                <w:rFonts w:hint="eastAsia" w:ascii="宋体" w:hAnsi="宋体" w:cs="宋体"/>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rPr>
            </w:pPr>
          </w:p>
        </w:tc>
        <w:tc>
          <w:tcPr>
            <w:tcW w:w="3633" w:type="dxa"/>
            <w:gridSpan w:val="3"/>
            <w:tcBorders>
              <w:top w:val="nil"/>
              <w:left w:val="nil"/>
              <w:bottom w:val="single" w:color="auto" w:sz="4" w:space="0"/>
              <w:right w:val="single" w:color="auto" w:sz="4" w:space="0"/>
            </w:tcBorders>
            <w:noWrap/>
            <w:vAlign w:val="center"/>
          </w:tcPr>
          <w:p>
            <w:pPr>
              <w:widowControl/>
              <w:ind w:firstLine="2860" w:firstLineChars="1300"/>
              <w:jc w:val="left"/>
              <w:rPr>
                <w:rFonts w:ascii="宋体" w:hAnsi="宋体" w:cs="宋体"/>
                <w:b/>
                <w:bCs/>
                <w:kern w:val="0"/>
                <w:sz w:val="22"/>
              </w:rPr>
            </w:pPr>
            <w:r>
              <w:rPr>
                <w:rFonts w:hint="eastAsia" w:ascii="宋体" w:hAnsi="宋体" w:cs="宋体"/>
                <w:kern w:val="0"/>
                <w:sz w:val="22"/>
                <w:szCs w:val="22"/>
              </w:rPr>
              <w:t>33.63</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rPr>
            </w:pPr>
            <w:r>
              <w:rPr>
                <w:rFonts w:hint="eastAsia" w:ascii="宋体" w:hAnsi="宋体" w:cs="宋体"/>
                <w:b/>
                <w:bCs/>
                <w:kern w:val="0"/>
                <w:sz w:val="22"/>
                <w:szCs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10</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ascii="宋体" w:hAnsi="宋体" w:cs="宋体"/>
                <w:kern w:val="0"/>
                <w:sz w:val="22"/>
                <w:szCs w:val="22"/>
              </w:rPr>
              <w:t>1409.73</w:t>
            </w: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rPr>
            </w:pPr>
            <w:r>
              <w:rPr>
                <w:rFonts w:hint="eastAsia" w:ascii="宋体" w:hAnsi="宋体" w:cs="宋体"/>
                <w:b/>
                <w:bCs/>
                <w:kern w:val="0"/>
                <w:sz w:val="22"/>
                <w:szCs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23</w:t>
            </w:r>
          </w:p>
        </w:tc>
        <w:tc>
          <w:tcPr>
            <w:tcW w:w="3633"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xml:space="preserve">　                     </w:t>
            </w:r>
            <w:r>
              <w:rPr>
                <w:rFonts w:ascii="宋体" w:hAnsi="宋体" w:cs="宋体"/>
                <w:kern w:val="0"/>
                <w:sz w:val="22"/>
                <w:szCs w:val="22"/>
              </w:rPr>
              <w:t>1409.73</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ascii="宋体" w:hAnsi="宋体" w:cs="宋体"/>
                <w:kern w:val="0"/>
                <w:sz w:val="22"/>
                <w:szCs w:val="22"/>
              </w:rPr>
              <w:t xml:space="preserve">         </w:t>
            </w:r>
            <w:r>
              <w:rPr>
                <w:rFonts w:hint="eastAsia" w:ascii="宋体" w:hAnsi="宋体" w:cs="宋体"/>
                <w:kern w:val="0"/>
                <w:sz w:val="22"/>
                <w:szCs w:val="22"/>
              </w:rPr>
              <w:t>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11</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ascii="宋体" w:hAnsi="宋体" w:cs="宋体"/>
                <w:kern w:val="0"/>
                <w:sz w:val="22"/>
                <w:szCs w:val="22"/>
              </w:rPr>
              <w:t xml:space="preserve">                </w:t>
            </w:r>
            <w:r>
              <w:rPr>
                <w:rFonts w:hint="eastAsia" w:ascii="宋体" w:hAnsi="宋体" w:cs="宋体"/>
                <w:kern w:val="0"/>
                <w:sz w:val="22"/>
                <w:szCs w:val="22"/>
              </w:rPr>
              <w:t>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24</w:t>
            </w:r>
          </w:p>
        </w:tc>
        <w:tc>
          <w:tcPr>
            <w:tcW w:w="3633"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ascii="宋体" w:hAnsi="宋体" w:cs="宋体"/>
                <w:kern w:val="0"/>
                <w:sz w:val="22"/>
                <w:szCs w:val="22"/>
              </w:rPr>
              <w:t xml:space="preserve">         </w:t>
            </w:r>
            <w:r>
              <w:rPr>
                <w:rFonts w:hint="eastAsia" w:ascii="宋体" w:hAnsi="宋体" w:cs="宋体"/>
                <w:kern w:val="0"/>
                <w:sz w:val="22"/>
                <w:szCs w:val="22"/>
              </w:rPr>
              <w:t>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12</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ascii="宋体" w:hAnsi="宋体" w:cs="宋体"/>
                <w:kern w:val="0"/>
                <w:sz w:val="22"/>
                <w:szCs w:val="22"/>
              </w:rPr>
              <w:t xml:space="preserve">                </w:t>
            </w:r>
            <w:r>
              <w:rPr>
                <w:rFonts w:hint="eastAsia" w:ascii="宋体" w:hAnsi="宋体" w:cs="宋体"/>
                <w:kern w:val="0"/>
                <w:sz w:val="22"/>
                <w:szCs w:val="22"/>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25</w:t>
            </w:r>
          </w:p>
        </w:tc>
        <w:tc>
          <w:tcPr>
            <w:tcW w:w="3633"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rPr>
            </w:pPr>
            <w:r>
              <w:rPr>
                <w:rFonts w:hint="eastAsia" w:ascii="宋体" w:hAnsi="宋体" w:cs="宋体"/>
                <w:b/>
                <w:bCs/>
                <w:kern w:val="0"/>
                <w:sz w:val="22"/>
                <w:szCs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13</w:t>
            </w:r>
          </w:p>
        </w:tc>
        <w:tc>
          <w:tcPr>
            <w:tcW w:w="1230"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ascii="宋体" w:hAnsi="宋体" w:cs="宋体"/>
                <w:kern w:val="0"/>
                <w:sz w:val="22"/>
                <w:szCs w:val="22"/>
              </w:rPr>
              <w:t>1409.73</w:t>
            </w:r>
            <w:r>
              <w:rPr>
                <w:rFonts w:hint="eastAsia" w:ascii="宋体" w:hAnsi="宋体" w:cs="宋体"/>
                <w:kern w:val="0"/>
                <w:sz w:val="22"/>
                <w:szCs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rPr>
            </w:pPr>
            <w:r>
              <w:rPr>
                <w:rFonts w:hint="eastAsia" w:ascii="宋体" w:hAnsi="宋体" w:cs="宋体"/>
                <w:b/>
                <w:bCs/>
                <w:kern w:val="0"/>
                <w:sz w:val="22"/>
                <w:szCs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26</w:t>
            </w:r>
          </w:p>
        </w:tc>
        <w:tc>
          <w:tcPr>
            <w:tcW w:w="3633" w:type="dxa"/>
            <w:gridSpan w:val="3"/>
            <w:tcBorders>
              <w:top w:val="nil"/>
              <w:left w:val="nil"/>
              <w:bottom w:val="single" w:color="auto" w:sz="4" w:space="0"/>
              <w:right w:val="single" w:color="auto" w:sz="4" w:space="0"/>
            </w:tcBorders>
            <w:noWrap/>
            <w:vAlign w:val="center"/>
          </w:tcPr>
          <w:p>
            <w:pPr>
              <w:widowControl/>
              <w:ind w:firstLine="2367" w:firstLineChars="1076"/>
              <w:jc w:val="left"/>
              <w:rPr>
                <w:rFonts w:ascii="宋体" w:cs="Times New Roman"/>
                <w:b/>
                <w:bCs/>
                <w:kern w:val="0"/>
                <w:sz w:val="22"/>
              </w:rPr>
            </w:pPr>
            <w:r>
              <w:rPr>
                <w:rFonts w:hint="eastAsia" w:ascii="宋体" w:hAnsi="宋体" w:cs="宋体"/>
                <w:b/>
                <w:bCs/>
                <w:kern w:val="0"/>
                <w:sz w:val="22"/>
                <w:szCs w:val="22"/>
              </w:rPr>
              <w:t>　</w:t>
            </w:r>
            <w:r>
              <w:rPr>
                <w:rFonts w:ascii="宋体" w:hAnsi="宋体" w:cs="宋体"/>
                <w:kern w:val="0"/>
                <w:sz w:val="22"/>
                <w:szCs w:val="22"/>
              </w:rPr>
              <w:t>1409.73</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r>
              <w:rPr>
                <w:rFonts w:ascii="宋体" w:cs="Times New Roman"/>
                <w:kern w:val="0"/>
                <w:sz w:val="24"/>
                <w:szCs w:val="24"/>
              </w:rPr>
              <w:br w:type="textWrapping"/>
            </w: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pPr>
        <w:jc w:val="center"/>
        <w:rPr>
          <w:rFonts w:ascii="黑体" w:hAnsi="黑体" w:eastAsia="黑体" w:cs="Times New Roman"/>
          <w:sz w:val="28"/>
          <w:szCs w:val="28"/>
        </w:rPr>
        <w:sectPr>
          <w:pgSz w:w="16838" w:h="11906" w:orient="landscape"/>
          <w:pgMar w:top="1797" w:right="1440" w:bottom="1560" w:left="1440" w:header="851" w:footer="992" w:gutter="0"/>
          <w:cols w:space="425" w:num="1"/>
          <w:docGrid w:type="linesAndChars" w:linePitch="312" w:charSpace="0"/>
        </w:sectPr>
      </w:pPr>
    </w:p>
    <w:tbl>
      <w:tblPr>
        <w:tblStyle w:val="6"/>
        <w:tblW w:w="15154" w:type="dxa"/>
        <w:tblInd w:w="2" w:type="dxa"/>
        <w:tblLayout w:type="fixed"/>
        <w:tblCellMar>
          <w:top w:w="0" w:type="dxa"/>
          <w:left w:w="0" w:type="dxa"/>
          <w:bottom w:w="0" w:type="dxa"/>
          <w:right w:w="0" w:type="dxa"/>
        </w:tblCellMar>
      </w:tblPr>
      <w:tblGrid>
        <w:gridCol w:w="90"/>
        <w:gridCol w:w="1810"/>
        <w:gridCol w:w="358"/>
        <w:gridCol w:w="1686"/>
        <w:gridCol w:w="358"/>
        <w:gridCol w:w="1073"/>
        <w:gridCol w:w="358"/>
        <w:gridCol w:w="742"/>
        <w:gridCol w:w="358"/>
        <w:gridCol w:w="667"/>
        <w:gridCol w:w="358"/>
        <w:gridCol w:w="817"/>
        <w:gridCol w:w="358"/>
        <w:gridCol w:w="942"/>
        <w:gridCol w:w="358"/>
        <w:gridCol w:w="1401"/>
        <w:gridCol w:w="358"/>
        <w:gridCol w:w="2704"/>
        <w:gridCol w:w="358"/>
      </w:tblGrid>
      <w:tr>
        <w:tblPrEx>
          <w:tblCellMar>
            <w:top w:w="0" w:type="dxa"/>
            <w:left w:w="0" w:type="dxa"/>
            <w:bottom w:w="0" w:type="dxa"/>
            <w:right w:w="0" w:type="dxa"/>
          </w:tblCellMar>
        </w:tblPrEx>
        <w:trPr>
          <w:gridAfter w:val="1"/>
          <w:wAfter w:w="358" w:type="dxa"/>
          <w:trHeight w:val="435" w:hRule="atLeast"/>
        </w:trPr>
        <w:tc>
          <w:tcPr>
            <w:tcW w:w="14796" w:type="dxa"/>
            <w:gridSpan w:val="18"/>
            <w:tcBorders>
              <w:top w:val="nil"/>
              <w:left w:val="nil"/>
              <w:bottom w:val="nil"/>
              <w:right w:val="nil"/>
            </w:tcBorders>
            <w:noWrap/>
            <w:tcMar>
              <w:top w:w="15" w:type="dxa"/>
              <w:left w:w="15" w:type="dxa"/>
              <w:bottom w:w="0" w:type="dxa"/>
              <w:right w:w="15" w:type="dxa"/>
            </w:tcMar>
            <w:vAlign w:val="center"/>
          </w:tcPr>
          <w:p>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tblPrEx>
          <w:tblCellMar>
            <w:top w:w="0" w:type="dxa"/>
            <w:left w:w="0" w:type="dxa"/>
            <w:bottom w:w="0" w:type="dxa"/>
            <w:right w:w="0" w:type="dxa"/>
          </w:tblCellMar>
        </w:tblPrEx>
        <w:trPr>
          <w:trHeight w:val="285" w:hRule="atLeast"/>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tblPrEx>
          <w:tblCellMar>
            <w:top w:w="0" w:type="dxa"/>
            <w:left w:w="0" w:type="dxa"/>
            <w:bottom w:w="0" w:type="dxa"/>
            <w:right w:w="0" w:type="dxa"/>
          </w:tblCellMar>
        </w:tblPrEx>
        <w:trPr>
          <w:gridAfter w:val="1"/>
          <w:wAfter w:w="358" w:type="dxa"/>
          <w:trHeight w:val="285" w:hRule="atLeast"/>
        </w:trPr>
        <w:tc>
          <w:tcPr>
            <w:tcW w:w="19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cs="Times New Roman"/>
                <w:color w:val="000000"/>
                <w:sz w:val="20"/>
                <w:szCs w:val="20"/>
              </w:rPr>
            </w:pPr>
            <w:r>
              <w:rPr>
                <w:rFonts w:hint="eastAsia" w:cs="宋体"/>
                <w:color w:val="000000"/>
                <w:sz w:val="20"/>
                <w:szCs w:val="20"/>
              </w:rPr>
              <w:t>部门：</w:t>
            </w:r>
            <w:r>
              <w:rPr>
                <w:rFonts w:hint="eastAsia" w:ascii="宋体" w:hAnsi="宋体" w:cs="宋体"/>
                <w:color w:val="000000"/>
                <w:kern w:val="0"/>
                <w:sz w:val="20"/>
                <w:szCs w:val="20"/>
              </w:rPr>
              <w:t>湘潭县商务局</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color w:val="000000"/>
                <w:sz w:val="20"/>
                <w:szCs w:val="20"/>
              </w:rPr>
            </w:pPr>
            <w:r>
              <w:rPr>
                <w:rFonts w:hint="eastAsia" w:cs="宋体"/>
                <w:color w:val="000000"/>
                <w:sz w:val="20"/>
                <w:szCs w:val="20"/>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color w:val="000000"/>
                <w:sz w:val="20"/>
                <w:szCs w:val="20"/>
              </w:rPr>
            </w:pPr>
            <w:r>
              <w:rPr>
                <w:rFonts w:hint="eastAsia" w:cs="宋体"/>
                <w:color w:val="000000"/>
                <w:sz w:val="20"/>
                <w:szCs w:val="20"/>
              </w:rPr>
              <w:t>单位：万元</w:t>
            </w:r>
          </w:p>
        </w:tc>
      </w:tr>
      <w:tr>
        <w:tblPrEx>
          <w:tblCellMar>
            <w:top w:w="0" w:type="dxa"/>
            <w:left w:w="0" w:type="dxa"/>
            <w:bottom w:w="0" w:type="dxa"/>
            <w:right w:w="0" w:type="dxa"/>
          </w:tblCellMar>
        </w:tblPrEx>
        <w:trPr>
          <w:gridAfter w:val="1"/>
          <w:wAfter w:w="358" w:type="dxa"/>
          <w:trHeight w:val="615" w:hRule="atLeast"/>
        </w:trPr>
        <w:tc>
          <w:tcPr>
            <w:tcW w:w="14796" w:type="dxa"/>
            <w:gridSpan w:val="18"/>
            <w:tcBorders>
              <w:top w:val="nil"/>
              <w:left w:val="nil"/>
              <w:bottom w:val="nil"/>
              <w:right w:val="nil"/>
            </w:tcBorders>
            <w:tcMar>
              <w:top w:w="15" w:type="dxa"/>
              <w:left w:w="15" w:type="dxa"/>
              <w:bottom w:w="0" w:type="dxa"/>
              <w:right w:w="15" w:type="dxa"/>
            </w:tcMar>
            <w:vAlign w:val="center"/>
          </w:tcPr>
          <w:tbl>
            <w:tblPr>
              <w:tblStyle w:val="6"/>
              <w:tblW w:w="14317" w:type="dxa"/>
              <w:tblInd w:w="277" w:type="dxa"/>
              <w:tblLayout w:type="fixed"/>
              <w:tblCellMar>
                <w:top w:w="0" w:type="dxa"/>
                <w:left w:w="108" w:type="dxa"/>
                <w:bottom w:w="0" w:type="dxa"/>
                <w:right w:w="108" w:type="dxa"/>
              </w:tblCellMar>
            </w:tblPr>
            <w:tblGrid>
              <w:gridCol w:w="419"/>
              <w:gridCol w:w="425"/>
              <w:gridCol w:w="425"/>
              <w:gridCol w:w="3969"/>
              <w:gridCol w:w="1200"/>
              <w:gridCol w:w="1210"/>
              <w:gridCol w:w="1134"/>
              <w:gridCol w:w="992"/>
              <w:gridCol w:w="1134"/>
              <w:gridCol w:w="1134"/>
              <w:gridCol w:w="1276"/>
              <w:gridCol w:w="999"/>
            </w:tblGrid>
            <w:tr>
              <w:tblPrEx>
                <w:tblCellMar>
                  <w:top w:w="0" w:type="dxa"/>
                  <w:left w:w="108" w:type="dxa"/>
                  <w:bottom w:w="0" w:type="dxa"/>
                  <w:right w:w="108" w:type="dxa"/>
                </w:tblCellMar>
              </w:tblPrEx>
              <w:trPr>
                <w:trHeight w:val="309" w:hRule="atLeast"/>
              </w:trPr>
              <w:tc>
                <w:tcPr>
                  <w:tcW w:w="523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项目</w:t>
                  </w:r>
                </w:p>
              </w:tc>
              <w:tc>
                <w:tcPr>
                  <w:tcW w:w="120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本年收入合计</w:t>
                  </w:r>
                </w:p>
              </w:tc>
              <w:tc>
                <w:tcPr>
                  <w:tcW w:w="121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财政拨款收入</w:t>
                  </w:r>
                </w:p>
              </w:tc>
              <w:tc>
                <w:tcPr>
                  <w:tcW w:w="1134"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上级补助收入</w:t>
                  </w:r>
                </w:p>
              </w:tc>
              <w:tc>
                <w:tcPr>
                  <w:tcW w:w="212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事业收入</w:t>
                  </w:r>
                </w:p>
              </w:tc>
              <w:tc>
                <w:tcPr>
                  <w:tcW w:w="1134"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经营收入</w:t>
                  </w:r>
                </w:p>
              </w:tc>
              <w:tc>
                <w:tcPr>
                  <w:tcW w:w="1276"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附属单位上缴收入</w:t>
                  </w:r>
                </w:p>
              </w:tc>
              <w:tc>
                <w:tcPr>
                  <w:tcW w:w="999" w:type="dxa"/>
                  <w:vMerge w:val="restart"/>
                  <w:tcBorders>
                    <w:top w:val="single" w:color="000000" w:sz="4" w:space="0"/>
                    <w:left w:val="nil"/>
                    <w:bottom w:val="single" w:color="000000" w:sz="4" w:space="0"/>
                    <w:right w:val="single" w:color="000000" w:sz="8"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其他收入</w:t>
                  </w:r>
                </w:p>
              </w:tc>
            </w:tr>
            <w:tr>
              <w:tblPrEx>
                <w:tblCellMar>
                  <w:top w:w="0" w:type="dxa"/>
                  <w:left w:w="108" w:type="dxa"/>
                  <w:bottom w:w="0" w:type="dxa"/>
                  <w:right w:w="108" w:type="dxa"/>
                </w:tblCellMar>
              </w:tblPrEx>
              <w:trPr>
                <w:trHeight w:val="312" w:hRule="atLeast"/>
              </w:trPr>
              <w:tc>
                <w:tcPr>
                  <w:tcW w:w="1269" w:type="dxa"/>
                  <w:gridSpan w:val="3"/>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支出功能分类科目代码</w:t>
                  </w:r>
                </w:p>
              </w:tc>
              <w:tc>
                <w:tcPr>
                  <w:tcW w:w="3969" w:type="dxa"/>
                  <w:vMerge w:val="restar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科目名称</w:t>
                  </w:r>
                </w:p>
              </w:tc>
              <w:tc>
                <w:tcPr>
                  <w:tcW w:w="12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21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992" w:type="dxa"/>
                  <w:vMerge w:val="restar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小计</w:t>
                  </w:r>
                </w:p>
              </w:tc>
              <w:tc>
                <w:tcPr>
                  <w:tcW w:w="1134" w:type="dxa"/>
                  <w:vMerge w:val="restar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其中：教育收费</w:t>
                  </w:r>
                </w:p>
              </w:tc>
              <w:tc>
                <w:tcPr>
                  <w:tcW w:w="113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276"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999"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cs="Arial"/>
                      <w:color w:val="000000"/>
                      <w:kern w:val="0"/>
                      <w:sz w:val="22"/>
                    </w:rPr>
                  </w:pPr>
                </w:p>
              </w:tc>
            </w:tr>
            <w:tr>
              <w:tblPrEx>
                <w:tblCellMar>
                  <w:top w:w="0" w:type="dxa"/>
                  <w:left w:w="108" w:type="dxa"/>
                  <w:bottom w:w="0" w:type="dxa"/>
                  <w:right w:w="108" w:type="dxa"/>
                </w:tblCellMar>
              </w:tblPrEx>
              <w:trPr>
                <w:trHeight w:val="312" w:hRule="atLeast"/>
              </w:trPr>
              <w:tc>
                <w:tcPr>
                  <w:tcW w:w="1269"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3969"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2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21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992"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134"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276"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999"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cs="Arial"/>
                      <w:color w:val="000000"/>
                      <w:kern w:val="0"/>
                      <w:sz w:val="22"/>
                    </w:rPr>
                  </w:pPr>
                </w:p>
              </w:tc>
            </w:tr>
            <w:tr>
              <w:tblPrEx>
                <w:tblCellMar>
                  <w:top w:w="0" w:type="dxa"/>
                  <w:left w:w="108" w:type="dxa"/>
                  <w:bottom w:w="0" w:type="dxa"/>
                  <w:right w:w="108" w:type="dxa"/>
                </w:tblCellMar>
              </w:tblPrEx>
              <w:trPr>
                <w:trHeight w:val="312" w:hRule="atLeast"/>
              </w:trPr>
              <w:tc>
                <w:tcPr>
                  <w:tcW w:w="1269"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3969"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2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21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992"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134"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276"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999"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cs="Arial"/>
                      <w:color w:val="000000"/>
                      <w:kern w:val="0"/>
                      <w:sz w:val="22"/>
                    </w:rPr>
                  </w:pPr>
                </w:p>
              </w:tc>
            </w:tr>
            <w:tr>
              <w:tblPrEx>
                <w:tblCellMar>
                  <w:top w:w="0" w:type="dxa"/>
                  <w:left w:w="108" w:type="dxa"/>
                  <w:bottom w:w="0" w:type="dxa"/>
                  <w:right w:w="108" w:type="dxa"/>
                </w:tblCellMar>
              </w:tblPrEx>
              <w:trPr>
                <w:trHeight w:val="309" w:hRule="atLeast"/>
              </w:trPr>
              <w:tc>
                <w:tcPr>
                  <w:tcW w:w="419" w:type="dxa"/>
                  <w:vMerge w:val="restar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类</w:t>
                  </w:r>
                </w:p>
              </w:tc>
              <w:tc>
                <w:tcPr>
                  <w:tcW w:w="425" w:type="dxa"/>
                  <w:vMerge w:val="restar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款</w:t>
                  </w:r>
                </w:p>
              </w:tc>
              <w:tc>
                <w:tcPr>
                  <w:tcW w:w="425" w:type="dxa"/>
                  <w:vMerge w:val="restar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项</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栏次</w:t>
                  </w:r>
                </w:p>
              </w:tc>
              <w:tc>
                <w:tcPr>
                  <w:tcW w:w="120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w:t>
                  </w:r>
                </w:p>
              </w:tc>
              <w:tc>
                <w:tcPr>
                  <w:tcW w:w="121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w:t>
                  </w:r>
                </w:p>
              </w:tc>
              <w:tc>
                <w:tcPr>
                  <w:tcW w:w="1134"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w:t>
                  </w:r>
                </w:p>
              </w:tc>
              <w:tc>
                <w:tcPr>
                  <w:tcW w:w="99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w:t>
                  </w:r>
                </w:p>
              </w:tc>
              <w:tc>
                <w:tcPr>
                  <w:tcW w:w="1134"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w:t>
                  </w:r>
                </w:p>
              </w:tc>
              <w:tc>
                <w:tcPr>
                  <w:tcW w:w="1134"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6</w:t>
                  </w:r>
                </w:p>
              </w:tc>
              <w:tc>
                <w:tcPr>
                  <w:tcW w:w="12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7</w:t>
                  </w:r>
                </w:p>
              </w:tc>
              <w:tc>
                <w:tcPr>
                  <w:tcW w:w="999" w:type="dxa"/>
                  <w:tcBorders>
                    <w:top w:val="nil"/>
                    <w:left w:val="nil"/>
                    <w:bottom w:val="single" w:color="000000" w:sz="4" w:space="0"/>
                    <w:right w:val="single" w:color="000000" w:sz="8"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8</w:t>
                  </w:r>
                </w:p>
              </w:tc>
            </w:tr>
            <w:tr>
              <w:tblPrEx>
                <w:tblCellMar>
                  <w:top w:w="0" w:type="dxa"/>
                  <w:left w:w="108" w:type="dxa"/>
                  <w:bottom w:w="0" w:type="dxa"/>
                  <w:right w:w="108" w:type="dxa"/>
                </w:tblCellMar>
              </w:tblPrEx>
              <w:trPr>
                <w:trHeight w:val="309" w:hRule="atLeast"/>
              </w:trPr>
              <w:tc>
                <w:tcPr>
                  <w:tcW w:w="41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425"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425"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3969"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合计</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1,409.73</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1,404.85</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4.88</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一般公共服务支出</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985.63</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980.74</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4.88</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20104</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发展与改革事务</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30.00</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2010499</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其他发展与改革事务支出</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30.00</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20113</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商贸事务</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955.08</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950.19</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4.88</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2011301</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行政运行</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411.86</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406.97</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4.88</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2011307</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国内贸易管理</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72.57</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72.57</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2011308</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招商引资</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115.93</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115.93</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2011399</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其他商贸事务支出</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354.72</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354.72</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20133</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宣传事务</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0.55</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0.55</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2013399</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其他宣传事务支出</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0.55</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0.55</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社会保障和就业支出</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124.48</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124.48</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20805</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行政事业单位养老支出</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41.47</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41.47</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2080505</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机关事业单位基本养老保险缴费支出</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38.44</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38.44</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2080599</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其他行政事业单位养老支出</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3.03</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3.03</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20808</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抚恤</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83.01</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83.01</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2080801</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死亡抚恤</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83.01</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83.01</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210</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卫生健康支出</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24.23</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24.23</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21011</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行政事业单位医疗</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24.23</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24.23</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2101101</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行政单位医疗</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24.23</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24.23</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212</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城乡社区支出</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2.59</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2.59</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21299</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其他城乡社区支出</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2.59</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2.59</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2129999</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其他城乡社区支出</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2.59</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2.59</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213</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农林水支出</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37.20</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37.20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21305</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巩固脱贫衔接乡村振兴</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37.20</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37.20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2130599</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其他巩固脱贫衔接乡村振兴支出</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37.20</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37.20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216</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商业服务业等支出</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201.97</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201.97</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21602</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商业流通事务</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41.20</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41.20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2160201</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行政运行</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21.20</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21.20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2160299</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其他商业流通事务支出</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20.00</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21606</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涉外发展服务支出</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20.00</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2160699</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其他涉外发展服务支出</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20.00</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21699</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其他商业服务业等支出</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140.77</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140.77</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2169999</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其他商业服务业等支出</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140.77</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140.77</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221</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住房保障支出</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33.63</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33.63</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22102</w:t>
                  </w:r>
                </w:p>
              </w:tc>
              <w:tc>
                <w:tcPr>
                  <w:tcW w:w="396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住房改革支出</w:t>
                  </w:r>
                </w:p>
              </w:tc>
              <w:tc>
                <w:tcPr>
                  <w:tcW w:w="12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33.63</w:t>
                  </w:r>
                </w:p>
              </w:tc>
              <w:tc>
                <w:tcPr>
                  <w:tcW w:w="12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33.63</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269" w:type="dxa"/>
                  <w:gridSpan w:val="3"/>
                  <w:tcBorders>
                    <w:top w:val="nil"/>
                    <w:left w:val="single" w:color="000000" w:sz="4" w:space="0"/>
                    <w:bottom w:val="single" w:color="000000" w:sz="8"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2210201</w:t>
                  </w:r>
                </w:p>
              </w:tc>
              <w:tc>
                <w:tcPr>
                  <w:tcW w:w="3969" w:type="dxa"/>
                  <w:tcBorders>
                    <w:top w:val="nil"/>
                    <w:left w:val="nil"/>
                    <w:bottom w:val="single" w:color="000000" w:sz="8"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住房公积金</w:t>
                  </w:r>
                </w:p>
              </w:tc>
              <w:tc>
                <w:tcPr>
                  <w:tcW w:w="1200"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33.63</w:t>
                  </w:r>
                </w:p>
              </w:tc>
              <w:tc>
                <w:tcPr>
                  <w:tcW w:w="1210"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33.63</w:t>
                  </w:r>
                </w:p>
              </w:tc>
              <w:tc>
                <w:tcPr>
                  <w:tcW w:w="1134"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9" w:type="dxa"/>
                  <w:tcBorders>
                    <w:top w:val="nil"/>
                    <w:left w:val="nil"/>
                    <w:bottom w:val="single" w:color="000000" w:sz="8"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bl>
          <w:p>
            <w:pPr>
              <w:rPr>
                <w:rFonts w:ascii="宋体" w:cs="Times New Roman"/>
                <w:sz w:val="24"/>
                <w:szCs w:val="24"/>
              </w:rPr>
            </w:pPr>
            <w:r>
              <w:rPr>
                <w:rFonts w:hint="eastAsia" w:cs="宋体"/>
              </w:rPr>
              <w:t>注：本表反映部门本年度取得的各项收入情况。</w:t>
            </w:r>
          </w:p>
        </w:tc>
      </w:tr>
    </w:tbl>
    <w:p>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tbl>
      <w:tblPr>
        <w:tblStyle w:val="6"/>
        <w:tblW w:w="14833" w:type="dxa"/>
        <w:tblInd w:w="409" w:type="dxa"/>
        <w:tblLayout w:type="fixed"/>
        <w:tblCellMar>
          <w:top w:w="0" w:type="dxa"/>
          <w:left w:w="108" w:type="dxa"/>
          <w:bottom w:w="0" w:type="dxa"/>
          <w:right w:w="108" w:type="dxa"/>
        </w:tblCellMar>
      </w:tblPr>
      <w:tblGrid>
        <w:gridCol w:w="684"/>
        <w:gridCol w:w="981"/>
        <w:gridCol w:w="1513"/>
        <w:gridCol w:w="1456"/>
        <w:gridCol w:w="1373"/>
        <w:gridCol w:w="1864"/>
        <w:gridCol w:w="1864"/>
        <w:gridCol w:w="1864"/>
        <w:gridCol w:w="3234"/>
      </w:tblGrid>
      <w:tr>
        <w:tblPrEx>
          <w:tblCellMar>
            <w:top w:w="0" w:type="dxa"/>
            <w:left w:w="108" w:type="dxa"/>
            <w:bottom w:w="0" w:type="dxa"/>
            <w:right w:w="108" w:type="dxa"/>
          </w:tblCellMar>
        </w:tblPrEx>
        <w:trPr>
          <w:trHeight w:val="455" w:hRule="atLeast"/>
        </w:trPr>
        <w:tc>
          <w:tcPr>
            <w:tcW w:w="14833" w:type="dxa"/>
            <w:gridSpan w:val="9"/>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tblPrEx>
          <w:tblCellMar>
            <w:top w:w="0" w:type="dxa"/>
            <w:left w:w="108" w:type="dxa"/>
            <w:bottom w:w="0" w:type="dxa"/>
            <w:right w:w="108" w:type="dxa"/>
          </w:tblCellMar>
        </w:tblPrEx>
        <w:trPr>
          <w:trHeight w:val="298" w:hRule="atLeast"/>
        </w:trPr>
        <w:tc>
          <w:tcPr>
            <w:tcW w:w="68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981"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5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86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86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86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3234"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98" w:hRule="atLeast"/>
        </w:trPr>
        <w:tc>
          <w:tcPr>
            <w:tcW w:w="3178" w:type="dxa"/>
            <w:gridSpan w:val="3"/>
            <w:tcBorders>
              <w:top w:val="nil"/>
              <w:left w:val="nil"/>
              <w:bottom w:val="nil"/>
              <w:right w:val="nil"/>
            </w:tcBorders>
            <w:shd w:val="clear" w:color="000000" w:fill="FFFFFF"/>
            <w:noWrap/>
          </w:tcPr>
          <w:p>
            <w:pPr>
              <w:jc w:val="left"/>
              <w:rPr>
                <w:rFonts w:ascii="宋体" w:cs="Times New Roman"/>
                <w:kern w:val="0"/>
                <w:sz w:val="24"/>
                <w:szCs w:val="24"/>
              </w:rPr>
            </w:pPr>
            <w:r>
              <w:rPr>
                <w:rFonts w:hint="eastAsia" w:ascii="宋体" w:hAnsi="宋体" w:cs="宋体"/>
                <w:color w:val="000000"/>
                <w:kern w:val="0"/>
                <w:sz w:val="20"/>
                <w:szCs w:val="20"/>
              </w:rPr>
              <w:t>部门：</w:t>
            </w:r>
            <w:r>
              <w:rPr>
                <w:rFonts w:ascii="宋体" w:hAnsi="宋体" w:cs="宋体"/>
                <w:color w:val="000000"/>
                <w:kern w:val="0"/>
                <w:sz w:val="20"/>
                <w:szCs w:val="20"/>
              </w:rPr>
              <w:t xml:space="preserve"> </w:t>
            </w:r>
            <w:r>
              <w:rPr>
                <w:rFonts w:hint="eastAsia" w:ascii="宋体" w:hAnsi="宋体" w:cs="宋体"/>
                <w:color w:val="000000"/>
                <w:kern w:val="0"/>
                <w:sz w:val="20"/>
                <w:szCs w:val="20"/>
              </w:rPr>
              <w:t>湘潭县商务局</w:t>
            </w:r>
            <w:r>
              <w:rPr>
                <w:rFonts w:hint="eastAsia" w:ascii="宋体" w:hAnsi="宋体" w:cs="宋体"/>
                <w:kern w:val="0"/>
                <w:sz w:val="24"/>
                <w:szCs w:val="24"/>
              </w:rPr>
              <w:t>　</w:t>
            </w:r>
          </w:p>
        </w:tc>
        <w:tc>
          <w:tcPr>
            <w:tcW w:w="145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864" w:type="dxa"/>
            <w:tcBorders>
              <w:top w:val="nil"/>
              <w:left w:val="nil"/>
              <w:bottom w:val="nil"/>
              <w:right w:val="nil"/>
            </w:tcBorders>
            <w:shd w:val="clear" w:color="000000" w:fill="FFFFFF"/>
            <w:noWrap/>
            <w:vAlign w:val="center"/>
          </w:tcPr>
          <w:p>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86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86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3234"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658" w:hRule="atLeast"/>
        </w:trPr>
        <w:tc>
          <w:tcPr>
            <w:tcW w:w="14833" w:type="dxa"/>
            <w:gridSpan w:val="9"/>
            <w:tcBorders>
              <w:top w:val="nil"/>
              <w:left w:val="nil"/>
              <w:bottom w:val="nil"/>
              <w:right w:val="nil"/>
            </w:tcBorders>
            <w:vAlign w:val="center"/>
          </w:tcPr>
          <w:tbl>
            <w:tblPr>
              <w:tblStyle w:val="6"/>
              <w:tblW w:w="14328" w:type="dxa"/>
              <w:tblInd w:w="0" w:type="dxa"/>
              <w:tblLayout w:type="fixed"/>
              <w:tblCellMar>
                <w:top w:w="0" w:type="dxa"/>
                <w:left w:w="108" w:type="dxa"/>
                <w:bottom w:w="0" w:type="dxa"/>
                <w:right w:w="108" w:type="dxa"/>
              </w:tblCellMar>
            </w:tblPr>
            <w:tblGrid>
              <w:gridCol w:w="295"/>
              <w:gridCol w:w="294"/>
              <w:gridCol w:w="415"/>
              <w:gridCol w:w="4316"/>
              <w:gridCol w:w="1440"/>
              <w:gridCol w:w="1520"/>
              <w:gridCol w:w="1380"/>
              <w:gridCol w:w="1550"/>
              <w:gridCol w:w="1417"/>
              <w:gridCol w:w="1701"/>
            </w:tblGrid>
            <w:tr>
              <w:tblPrEx>
                <w:tblCellMar>
                  <w:top w:w="0" w:type="dxa"/>
                  <w:left w:w="108" w:type="dxa"/>
                  <w:bottom w:w="0" w:type="dxa"/>
                  <w:right w:w="108" w:type="dxa"/>
                </w:tblCellMar>
              </w:tblPrEx>
              <w:trPr>
                <w:trHeight w:val="309" w:hRule="atLeast"/>
              </w:trPr>
              <w:tc>
                <w:tcPr>
                  <w:tcW w:w="532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项目</w:t>
                  </w:r>
                </w:p>
              </w:tc>
              <w:tc>
                <w:tcPr>
                  <w:tcW w:w="144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本年支出合计</w:t>
                  </w:r>
                </w:p>
              </w:tc>
              <w:tc>
                <w:tcPr>
                  <w:tcW w:w="15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基本支出</w:t>
                  </w:r>
                </w:p>
              </w:tc>
              <w:tc>
                <w:tcPr>
                  <w:tcW w:w="138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项目支出</w:t>
                  </w:r>
                </w:p>
              </w:tc>
              <w:tc>
                <w:tcPr>
                  <w:tcW w:w="155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上缴上级支出</w:t>
                  </w:r>
                </w:p>
              </w:tc>
              <w:tc>
                <w:tcPr>
                  <w:tcW w:w="1417"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经营支出</w:t>
                  </w:r>
                </w:p>
              </w:tc>
              <w:tc>
                <w:tcPr>
                  <w:tcW w:w="1701" w:type="dxa"/>
                  <w:vMerge w:val="restart"/>
                  <w:tcBorders>
                    <w:top w:val="single" w:color="000000" w:sz="4" w:space="0"/>
                    <w:left w:val="nil"/>
                    <w:bottom w:val="single" w:color="000000" w:sz="4" w:space="0"/>
                    <w:right w:val="single" w:color="000000" w:sz="8"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对附属单位补助支出</w:t>
                  </w:r>
                </w:p>
              </w:tc>
            </w:tr>
            <w:tr>
              <w:tblPrEx>
                <w:tblCellMar>
                  <w:top w:w="0" w:type="dxa"/>
                  <w:left w:w="108" w:type="dxa"/>
                  <w:bottom w:w="0" w:type="dxa"/>
                  <w:right w:w="108" w:type="dxa"/>
                </w:tblCellMar>
              </w:tblPrEx>
              <w:trPr>
                <w:trHeight w:val="312" w:hRule="atLeast"/>
              </w:trPr>
              <w:tc>
                <w:tcPr>
                  <w:tcW w:w="1004" w:type="dxa"/>
                  <w:gridSpan w:val="3"/>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支出功能分类科目代码</w:t>
                  </w:r>
                </w:p>
              </w:tc>
              <w:tc>
                <w:tcPr>
                  <w:tcW w:w="4316" w:type="dxa"/>
                  <w:vMerge w:val="restar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科目名称</w:t>
                  </w:r>
                </w:p>
              </w:tc>
              <w:tc>
                <w:tcPr>
                  <w:tcW w:w="144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5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3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55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41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701"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cs="Arial"/>
                      <w:color w:val="000000"/>
                      <w:kern w:val="0"/>
                      <w:sz w:val="22"/>
                    </w:rPr>
                  </w:pPr>
                </w:p>
              </w:tc>
            </w:tr>
            <w:tr>
              <w:tblPrEx>
                <w:tblCellMar>
                  <w:top w:w="0" w:type="dxa"/>
                  <w:left w:w="108" w:type="dxa"/>
                  <w:bottom w:w="0" w:type="dxa"/>
                  <w:right w:w="108" w:type="dxa"/>
                </w:tblCellMar>
              </w:tblPrEx>
              <w:trPr>
                <w:trHeight w:val="312" w:hRule="atLeast"/>
              </w:trPr>
              <w:tc>
                <w:tcPr>
                  <w:tcW w:w="1004"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4316"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44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5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3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55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41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701"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cs="Arial"/>
                      <w:color w:val="000000"/>
                      <w:kern w:val="0"/>
                      <w:sz w:val="22"/>
                    </w:rPr>
                  </w:pPr>
                </w:p>
              </w:tc>
            </w:tr>
            <w:tr>
              <w:tblPrEx>
                <w:tblCellMar>
                  <w:top w:w="0" w:type="dxa"/>
                  <w:left w:w="108" w:type="dxa"/>
                  <w:bottom w:w="0" w:type="dxa"/>
                  <w:right w:w="108" w:type="dxa"/>
                </w:tblCellMar>
              </w:tblPrEx>
              <w:trPr>
                <w:trHeight w:val="312" w:hRule="atLeast"/>
              </w:trPr>
              <w:tc>
                <w:tcPr>
                  <w:tcW w:w="1004"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4316"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44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5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3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55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41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701"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cs="Arial"/>
                      <w:color w:val="000000"/>
                      <w:kern w:val="0"/>
                      <w:sz w:val="22"/>
                    </w:rPr>
                  </w:pPr>
                </w:p>
              </w:tc>
            </w:tr>
            <w:tr>
              <w:tblPrEx>
                <w:tblCellMar>
                  <w:top w:w="0" w:type="dxa"/>
                  <w:left w:w="108" w:type="dxa"/>
                  <w:bottom w:w="0" w:type="dxa"/>
                  <w:right w:w="108" w:type="dxa"/>
                </w:tblCellMar>
              </w:tblPrEx>
              <w:trPr>
                <w:trHeight w:val="309" w:hRule="atLeast"/>
              </w:trPr>
              <w:tc>
                <w:tcPr>
                  <w:tcW w:w="295" w:type="dxa"/>
                  <w:vMerge w:val="restar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类</w:t>
                  </w:r>
                </w:p>
              </w:tc>
              <w:tc>
                <w:tcPr>
                  <w:tcW w:w="294" w:type="dxa"/>
                  <w:vMerge w:val="restar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款</w:t>
                  </w:r>
                </w:p>
              </w:tc>
              <w:tc>
                <w:tcPr>
                  <w:tcW w:w="415" w:type="dxa"/>
                  <w:vMerge w:val="restar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项</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栏次</w:t>
                  </w:r>
                </w:p>
              </w:tc>
              <w:tc>
                <w:tcPr>
                  <w:tcW w:w="144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w:t>
                  </w:r>
                </w:p>
              </w:tc>
              <w:tc>
                <w:tcPr>
                  <w:tcW w:w="15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w:t>
                  </w:r>
                </w:p>
              </w:tc>
              <w:tc>
                <w:tcPr>
                  <w:tcW w:w="13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w:t>
                  </w:r>
                </w:p>
              </w:tc>
              <w:tc>
                <w:tcPr>
                  <w:tcW w:w="155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w:t>
                  </w:r>
                </w:p>
              </w:tc>
              <w:tc>
                <w:tcPr>
                  <w:tcW w:w="141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w:t>
                  </w:r>
                </w:p>
              </w:tc>
              <w:tc>
                <w:tcPr>
                  <w:tcW w:w="1701" w:type="dxa"/>
                  <w:tcBorders>
                    <w:top w:val="nil"/>
                    <w:left w:val="nil"/>
                    <w:bottom w:val="single" w:color="000000" w:sz="4" w:space="0"/>
                    <w:right w:val="single" w:color="000000" w:sz="8"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6</w:t>
                  </w:r>
                </w:p>
              </w:tc>
            </w:tr>
            <w:tr>
              <w:tblPrEx>
                <w:tblCellMar>
                  <w:top w:w="0" w:type="dxa"/>
                  <w:left w:w="108" w:type="dxa"/>
                  <w:bottom w:w="0" w:type="dxa"/>
                  <w:right w:w="108" w:type="dxa"/>
                </w:tblCellMar>
              </w:tblPrEx>
              <w:trPr>
                <w:trHeight w:val="309" w:hRule="atLeast"/>
              </w:trPr>
              <w:tc>
                <w:tcPr>
                  <w:tcW w:w="29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294"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415"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4316"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合计</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1,409.73</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722.76</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686.97</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一般公共服务支出</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985.63</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488.15</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497.48</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20104</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发展与改革事务</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30.00</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30.00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2010499</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其他发展与改革事务支出</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30.00</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30.00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20113</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商贸事务</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955.08</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487.67</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467.40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2011301</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行政运行</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411.86</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411.86</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2011307</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国内贸易管理</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72.57</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72.57</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2011308</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招商引资</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115.93</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115.93</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2011399</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其他商贸事务支出</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354.72</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75.81</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278.91</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20133</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宣传事务</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0.55</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0.48</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0.07</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2013399</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其他宣传事务支出</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0.55</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0.48</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0.07</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社会保障和就业支出</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124.48</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124.48</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20805</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行政事业单位养老支出</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41.47</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41.47</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2080505</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机关事业单位基本养老保险缴费支出</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38.44</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38.44</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2080599</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其他行政事业单位养老支出</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3.03</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3.03</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20808</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抚恤</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83.01</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83.01</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2080801</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死亡抚恤</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83.01</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83.01</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210</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卫生健康支出</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24.23</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24.23</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21011</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行政事业单位医疗</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24.23</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24.23</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2101101</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行政单位医疗</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24.23</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24.23</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212</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城乡社区支出</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2.59</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2.59</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21299</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其他城乡社区支出</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2.59</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2.59</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2129999</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其他城乡社区支出</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2.59</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2.59</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213</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农林水支出</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37.20</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37.20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21305</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巩固脱贫衔接乡村振兴</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37.20</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37.20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2130599</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其他巩固脱贫衔接乡村振兴支出</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37.20</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37.20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216</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商业服务业等支出</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201.97</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52.27</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149.70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21602</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商业流通事务</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41.20</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41.20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2160201</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行政运行</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21.20</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21.20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2160299</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其他商业流通事务支出</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20.00</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20.00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21606</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涉外发展服务支出</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20.00</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19.66</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0.34</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2160699</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其他涉外发展服务支出</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20.00</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19.66</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0.34</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21699</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其他商业服务业等支出</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140.77</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32.61</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108.16</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2169999</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其他商业服务业等支出</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140.77</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32.61</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108.16</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221</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住房保障支出</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33.63</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33.63</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22102</w:t>
                  </w:r>
                </w:p>
              </w:tc>
              <w:tc>
                <w:tcPr>
                  <w:tcW w:w="43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住房改革支出</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33.63</w:t>
                  </w:r>
                </w:p>
              </w:tc>
              <w:tc>
                <w:tcPr>
                  <w:tcW w:w="15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33.63</w:t>
                  </w:r>
                </w:p>
              </w:tc>
              <w:tc>
                <w:tcPr>
                  <w:tcW w:w="13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004" w:type="dxa"/>
                  <w:gridSpan w:val="3"/>
                  <w:tcBorders>
                    <w:top w:val="nil"/>
                    <w:left w:val="single" w:color="000000" w:sz="4" w:space="0"/>
                    <w:bottom w:val="single" w:color="000000" w:sz="8"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2210201</w:t>
                  </w:r>
                </w:p>
              </w:tc>
              <w:tc>
                <w:tcPr>
                  <w:tcW w:w="4316" w:type="dxa"/>
                  <w:tcBorders>
                    <w:top w:val="nil"/>
                    <w:left w:val="nil"/>
                    <w:bottom w:val="single" w:color="000000" w:sz="8"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住房公积金</w:t>
                  </w:r>
                </w:p>
              </w:tc>
              <w:tc>
                <w:tcPr>
                  <w:tcW w:w="1440"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33.63</w:t>
                  </w:r>
                </w:p>
              </w:tc>
              <w:tc>
                <w:tcPr>
                  <w:tcW w:w="1520"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33.63</w:t>
                  </w:r>
                </w:p>
              </w:tc>
              <w:tc>
                <w:tcPr>
                  <w:tcW w:w="1380"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0"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8" w:space="0"/>
                    <w:right w:val="single" w:color="000000" w:sz="8"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bl>
          <w:p>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 xml:space="preserve">  </w:t>
      </w:r>
    </w:p>
    <w:p>
      <w:pPr>
        <w:widowControl/>
        <w:ind w:left="93"/>
        <w:jc w:val="center"/>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6"/>
        <w:tblW w:w="15522" w:type="dxa"/>
        <w:tblInd w:w="-106" w:type="dxa"/>
        <w:tblLayout w:type="autofit"/>
        <w:tblCellMar>
          <w:top w:w="0" w:type="dxa"/>
          <w:left w:w="108" w:type="dxa"/>
          <w:bottom w:w="0" w:type="dxa"/>
          <w:right w:w="108" w:type="dxa"/>
        </w:tblCellMar>
      </w:tblPr>
      <w:tblGrid>
        <w:gridCol w:w="3596"/>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pPr>
              <w:widowControl/>
              <w:jc w:val="left"/>
              <w:rPr>
                <w:rFonts w:ascii="黑体" w:hAnsi="黑体" w:eastAsia="黑体" w:cs="Times New Roman"/>
                <w:kern w:val="0"/>
                <w:sz w:val="24"/>
                <w:szCs w:val="24"/>
              </w:rPr>
            </w:pPr>
            <w:bookmarkStart w:id="0" w:name="RANGE_A1_I22"/>
            <w:bookmarkEnd w:id="0"/>
            <w:bookmarkStart w:id="1" w:name="RANGE_A1_F16"/>
          </w:p>
        </w:tc>
        <w:tc>
          <w:tcPr>
            <w:tcW w:w="436" w:type="dxa"/>
            <w:tcBorders>
              <w:top w:val="nil"/>
              <w:left w:val="nil"/>
              <w:bottom w:val="nil"/>
              <w:right w:val="nil"/>
            </w:tcBorders>
            <w:noWrap/>
            <w:vAlign w:val="center"/>
          </w:tcPr>
          <w:p>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pPr>
              <w:widowControl/>
              <w:jc w:val="right"/>
              <w:rPr>
                <w:rFonts w:ascii="宋体" w:cs="Times New Roman"/>
                <w:kern w:val="0"/>
                <w:sz w:val="24"/>
                <w:szCs w:val="24"/>
              </w:rPr>
            </w:pPr>
          </w:p>
        </w:tc>
        <w:tc>
          <w:tcPr>
            <w:tcW w:w="435" w:type="dxa"/>
            <w:tcBorders>
              <w:top w:val="nil"/>
              <w:left w:val="nil"/>
              <w:bottom w:val="nil"/>
              <w:right w:val="nil"/>
            </w:tcBorders>
            <w:noWrap/>
            <w:vAlign w:val="center"/>
          </w:tcPr>
          <w:p>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pPr>
              <w:widowControl/>
              <w:jc w:val="right"/>
              <w:rPr>
                <w:rFonts w:ascii="宋体" w:cs="Times New Roman"/>
                <w:kern w:val="0"/>
                <w:sz w:val="24"/>
                <w:szCs w:val="24"/>
              </w:rPr>
            </w:pPr>
          </w:p>
        </w:tc>
      </w:tr>
      <w:tr>
        <w:tblPrEx>
          <w:tblCellMar>
            <w:top w:w="0" w:type="dxa"/>
            <w:left w:w="108" w:type="dxa"/>
            <w:bottom w:w="0" w:type="dxa"/>
            <w:right w:w="108" w:type="dxa"/>
          </w:tblCellMar>
        </w:tblPrEx>
        <w:trPr>
          <w:trHeight w:val="360" w:hRule="atLeast"/>
        </w:trPr>
        <w:tc>
          <w:tcPr>
            <w:tcW w:w="15522" w:type="dxa"/>
            <w:gridSpan w:val="11"/>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部门：湘潭县商务局</w:t>
            </w:r>
          </w:p>
        </w:tc>
        <w:tc>
          <w:tcPr>
            <w:tcW w:w="4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1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金额</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5</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一、一般公共预算财政拨款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1</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ascii="宋体" w:hAnsi="宋体" w:cs="宋体"/>
                <w:kern w:val="0"/>
                <w:sz w:val="22"/>
                <w:szCs w:val="22"/>
              </w:rPr>
              <w:t>1404.85</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15</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r>
              <w:rPr>
                <w:rFonts w:ascii="宋体" w:hAnsi="宋体" w:cs="宋体"/>
                <w:kern w:val="0"/>
                <w:sz w:val="22"/>
                <w:szCs w:val="22"/>
              </w:rPr>
              <w:t>980.7</w:t>
            </w:r>
            <w:r>
              <w:rPr>
                <w:rFonts w:hint="eastAsia" w:ascii="宋体" w:hAnsi="宋体" w:cs="宋体"/>
                <w:kern w:val="0"/>
                <w:sz w:val="22"/>
                <w:szCs w:val="22"/>
              </w:rPr>
              <w:t>5</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980.7</w:t>
            </w:r>
            <w:r>
              <w:rPr>
                <w:rFonts w:hint="eastAsia" w:ascii="宋体" w:hAnsi="宋体" w:cs="宋体"/>
                <w:kern w:val="0"/>
                <w:sz w:val="22"/>
                <w:szCs w:val="22"/>
              </w:rPr>
              <w:t>5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二、政府性基金预算财政拨款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2</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二、外交支出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16</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三、国有资本经营预算财政拨款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3</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ascii="宋体" w:hAnsi="宋体" w:cs="宋体"/>
                <w:kern w:val="0"/>
                <w:sz w:val="22"/>
                <w:szCs w:val="22"/>
              </w:rPr>
              <w:t>……</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4</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八、社会保障和就业支出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18</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124.48</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124.48</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5</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4"/>
                <w:szCs w:val="24"/>
              </w:rPr>
              <w:t>九、卫生健康支出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r>
              <w:rPr>
                <w:rFonts w:ascii="宋体" w:hAnsi="宋体" w:cs="宋体"/>
                <w:kern w:val="0"/>
                <w:sz w:val="22"/>
                <w:szCs w:val="22"/>
              </w:rPr>
              <w:t>24.23</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24.23</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6</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cs="Times New Roman"/>
                <w:kern w:val="0"/>
                <w:sz w:val="24"/>
                <w:szCs w:val="24"/>
              </w:rPr>
              <w:t>十一、城乡社区支出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2.59</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2.59</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7</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cs="Times New Roman"/>
                <w:kern w:val="0"/>
                <w:sz w:val="24"/>
                <w:szCs w:val="24"/>
              </w:rPr>
              <w:t>十二、农林水支出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37.2</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r>
              <w:rPr>
                <w:rFonts w:ascii="宋体" w:hAnsi="宋体" w:cs="宋体"/>
                <w:kern w:val="0"/>
                <w:sz w:val="22"/>
                <w:szCs w:val="22"/>
              </w:rPr>
              <w:t>37.2</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2"/>
              </w:rPr>
            </w:pPr>
          </w:p>
        </w:tc>
        <w:tc>
          <w:tcPr>
            <w:tcW w:w="436"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rPr>
            </w:pPr>
          </w:p>
        </w:tc>
        <w:tc>
          <w:tcPr>
            <w:tcW w:w="1078"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2"/>
              </w:rPr>
            </w:pPr>
          </w:p>
        </w:tc>
        <w:tc>
          <w:tcPr>
            <w:tcW w:w="3411" w:type="dxa"/>
            <w:gridSpan w:val="2"/>
            <w:tcBorders>
              <w:top w:val="nil"/>
              <w:left w:val="nil"/>
              <w:bottom w:val="single" w:color="auto" w:sz="4" w:space="0"/>
              <w:right w:val="single" w:color="auto" w:sz="4" w:space="0"/>
            </w:tcBorders>
            <w:noWrap/>
            <w:vAlign w:val="center"/>
          </w:tcPr>
          <w:p>
            <w:pPr>
              <w:widowControl/>
              <w:ind w:right="480"/>
              <w:rPr>
                <w:rFonts w:ascii="宋体" w:cs="Times New Roman"/>
                <w:kern w:val="0"/>
                <w:sz w:val="24"/>
                <w:szCs w:val="24"/>
              </w:rPr>
            </w:pPr>
            <w:r>
              <w:rPr>
                <w:rFonts w:hint="eastAsia" w:ascii="宋体" w:hAnsi="宋体" w:cs="宋体"/>
                <w:kern w:val="0"/>
                <w:sz w:val="22"/>
                <w:szCs w:val="22"/>
              </w:rPr>
              <w:t>十五、商业服务业等支出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rPr>
            </w:pPr>
            <w:r>
              <w:rPr>
                <w:rFonts w:ascii="宋体" w:hAnsi="宋体" w:cs="宋体"/>
                <w:kern w:val="0"/>
                <w:sz w:val="22"/>
                <w:szCs w:val="22"/>
              </w:rPr>
              <w:t>201.97</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rPr>
            </w:pPr>
            <w:r>
              <w:rPr>
                <w:rFonts w:ascii="宋体" w:hAnsi="宋体" w:cs="宋体"/>
                <w:kern w:val="0"/>
                <w:sz w:val="22"/>
                <w:szCs w:val="22"/>
              </w:rPr>
              <w:t>201.97</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2"/>
              </w:rPr>
            </w:pPr>
          </w:p>
        </w:tc>
        <w:tc>
          <w:tcPr>
            <w:tcW w:w="436"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rPr>
            </w:pPr>
          </w:p>
        </w:tc>
        <w:tc>
          <w:tcPr>
            <w:tcW w:w="1078"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2"/>
              </w:rPr>
            </w:pP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cs="Times New Roman"/>
                <w:kern w:val="0"/>
                <w:sz w:val="24"/>
                <w:szCs w:val="24"/>
              </w:rPr>
              <w:t>十九、住房保障支出</w:t>
            </w:r>
            <w:r>
              <w:rPr>
                <w:rFonts w:hint="eastAsia" w:ascii="宋体" w:hAnsi="宋体" w:cs="宋体"/>
                <w:kern w:val="0"/>
                <w:sz w:val="20"/>
                <w:szCs w:val="20"/>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rPr>
            </w:pPr>
            <w:r>
              <w:rPr>
                <w:rFonts w:ascii="宋体" w:hAnsi="宋体" w:cs="宋体"/>
                <w:kern w:val="0"/>
                <w:sz w:val="22"/>
                <w:szCs w:val="22"/>
              </w:rPr>
              <w:t>33.63</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rPr>
            </w:pPr>
            <w:r>
              <w:rPr>
                <w:rFonts w:ascii="宋体" w:hAnsi="宋体" w:cs="宋体"/>
                <w:kern w:val="0"/>
                <w:sz w:val="22"/>
                <w:szCs w:val="22"/>
              </w:rPr>
              <w:t>33.63</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2"/>
              </w:rPr>
            </w:pPr>
          </w:p>
        </w:tc>
        <w:tc>
          <w:tcPr>
            <w:tcW w:w="1573" w:type="dxa"/>
            <w:tcBorders>
              <w:top w:val="nil"/>
              <w:left w:val="nil"/>
              <w:bottom w:val="single" w:color="auto" w:sz="4" w:space="0"/>
              <w:right w:val="single" w:color="auto" w:sz="4" w:space="0"/>
            </w:tcBorders>
            <w:noWrap/>
            <w:vAlign w:val="center"/>
          </w:tcPr>
          <w:p>
            <w:pPr>
              <w:widowControl/>
              <w:jc w:val="right"/>
              <w:rPr>
                <w:rFonts w:ascii="宋体" w:hAnsi="宋体" w:cs="宋体"/>
                <w:kern w:val="0"/>
                <w:sz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rPr>
            </w:pPr>
            <w:r>
              <w:rPr>
                <w:rFonts w:hint="eastAsia" w:ascii="宋体" w:hAnsi="宋体" w:cs="宋体"/>
                <w:b/>
                <w:bCs/>
                <w:kern w:val="0"/>
                <w:sz w:val="22"/>
                <w:szCs w:val="22"/>
              </w:rPr>
              <w:t>本年收入合计</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9</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ascii="宋体" w:hAnsi="宋体" w:cs="宋体"/>
                <w:kern w:val="0"/>
                <w:sz w:val="22"/>
                <w:szCs w:val="22"/>
              </w:rPr>
              <w:t>1404.85</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1404.85</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1404.85</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年初财政拨款结转和结余</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10</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11</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25</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12</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26</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13</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ascii="宋体" w:hAnsi="宋体" w:cs="宋体"/>
                <w:kern w:val="0"/>
                <w:sz w:val="22"/>
                <w:szCs w:val="22"/>
              </w:rPr>
              <w:t>27</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rPr>
            </w:pPr>
            <w:r>
              <w:rPr>
                <w:rFonts w:hint="eastAsia" w:ascii="宋体" w:hAnsi="宋体" w:cs="宋体"/>
                <w:b/>
                <w:bCs/>
                <w:kern w:val="0"/>
                <w:sz w:val="22"/>
                <w:szCs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14</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rPr>
            </w:pPr>
            <w:r>
              <w:rPr>
                <w:rFonts w:ascii="宋体" w:hAnsi="宋体" w:cs="宋体"/>
                <w:kern w:val="0"/>
                <w:sz w:val="22"/>
                <w:szCs w:val="22"/>
              </w:rPr>
              <w:t>1404.85</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hint="eastAsia" w:ascii="宋体" w:hAnsi="宋体" w:cs="宋体"/>
                <w:kern w:val="0"/>
                <w:sz w:val="22"/>
                <w:szCs w:val="22"/>
              </w:rPr>
              <w:t>　</w:t>
            </w:r>
            <w:r>
              <w:rPr>
                <w:rFonts w:ascii="宋体" w:hAnsi="宋体" w:cs="宋体"/>
                <w:kern w:val="0"/>
                <w:sz w:val="22"/>
                <w:szCs w:val="22"/>
              </w:rPr>
              <w:t>1404.85</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rPr>
            </w:pPr>
            <w:r>
              <w:rPr>
                <w:rFonts w:ascii="宋体" w:hAnsi="宋体" w:cs="宋体"/>
                <w:kern w:val="0"/>
                <w:sz w:val="22"/>
                <w:szCs w:val="22"/>
              </w:rPr>
              <w:t>1404.85</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rPr>
            </w:pPr>
            <w:r>
              <w:rPr>
                <w:rFonts w:hint="eastAsia" w:ascii="宋体" w:hAnsi="宋体" w:cs="宋体"/>
                <w:b/>
                <w:bCs/>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585" w:hRule="atLeast"/>
        </w:trPr>
        <w:tc>
          <w:tcPr>
            <w:tcW w:w="15522" w:type="dxa"/>
            <w:gridSpan w:val="11"/>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tabs>
          <w:tab w:val="left" w:pos="8626"/>
        </w:tabs>
        <w:jc w:val="left"/>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ab/>
      </w: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rPr>
        <w:t>湘潭县商务局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6"/>
        <w:tblW w:w="14219" w:type="dxa"/>
        <w:jc w:val="center"/>
        <w:tblLayout w:type="autofit"/>
        <w:tblCellMar>
          <w:top w:w="0" w:type="dxa"/>
          <w:left w:w="108" w:type="dxa"/>
          <w:bottom w:w="0" w:type="dxa"/>
          <w:right w:w="108" w:type="dxa"/>
        </w:tblCellMar>
      </w:tblPr>
      <w:tblGrid>
        <w:gridCol w:w="14403"/>
      </w:tblGrid>
      <w:tr>
        <w:tblPrEx>
          <w:tblCellMar>
            <w:top w:w="0" w:type="dxa"/>
            <w:left w:w="108" w:type="dxa"/>
            <w:bottom w:w="0" w:type="dxa"/>
            <w:right w:w="108" w:type="dxa"/>
          </w:tblCellMar>
        </w:tblPrEx>
        <w:trPr>
          <w:trHeight w:val="645" w:hRule="atLeast"/>
          <w:jc w:val="center"/>
        </w:trPr>
        <w:tc>
          <w:tcPr>
            <w:tcW w:w="14219" w:type="dxa"/>
            <w:tcBorders>
              <w:top w:val="nil"/>
              <w:left w:val="nil"/>
              <w:bottom w:val="nil"/>
              <w:right w:val="nil"/>
            </w:tcBorders>
            <w:vAlign w:val="center"/>
          </w:tcPr>
          <w:tbl>
            <w:tblPr>
              <w:tblStyle w:val="6"/>
              <w:tblW w:w="14182" w:type="dxa"/>
              <w:tblInd w:w="0" w:type="dxa"/>
              <w:tblLayout w:type="autofit"/>
              <w:tblCellMar>
                <w:top w:w="0" w:type="dxa"/>
                <w:left w:w="108" w:type="dxa"/>
                <w:bottom w:w="0" w:type="dxa"/>
                <w:right w:w="108" w:type="dxa"/>
              </w:tblCellMar>
            </w:tblPr>
            <w:tblGrid>
              <w:gridCol w:w="436"/>
              <w:gridCol w:w="436"/>
              <w:gridCol w:w="436"/>
              <w:gridCol w:w="4888"/>
              <w:gridCol w:w="2410"/>
              <w:gridCol w:w="2552"/>
              <w:gridCol w:w="3024"/>
            </w:tblGrid>
            <w:tr>
              <w:tblPrEx>
                <w:tblCellMar>
                  <w:top w:w="0" w:type="dxa"/>
                  <w:left w:w="108" w:type="dxa"/>
                  <w:bottom w:w="0" w:type="dxa"/>
                  <w:right w:w="108" w:type="dxa"/>
                </w:tblCellMar>
              </w:tblPrEx>
              <w:trPr>
                <w:trHeight w:val="309" w:hRule="atLeast"/>
              </w:trPr>
              <w:tc>
                <w:tcPr>
                  <w:tcW w:w="619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项目</w:t>
                  </w:r>
                </w:p>
              </w:tc>
              <w:tc>
                <w:tcPr>
                  <w:tcW w:w="7986"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本年支出</w:t>
                  </w:r>
                </w:p>
              </w:tc>
            </w:tr>
            <w:tr>
              <w:tblPrEx>
                <w:tblCellMar>
                  <w:top w:w="0" w:type="dxa"/>
                  <w:left w:w="108" w:type="dxa"/>
                  <w:bottom w:w="0" w:type="dxa"/>
                  <w:right w:w="108" w:type="dxa"/>
                </w:tblCellMar>
              </w:tblPrEx>
              <w:trPr>
                <w:trHeight w:val="312" w:hRule="atLeast"/>
              </w:trPr>
              <w:tc>
                <w:tcPr>
                  <w:tcW w:w="1308" w:type="dxa"/>
                  <w:gridSpan w:val="3"/>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功能分类科目编码</w:t>
                  </w:r>
                </w:p>
              </w:tc>
              <w:tc>
                <w:tcPr>
                  <w:tcW w:w="4888" w:type="dxa"/>
                  <w:vMerge w:val="restar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科目名称</w:t>
                  </w:r>
                </w:p>
              </w:tc>
              <w:tc>
                <w:tcPr>
                  <w:tcW w:w="2410" w:type="dxa"/>
                  <w:vMerge w:val="restar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小计</w:t>
                  </w:r>
                </w:p>
              </w:tc>
              <w:tc>
                <w:tcPr>
                  <w:tcW w:w="2552" w:type="dxa"/>
                  <w:vMerge w:val="restar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基本支出</w:t>
                  </w:r>
                </w:p>
              </w:tc>
              <w:tc>
                <w:tcPr>
                  <w:tcW w:w="3024" w:type="dxa"/>
                  <w:vMerge w:val="restar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项目支出</w:t>
                  </w:r>
                </w:p>
              </w:tc>
            </w:tr>
            <w:tr>
              <w:tblPrEx>
                <w:tblCellMar>
                  <w:top w:w="0" w:type="dxa"/>
                  <w:left w:w="108" w:type="dxa"/>
                  <w:bottom w:w="0" w:type="dxa"/>
                  <w:right w:w="108" w:type="dxa"/>
                </w:tblCellMar>
              </w:tblPrEx>
              <w:trPr>
                <w:trHeight w:val="312" w:hRule="atLeast"/>
              </w:trPr>
              <w:tc>
                <w:tcPr>
                  <w:tcW w:w="1308"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4888"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241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2552"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3024"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r>
            <w:tr>
              <w:tblPrEx>
                <w:tblCellMar>
                  <w:top w:w="0" w:type="dxa"/>
                  <w:left w:w="108" w:type="dxa"/>
                  <w:bottom w:w="0" w:type="dxa"/>
                  <w:right w:w="108" w:type="dxa"/>
                </w:tblCellMar>
              </w:tblPrEx>
              <w:trPr>
                <w:trHeight w:val="615" w:hRule="atLeast"/>
              </w:trPr>
              <w:tc>
                <w:tcPr>
                  <w:tcW w:w="1308"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4888"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241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2552"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3024"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r>
            <w:tr>
              <w:tblPrEx>
                <w:tblCellMar>
                  <w:top w:w="0" w:type="dxa"/>
                  <w:left w:w="108" w:type="dxa"/>
                  <w:bottom w:w="0" w:type="dxa"/>
                  <w:right w:w="108" w:type="dxa"/>
                </w:tblCellMar>
              </w:tblPrEx>
              <w:trPr>
                <w:trHeight w:val="309" w:hRule="atLeast"/>
              </w:trPr>
              <w:tc>
                <w:tcPr>
                  <w:tcW w:w="43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类</w:t>
                  </w:r>
                </w:p>
              </w:tc>
              <w:tc>
                <w:tcPr>
                  <w:tcW w:w="436" w:type="dxa"/>
                  <w:vMerge w:val="restar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款</w:t>
                  </w:r>
                </w:p>
              </w:tc>
              <w:tc>
                <w:tcPr>
                  <w:tcW w:w="436" w:type="dxa"/>
                  <w:vMerge w:val="restar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项</w:t>
                  </w:r>
                </w:p>
              </w:tc>
              <w:tc>
                <w:tcPr>
                  <w:tcW w:w="488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栏次</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6</w:t>
                  </w:r>
                </w:p>
              </w:tc>
            </w:tr>
            <w:tr>
              <w:tblPrEx>
                <w:tblCellMar>
                  <w:top w:w="0" w:type="dxa"/>
                  <w:left w:w="108" w:type="dxa"/>
                  <w:bottom w:w="0" w:type="dxa"/>
                  <w:right w:w="108" w:type="dxa"/>
                </w:tblCellMar>
              </w:tblPrEx>
              <w:trPr>
                <w:trHeight w:val="309" w:hRule="atLeast"/>
              </w:trPr>
              <w:tc>
                <w:tcPr>
                  <w:tcW w:w="43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436"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436"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4888"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合计</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1,404.85</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717.88</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686.97</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一般公共服务支出</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980.75</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483.27</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497.48</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20104</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发展与改革事务</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30.00</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30.00</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2010499</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其他发展与改革事务支出</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30.00</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30.00</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20113</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商贸事务</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950.19</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482.78</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467.41</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2011301</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行政运行</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406.97</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406.97</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2011307</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国内贸易管理</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72.57</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72.57</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2011308</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招商引资</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115.93</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115.93</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2011399</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其他商贸事务支出</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354.72</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75.81</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278.91</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20133</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宣传事务</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0.55</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0.48</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0.07</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2013399</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其他宣传事务支出</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0.55</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0.48</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0.07</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社会保障和就业支出</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124.48</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124.48</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20805</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行政事业单位养老支出</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41.47</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41.47</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2080505</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机关事业单位基本养老保险缴费支出</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38.44</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38.44</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2080599</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其他行政事业单位养老支出</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3.03</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3.03</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20808</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抚恤</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83.01</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83.01</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2080801</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死亡抚恤</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83.01</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83.01</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210</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卫生健康支出</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24.23</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24.23</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21011</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行政事业单位医疗</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24.23</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24.23</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2101101</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行政单位医疗</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24.23</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24.23</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212</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城乡社区支出</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2.59</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2.59</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21299</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其他城乡社区支出</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2.59</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2.59</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2129999</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其他城乡社区支出</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2.59</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2.59</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213</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农林水支出</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37.20</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37.20</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21305</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巩固脱贫衔接乡村振兴</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37.20</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37.20</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2130599</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其他巩固脱贫衔接乡村振兴支出</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37.20</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37.20</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216</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商业服务业等支出</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201.97</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52.27</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149.70</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21602</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商业流通事务</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41.20</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41.20</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2160201</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行政运行</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21.20</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21.20</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2160299</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其他商业流通事务支出</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20.00</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20.00</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21606</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涉外发展服务支出</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20.00</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19.66</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0.34</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2160699</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其他涉外发展服务支出</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20.00</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19.66</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0.34</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21699</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其他商业服务业等支出</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140.77</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32.61</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108.16</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2169999</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其他商业服务业等支出</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140.77</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32.61</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108.16</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221</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住房保障支出</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33.63</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33.63</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22102</w:t>
                  </w:r>
                </w:p>
              </w:tc>
              <w:tc>
                <w:tcPr>
                  <w:tcW w:w="488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住房改革支出</w:t>
                  </w:r>
                </w:p>
              </w:tc>
              <w:tc>
                <w:tcPr>
                  <w:tcW w:w="241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33.63</w:t>
                  </w:r>
                </w:p>
              </w:tc>
              <w:tc>
                <w:tcPr>
                  <w:tcW w:w="255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33.63</w:t>
                  </w:r>
                </w:p>
              </w:tc>
              <w:tc>
                <w:tcPr>
                  <w:tcW w:w="302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9" w:hRule="atLeast"/>
              </w:trPr>
              <w:tc>
                <w:tcPr>
                  <w:tcW w:w="1308" w:type="dxa"/>
                  <w:gridSpan w:val="3"/>
                  <w:tcBorders>
                    <w:top w:val="nil"/>
                    <w:left w:val="single" w:color="000000" w:sz="4" w:space="0"/>
                    <w:bottom w:val="single" w:color="000000" w:sz="8"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2210201</w:t>
                  </w:r>
                </w:p>
              </w:tc>
              <w:tc>
                <w:tcPr>
                  <w:tcW w:w="4888" w:type="dxa"/>
                  <w:tcBorders>
                    <w:top w:val="nil"/>
                    <w:left w:val="nil"/>
                    <w:bottom w:val="single" w:color="000000" w:sz="8"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住房公积金</w:t>
                  </w:r>
                </w:p>
              </w:tc>
              <w:tc>
                <w:tcPr>
                  <w:tcW w:w="2410"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33.63</w:t>
                  </w:r>
                </w:p>
              </w:tc>
              <w:tc>
                <w:tcPr>
                  <w:tcW w:w="2552"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33.63</w:t>
                  </w:r>
                </w:p>
              </w:tc>
              <w:tc>
                <w:tcPr>
                  <w:tcW w:w="3024"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bl>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p>
      <w:pPr>
        <w:widowControl/>
        <w:jc w:val="left"/>
        <w:rPr>
          <w:rFonts w:ascii="Times New Roman" w:hAnsi="Times New Roman" w:eastAsia="仿宋_GB2312" w:cs="Times New Roman"/>
          <w:kern w:val="0"/>
        </w:rPr>
      </w:pPr>
    </w:p>
    <w:tbl>
      <w:tblPr>
        <w:tblStyle w:val="6"/>
        <w:tblW w:w="0" w:type="auto"/>
        <w:tblInd w:w="-106" w:type="dxa"/>
        <w:tblLayout w:type="fixed"/>
        <w:tblCellMar>
          <w:top w:w="0" w:type="dxa"/>
          <w:left w:w="108" w:type="dxa"/>
          <w:bottom w:w="0" w:type="dxa"/>
          <w:right w:w="108" w:type="dxa"/>
        </w:tblCellMar>
      </w:tblPr>
      <w:tblGrid>
        <w:gridCol w:w="1081"/>
        <w:gridCol w:w="3195"/>
        <w:gridCol w:w="1050"/>
        <w:gridCol w:w="1050"/>
        <w:gridCol w:w="2340"/>
        <w:gridCol w:w="1079"/>
        <w:gridCol w:w="1171"/>
        <w:gridCol w:w="3803"/>
        <w:gridCol w:w="951"/>
      </w:tblGrid>
      <w:tr>
        <w:tblPrEx>
          <w:tblCellMar>
            <w:top w:w="0" w:type="dxa"/>
            <w:left w:w="108" w:type="dxa"/>
            <w:bottom w:w="0" w:type="dxa"/>
            <w:right w:w="108" w:type="dxa"/>
          </w:tblCellMar>
        </w:tblPrEx>
        <w:trPr>
          <w:trHeight w:val="858" w:hRule="atLeast"/>
        </w:trPr>
        <w:tc>
          <w:tcPr>
            <w:tcW w:w="15720" w:type="dxa"/>
            <w:gridSpan w:val="9"/>
            <w:tcBorders>
              <w:top w:val="nil"/>
              <w:left w:val="nil"/>
              <w:bottom w:val="nil"/>
              <w:right w:val="nil"/>
            </w:tcBorders>
            <w:noWrap/>
            <w:vAlign w:val="center"/>
          </w:tcPr>
          <w:p>
            <w:pPr>
              <w:widowControl/>
              <w:jc w:val="center"/>
              <w:rPr>
                <w:rFonts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rPr>
              <w:t>一般公共预算财政拨款基本支出决算表</w:t>
            </w:r>
            <w:bookmarkEnd w:id="2"/>
          </w:p>
          <w:p>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rPr>
              <w:t>湘潭县商务局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tblPrEx>
          <w:tblCellMar>
            <w:top w:w="0" w:type="dxa"/>
            <w:left w:w="108" w:type="dxa"/>
            <w:bottom w:w="0" w:type="dxa"/>
            <w:right w:w="108" w:type="dxa"/>
          </w:tblCellMar>
        </w:tblPrEx>
        <w:trPr>
          <w:trHeight w:val="113" w:hRule="atLeast"/>
        </w:trPr>
        <w:tc>
          <w:tcPr>
            <w:tcW w:w="108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19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105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c>
          <w:tcPr>
            <w:tcW w:w="1050" w:type="dxa"/>
            <w:tcBorders>
              <w:top w:val="single" w:color="auto" w:sz="4" w:space="0"/>
              <w:left w:val="nil"/>
              <w:bottom w:val="single" w:color="auto" w:sz="4" w:space="0"/>
              <w:right w:val="single" w:color="auto" w:sz="4" w:space="0"/>
            </w:tcBorders>
            <w:vAlign w:val="center"/>
          </w:tcPr>
          <w:p>
            <w:pPr>
              <w:widowControl/>
              <w:jc w:val="center"/>
              <w:rPr>
                <w:rFonts w:ascii="宋体" w:hAnsi="Calibri" w:eastAsia="宋体" w:cs="Times New Roman"/>
                <w:color w:val="000000"/>
                <w:kern w:val="0"/>
                <w:sz w:val="21"/>
                <w:szCs w:val="21"/>
                <w:lang w:val="en-US" w:eastAsia="zh-CN" w:bidi="ar-SA"/>
              </w:rPr>
            </w:pPr>
            <w:r>
              <w:rPr>
                <w:rFonts w:hint="eastAsia" w:ascii="宋体" w:hAnsi="宋体" w:cs="宋体"/>
                <w:color w:val="000000"/>
                <w:kern w:val="0"/>
                <w:sz w:val="20"/>
                <w:szCs w:val="20"/>
              </w:rPr>
              <w:t>经济分类科目编码</w:t>
            </w:r>
          </w:p>
        </w:tc>
        <w:tc>
          <w:tcPr>
            <w:tcW w:w="234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1079"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c>
          <w:tcPr>
            <w:tcW w:w="1171" w:type="dxa"/>
            <w:tcBorders>
              <w:top w:val="single" w:color="auto" w:sz="4" w:space="0"/>
              <w:left w:val="nil"/>
              <w:bottom w:val="single" w:color="auto" w:sz="4" w:space="0"/>
              <w:right w:val="single" w:color="auto" w:sz="4" w:space="0"/>
            </w:tcBorders>
            <w:vAlign w:val="center"/>
          </w:tcPr>
          <w:p>
            <w:pPr>
              <w:widowControl/>
              <w:jc w:val="center"/>
              <w:rPr>
                <w:rFonts w:ascii="宋体" w:hAnsi="Calibri" w:eastAsia="宋体" w:cs="Times New Roman"/>
                <w:color w:val="000000"/>
                <w:kern w:val="0"/>
                <w:sz w:val="21"/>
                <w:szCs w:val="21"/>
                <w:lang w:val="en-US" w:eastAsia="zh-CN" w:bidi="ar-SA"/>
              </w:rPr>
            </w:pPr>
            <w:r>
              <w:rPr>
                <w:rFonts w:hint="eastAsia" w:ascii="宋体" w:hAnsi="宋体" w:cs="宋体"/>
                <w:color w:val="000000"/>
                <w:kern w:val="0"/>
                <w:sz w:val="20"/>
                <w:szCs w:val="20"/>
              </w:rPr>
              <w:t>经济分类科目编码</w:t>
            </w:r>
          </w:p>
        </w:tc>
        <w:tc>
          <w:tcPr>
            <w:tcW w:w="3803"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95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工资福利支出</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536.15</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商品和服务支出</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　93.17</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债务利息及费用支出</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30101</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217.43</w:t>
            </w:r>
          </w:p>
          <w:p>
            <w:pPr>
              <w:widowControl/>
              <w:jc w:val="right"/>
              <w:rPr>
                <w:rFonts w:hint="eastAsia" w:ascii="宋体" w:hAnsi="宋体" w:cs="宋体"/>
                <w:color w:val="000000"/>
                <w:kern w:val="0"/>
              </w:rPr>
            </w:pP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30201</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12.35</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30701</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368"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30102</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　36.36</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30202</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2.53</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30702</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30103</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　122.3</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30203</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资本性支出</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ascii="宋体" w:hAnsi="宋体" w:cs="宋体"/>
                <w:color w:val="000000"/>
                <w:kern w:val="0"/>
              </w:rPr>
              <w:t>0.96</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30106</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　24.08</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30204</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31001</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30107</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 xml:space="preserve">    4</w:t>
            </w:r>
          </w:p>
          <w:p>
            <w:pPr>
              <w:widowControl/>
              <w:jc w:val="right"/>
              <w:rPr>
                <w:rFonts w:hint="eastAsia" w:ascii="宋体" w:hAnsi="宋体" w:cs="宋体"/>
                <w:color w:val="000000"/>
                <w:kern w:val="0"/>
              </w:rPr>
            </w:pP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30205</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1.76</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31002</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ascii="宋体" w:hAnsi="宋体" w:cs="宋体"/>
                <w:color w:val="000000"/>
                <w:kern w:val="0"/>
              </w:rPr>
              <w:t>0.96</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30108</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37.81</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30206</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13.43</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31003</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30109</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3.04</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30207</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31005</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30110</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38.29</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30208</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31006</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30111</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0</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30209</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1</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31007</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30112</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1.17</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30211</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1.11</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31008</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30113</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51.67</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30212</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31009</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30114</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0</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30213</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8.59</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31010</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30199</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0</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30214</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31011</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对个人和家庭的补助</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　87.6</w:t>
            </w:r>
          </w:p>
          <w:p>
            <w:pPr>
              <w:widowControl/>
              <w:jc w:val="right"/>
              <w:rPr>
                <w:rFonts w:hint="eastAsia" w:ascii="宋体" w:hAnsi="宋体" w:cs="宋体"/>
                <w:color w:val="000000"/>
                <w:kern w:val="0"/>
              </w:rPr>
            </w:pPr>
            <w:r>
              <w:rPr>
                <w:rFonts w:hint="eastAsia" w:ascii="宋体" w:hAnsi="宋体" w:cs="宋体"/>
                <w:color w:val="000000"/>
                <w:kern w:val="0"/>
              </w:rPr>
              <w:t>87.6</w:t>
            </w:r>
          </w:p>
          <w:p>
            <w:pPr>
              <w:widowControl/>
              <w:jc w:val="right"/>
              <w:rPr>
                <w:rFonts w:hint="eastAsia" w:ascii="宋体" w:hAnsi="宋体" w:cs="宋体"/>
                <w:color w:val="000000"/>
                <w:kern w:val="0"/>
              </w:rPr>
            </w:pP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30215</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31012</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30301</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　0</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30216</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0.92</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31013</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30302</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　0</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30217</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公务接待费</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highlight w:val="none"/>
              </w:rPr>
            </w:pPr>
            <w:r>
              <w:rPr>
                <w:rFonts w:hint="eastAsia" w:ascii="宋体" w:hAnsi="宋体" w:cs="宋体"/>
                <w:color w:val="000000"/>
                <w:kern w:val="0"/>
                <w:highlight w:val="none"/>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31019</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30303</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　0</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30218</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31021</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30304</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83.25</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30224</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31022</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30305</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0.16</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30225</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31099</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30306</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0</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30226</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1.77</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其他支出</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30307</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0</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30227</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39906</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赠与</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30308</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0</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30228</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12.7</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39907</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30309</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0.87</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30229</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2.09</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39908</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30310</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0</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30231</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公务用车运行维护费</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highlight w:val="none"/>
              </w:rPr>
            </w:pPr>
            <w:r>
              <w:rPr>
                <w:rFonts w:hint="eastAsia" w:ascii="宋体" w:hAnsi="宋体" w:cs="宋体"/>
                <w:color w:val="000000"/>
                <w:kern w:val="0"/>
                <w:highlight w:val="none"/>
              </w:rPr>
              <w:t>2.4</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39999</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30311</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0</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30239</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29.51</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30399</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1050"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3.32</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30240</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0</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1081"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195"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05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30299</w:t>
            </w:r>
          </w:p>
        </w:tc>
        <w:tc>
          <w:tcPr>
            <w:tcW w:w="2340"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1079" w:type="dxa"/>
            <w:tcBorders>
              <w:top w:val="nil"/>
              <w:left w:val="nil"/>
              <w:bottom w:val="single" w:color="auto" w:sz="4" w:space="0"/>
              <w:right w:val="single" w:color="auto" w:sz="4" w:space="0"/>
            </w:tcBorders>
            <w:noWrap/>
            <w:vAlign w:val="center"/>
          </w:tcPr>
          <w:p>
            <w:pPr>
              <w:widowControl/>
              <w:jc w:val="right"/>
              <w:rPr>
                <w:rFonts w:hint="eastAsia" w:ascii="宋体" w:hAnsi="宋体" w:cs="宋体"/>
                <w:color w:val="000000"/>
                <w:kern w:val="0"/>
              </w:rPr>
            </w:pPr>
            <w:r>
              <w:rPr>
                <w:rFonts w:hint="eastAsia" w:ascii="宋体" w:hAnsi="宋体" w:cs="宋体"/>
                <w:color w:val="000000"/>
                <w:kern w:val="0"/>
              </w:rPr>
              <w:t>3.01</w:t>
            </w:r>
          </w:p>
        </w:tc>
        <w:tc>
          <w:tcPr>
            <w:tcW w:w="117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80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276"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人员经费合计</w:t>
            </w:r>
          </w:p>
        </w:tc>
        <w:tc>
          <w:tcPr>
            <w:tcW w:w="1050" w:type="dxa"/>
            <w:tcBorders>
              <w:top w:val="nil"/>
              <w:left w:val="nil"/>
              <w:bottom w:val="single" w:color="auto" w:sz="4" w:space="0"/>
              <w:right w:val="single" w:color="auto" w:sz="4" w:space="0"/>
            </w:tcBorders>
            <w:noWrap/>
            <w:vAlign w:val="center"/>
          </w:tcPr>
          <w:p>
            <w:pPr>
              <w:widowControl/>
              <w:jc w:val="right"/>
              <w:rPr>
                <w:rFonts w:ascii="宋体" w:cs="Times New Roman"/>
                <w:color w:val="000000"/>
                <w:kern w:val="0"/>
              </w:rPr>
            </w:pPr>
            <w:r>
              <w:rPr>
                <w:rFonts w:hint="eastAsia" w:ascii="宋体" w:hAnsi="宋体" w:cs="宋体"/>
                <w:color w:val="000000"/>
                <w:kern w:val="0"/>
                <w:lang w:val="en-US" w:eastAsia="zh-CN"/>
              </w:rPr>
              <w:t>623.75</w:t>
            </w:r>
          </w:p>
        </w:tc>
        <w:tc>
          <w:tcPr>
            <w:tcW w:w="9443" w:type="dxa"/>
            <w:gridSpan w:val="5"/>
            <w:tcBorders>
              <w:top w:val="single" w:color="auto" w:sz="4" w:space="0"/>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公用经费合计</w:t>
            </w:r>
          </w:p>
        </w:tc>
        <w:tc>
          <w:tcPr>
            <w:tcW w:w="951"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94.13</w:t>
            </w:r>
          </w:p>
        </w:tc>
      </w:tr>
      <w:tr>
        <w:tblPrEx>
          <w:tblCellMar>
            <w:top w:w="0" w:type="dxa"/>
            <w:left w:w="108" w:type="dxa"/>
            <w:bottom w:w="0" w:type="dxa"/>
            <w:right w:w="108" w:type="dxa"/>
          </w:tblCellMar>
        </w:tblPrEx>
        <w:trPr>
          <w:trHeight w:val="284" w:hRule="exact"/>
        </w:trPr>
        <w:tc>
          <w:tcPr>
            <w:tcW w:w="15720" w:type="dxa"/>
            <w:gridSpan w:val="9"/>
            <w:tcBorders>
              <w:top w:val="nil"/>
              <w:left w:val="nil"/>
              <w:bottom w:val="nil"/>
              <w:right w:val="nil"/>
            </w:tcBorders>
            <w:noWrap/>
            <w:vAlign w:val="center"/>
          </w:tcPr>
          <w:p>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部门：湘潭县商务局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80</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0</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仿宋_GB2312"/>
                <w:kern w:val="0"/>
              </w:rPr>
              <w:t>　4.5</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0</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4.5</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75.5</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r>
              <w:rPr>
                <w:rFonts w:ascii="Times New Roman" w:hAnsi="Times New Roman" w:eastAsia="仿宋_GB2312" w:cs="仿宋_GB2312"/>
                <w:kern w:val="0"/>
              </w:rPr>
              <w:t>64.94</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0</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sz w:val="21"/>
                <w:szCs w:val="21"/>
                <w:lang w:val="en-US" w:eastAsia="zh-CN" w:bidi="ar-SA"/>
              </w:rPr>
            </w:pPr>
            <w:r>
              <w:rPr>
                <w:rFonts w:hint="eastAsia" w:ascii="Times New Roman" w:hAnsi="Times New Roman" w:eastAsia="仿宋_GB2312" w:cs="仿宋_GB2312"/>
                <w:kern w:val="0"/>
              </w:rPr>
              <w:t>　4.48</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0　</w:t>
            </w:r>
          </w:p>
        </w:tc>
        <w:tc>
          <w:tcPr>
            <w:tcW w:w="1220" w:type="dxa"/>
            <w:tcBorders>
              <w:top w:val="nil"/>
              <w:left w:val="nil"/>
              <w:bottom w:val="single" w:color="auto" w:sz="8" w:space="0"/>
              <w:right w:val="nil"/>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4.48</w:t>
            </w:r>
          </w:p>
        </w:tc>
        <w:tc>
          <w:tcPr>
            <w:tcW w:w="1220" w:type="dxa"/>
            <w:tcBorders>
              <w:top w:val="nil"/>
              <w:left w:val="single" w:color="auto" w:sz="4" w:space="0"/>
              <w:bottom w:val="single" w:color="auto" w:sz="8" w:space="0"/>
              <w:right w:val="single" w:color="auto" w:sz="8"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60.46</w:t>
            </w:r>
          </w:p>
        </w:tc>
      </w:tr>
    </w:tbl>
    <w:p>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pPr>
        <w:autoSpaceDE w:val="0"/>
        <w:autoSpaceDN w:val="0"/>
        <w:adjustRightInd w:val="0"/>
        <w:ind w:left="315" w:leftChars="150"/>
        <w:jc w:val="left"/>
        <w:rPr>
          <w:rFonts w:ascii="宋体" w:cs="Times New Roman"/>
          <w:kern w:val="0"/>
          <w:sz w:val="24"/>
          <w:szCs w:val="24"/>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rPr>
        <w:t>湘潭县商务局</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pPr>
        <w:widowControl/>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6000" w:type="dxa"/>
            <w:gridSpan w:val="3"/>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32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000" w:type="dxa"/>
            <w:vMerge w:val="continue"/>
            <w:vAlign w:val="center"/>
          </w:tcPr>
          <w:p>
            <w:pPr>
              <w:widowControl/>
              <w:jc w:val="left"/>
              <w:rPr>
                <w:rFonts w:ascii="Times New Roman" w:hAnsi="Times New Roman" w:eastAsia="仿宋_GB2312" w:cs="Times New Roman"/>
                <w:b/>
                <w:bCs/>
                <w:kern w:val="0"/>
              </w:rPr>
            </w:pPr>
          </w:p>
        </w:tc>
        <w:tc>
          <w:tcPr>
            <w:tcW w:w="2000" w:type="dxa"/>
            <w:vMerge w:val="continue"/>
            <w:vAlign w:val="center"/>
          </w:tcPr>
          <w:p>
            <w:pPr>
              <w:widowControl/>
              <w:jc w:val="left"/>
              <w:rPr>
                <w:rFonts w:ascii="Times New Roman" w:hAnsi="Times New Roman" w:eastAsia="仿宋_GB2312" w:cs="Times New Roman"/>
                <w:b/>
                <w:bCs/>
                <w:kern w:val="0"/>
              </w:rPr>
            </w:pP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ascii="Times New Roman" w:hAnsi="Times New Roman" w:eastAsia="仿宋_GB2312" w:cs="Times New Roman"/>
                <w:b/>
                <w:bCs/>
                <w:kern w:val="0"/>
              </w:rPr>
              <w:t xml:space="preserve">  </w:t>
            </w:r>
          </w:p>
        </w:tc>
        <w:tc>
          <w:tcPr>
            <w:tcW w:w="200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2000" w:type="dxa"/>
            <w:vMerge w:val="continue"/>
            <w:vAlign w:val="center"/>
          </w:tcPr>
          <w:p>
            <w:pPr>
              <w:widowControl/>
              <w:jc w:val="left"/>
              <w:rPr>
                <w:rFonts w:ascii="Times New Roman" w:hAnsi="Times New Roman" w:eastAsia="仿宋_GB2312" w:cs="Times New Roman"/>
                <w:b/>
                <w:bCs/>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132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132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c>
          <w:tcPr>
            <w:tcW w:w="2000"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　</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0</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0</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　</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　</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无</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pPr>
        <w:widowControl/>
        <w:jc w:val="left"/>
        <w:rPr>
          <w:rFonts w:ascii="Times New Roman" w:hAnsi="Times New Roman" w:eastAsia="仿宋_GB2312" w:cs="Times New Roman"/>
          <w:kern w:val="0"/>
        </w:rPr>
      </w:pPr>
      <w:r>
        <w:rPr>
          <w:rFonts w:ascii="Times New Roman" w:hAnsi="Times New Roman" w:eastAsia="仿宋_GB2312" w:cs="Times New Roman"/>
          <w:kern w:val="0"/>
        </w:rPr>
        <w:t>(</w:t>
      </w:r>
      <w:r>
        <w:rPr>
          <w:rFonts w:hint="eastAsia" w:ascii="Times New Roman" w:hAnsi="Times New Roman" w:eastAsia="仿宋_GB2312" w:cs="仿宋_GB2312"/>
          <w:kern w:val="0"/>
        </w:rPr>
        <w:t>说明：</w:t>
      </w:r>
      <w:r>
        <w:rPr>
          <w:rFonts w:hint="eastAsia" w:ascii="Times New Roman" w:hAnsi="Times New Roman" w:eastAsia="仿宋_GB2312" w:cs="Times New Roman"/>
          <w:kern w:val="0"/>
          <w:lang w:val="en-US" w:eastAsia="zh-CN"/>
        </w:rPr>
        <w:t>本</w:t>
      </w:r>
      <w:r>
        <w:rPr>
          <w:rFonts w:hint="eastAsia" w:ascii="Times New Roman" w:hAnsi="Times New Roman" w:eastAsia="仿宋_GB2312" w:cs="仿宋_GB2312"/>
          <w:kern w:val="0"/>
        </w:rPr>
        <w:t>单位没有政府性基金收入，也没有使用政府性基金安排的支出，故本表无数据</w:t>
      </w:r>
      <w:r>
        <w:rPr>
          <w:rFonts w:ascii="Times New Roman" w:hAnsi="Times New Roman" w:eastAsia="仿宋_GB2312" w:cs="Times New Roman"/>
          <w:kern w:val="0"/>
        </w:rPr>
        <w:t>)</w:t>
      </w:r>
      <w:r>
        <w:rPr>
          <w:rFonts w:hint="eastAsia" w:ascii="Times New Roman" w:hAnsi="Times New Roman" w:eastAsia="仿宋_GB2312" w:cs="仿宋_GB2312"/>
          <w:kern w:val="0"/>
        </w:rPr>
        <w:t>。</w:t>
      </w:r>
    </w:p>
    <w:p>
      <w:pPr>
        <w:widowControl/>
        <w:jc w:val="left"/>
        <w:rPr>
          <w:rFonts w:ascii="黑体" w:hAnsi="黑体" w:eastAsia="黑体" w:cs="Times New Roman"/>
        </w:rPr>
      </w:pPr>
      <w:r>
        <w:rPr>
          <w:rFonts w:ascii="黑体" w:hAnsi="黑体" w:eastAsia="黑体" w:cs="Times New Roman"/>
        </w:rPr>
        <w:br w:type="page"/>
      </w:r>
    </w:p>
    <w:tbl>
      <w:tblPr>
        <w:tblStyle w:val="6"/>
        <w:tblW w:w="14190" w:type="dxa"/>
        <w:tblInd w:w="605"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85" w:hRule="atLeast"/>
        </w:trPr>
        <w:tc>
          <w:tcPr>
            <w:tcW w:w="4835" w:type="dxa"/>
            <w:gridSpan w:val="4"/>
            <w:tcBorders>
              <w:top w:val="nil"/>
              <w:left w:val="nil"/>
              <w:bottom w:val="nil"/>
              <w:right w:val="nil"/>
            </w:tcBorders>
            <w:shd w:val="clear" w:color="000000" w:fill="FFFFFF"/>
            <w:noWrap/>
            <w:vAlign w:val="center"/>
          </w:tcPr>
          <w:p>
            <w:pPr>
              <w:widowControl/>
              <w:jc w:val="left"/>
              <w:rPr>
                <w:rFonts w:ascii="宋体" w:cs="Times New Roman"/>
                <w:kern w:val="0"/>
                <w:sz w:val="20"/>
                <w:szCs w:val="20"/>
              </w:rPr>
            </w:pPr>
            <w:r>
              <w:rPr>
                <w:rFonts w:hint="eastAsia" w:ascii="宋体" w:hAnsi="宋体" w:cs="宋体"/>
                <w:color w:val="000000"/>
                <w:kern w:val="0"/>
                <w:sz w:val="20"/>
                <w:szCs w:val="20"/>
              </w:rPr>
              <w:t>部门：</w:t>
            </w:r>
            <w:r>
              <w:rPr>
                <w:rFonts w:hint="eastAsia" w:ascii="Times New Roman" w:hAnsi="Times New Roman" w:eastAsia="仿宋_GB2312" w:cs="Times New Roman"/>
                <w:color w:val="000000"/>
                <w:kern w:val="0"/>
              </w:rPr>
              <w:t>湘潭县商务局</w:t>
            </w:r>
            <w:r>
              <w:rPr>
                <w:rFonts w:hint="eastAsia" w:ascii="宋体" w:hAnsi="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0　</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0　</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0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无</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pPr>
              <w:widowControl/>
              <w:jc w:val="left"/>
              <w:rPr>
                <w:rFonts w:hint="eastAsia" w:ascii="宋体" w:hAnsi="宋体" w:cs="宋体"/>
                <w:kern w:val="0"/>
                <w:sz w:val="24"/>
                <w:szCs w:val="24"/>
              </w:rPr>
            </w:pPr>
            <w:r>
              <w:rPr>
                <w:rFonts w:hint="eastAsia" w:ascii="宋体" w:hAnsi="宋体" w:cs="宋体"/>
                <w:kern w:val="0"/>
                <w:sz w:val="24"/>
                <w:szCs w:val="24"/>
              </w:rPr>
              <w:t>注：本表反映部门本年度国有资本经营预算财政拨款支出情况。</w:t>
            </w:r>
          </w:p>
          <w:p>
            <w:pPr>
              <w:widowControl/>
              <w:ind w:firstLine="480" w:firstLineChars="200"/>
              <w:jc w:val="left"/>
              <w:rPr>
                <w:rFonts w:hint="eastAsia" w:ascii="宋体" w:hAnsi="宋体" w:cs="宋体"/>
                <w:kern w:val="0"/>
                <w:sz w:val="24"/>
                <w:szCs w:val="24"/>
              </w:rPr>
            </w:pPr>
            <w:r>
              <w:rPr>
                <w:rFonts w:hint="eastAsia" w:ascii="宋体" w:hAnsi="宋体" w:cs="宋体"/>
                <w:kern w:val="0"/>
                <w:sz w:val="24"/>
                <w:szCs w:val="24"/>
                <w:lang w:val="en-US" w:eastAsia="zh-CN"/>
              </w:rPr>
              <w:t>本单位</w:t>
            </w:r>
            <w:r>
              <w:rPr>
                <w:rFonts w:hint="eastAsia" w:ascii="宋体" w:hAnsi="宋体" w:cs="宋体"/>
                <w:kern w:val="0"/>
                <w:sz w:val="24"/>
                <w:szCs w:val="24"/>
              </w:rPr>
              <w:t>没有国有资本经营预算收入，也没有使用国有资本经营安排的支出，故本表无数据</w:t>
            </w:r>
          </w:p>
        </w:tc>
      </w:tr>
    </w:tbl>
    <w:p>
      <w:pPr>
        <w:pStyle w:val="11"/>
        <w:rPr>
          <w:rFonts w:cs="Times New Roman"/>
          <w:sz w:val="72"/>
          <w:szCs w:val="72"/>
        </w:rPr>
        <w:sectPr>
          <w:pgSz w:w="16838" w:h="11906" w:orient="landscape"/>
          <w:pgMar w:top="720" w:right="720" w:bottom="720" w:left="720" w:header="851" w:footer="992" w:gutter="0"/>
          <w:cols w:space="425" w:num="1"/>
          <w:docGrid w:type="lines" w:linePitch="312" w:charSpace="0"/>
        </w:sectPr>
      </w:pPr>
    </w:p>
    <w:p>
      <w:pPr>
        <w:pStyle w:val="11"/>
        <w:ind w:firstLine="2520" w:firstLineChars="350"/>
        <w:rPr>
          <w:rFonts w:cs="Times New Roman"/>
          <w:sz w:val="72"/>
          <w:szCs w:val="72"/>
        </w:rPr>
      </w:pPr>
    </w:p>
    <w:p>
      <w:pPr>
        <w:pStyle w:val="11"/>
        <w:ind w:firstLine="2520" w:firstLineChars="350"/>
        <w:rPr>
          <w:rFonts w:cs="Times New Roman"/>
          <w:sz w:val="72"/>
          <w:szCs w:val="72"/>
        </w:rPr>
      </w:pPr>
    </w:p>
    <w:p>
      <w:pPr>
        <w:pStyle w:val="11"/>
        <w:ind w:firstLine="2520" w:firstLineChars="350"/>
        <w:rPr>
          <w:rFonts w:cs="Times New Roman"/>
          <w:sz w:val="72"/>
          <w:szCs w:val="72"/>
        </w:rPr>
      </w:pPr>
    </w:p>
    <w:p>
      <w:pPr>
        <w:pStyle w:val="11"/>
        <w:ind w:firstLine="2520" w:firstLineChars="350"/>
        <w:rPr>
          <w:rFonts w:hint="eastAsia" w:cs="Times New Roman"/>
          <w:sz w:val="72"/>
          <w:szCs w:val="72"/>
        </w:rPr>
      </w:pPr>
    </w:p>
    <w:p>
      <w:pPr>
        <w:pStyle w:val="11"/>
        <w:ind w:firstLine="2520" w:firstLineChars="350"/>
        <w:rPr>
          <w:rFonts w:hint="eastAsia" w:cs="Times New Roman"/>
          <w:sz w:val="72"/>
          <w:szCs w:val="72"/>
        </w:rPr>
      </w:pPr>
    </w:p>
    <w:p>
      <w:pPr>
        <w:pStyle w:val="11"/>
        <w:ind w:firstLine="2520" w:firstLineChars="350"/>
        <w:rPr>
          <w:rFonts w:cs="Times New Roman"/>
          <w:sz w:val="72"/>
          <w:szCs w:val="72"/>
        </w:rPr>
      </w:pPr>
    </w:p>
    <w:p>
      <w:pPr>
        <w:pStyle w:val="11"/>
        <w:ind w:firstLine="2520" w:firstLineChars="350"/>
        <w:rPr>
          <w:rFonts w:ascii="宋体" w:hAnsi="宋体" w:eastAsia="宋体" w:cs="Times New Roman"/>
          <w:sz w:val="72"/>
          <w:szCs w:val="72"/>
        </w:rPr>
      </w:pPr>
    </w:p>
    <w:p>
      <w:pPr>
        <w:pStyle w:val="11"/>
        <w:ind w:firstLine="3240" w:firstLineChars="450"/>
        <w:rPr>
          <w:rFonts w:ascii="宋体" w:hAnsi="宋体" w:eastAsia="宋体" w:cs="Times New Roman"/>
          <w:sz w:val="72"/>
          <w:szCs w:val="72"/>
        </w:rPr>
      </w:pPr>
      <w:r>
        <w:rPr>
          <w:rFonts w:hint="eastAsia" w:ascii="宋体" w:hAnsi="宋体" w:eastAsia="宋体" w:cs="宋体"/>
          <w:sz w:val="72"/>
          <w:szCs w:val="72"/>
        </w:rPr>
        <w:t>第三部分</w:t>
      </w:r>
    </w:p>
    <w:p>
      <w:pPr>
        <w:pStyle w:val="11"/>
        <w:jc w:val="center"/>
        <w:rPr>
          <w:rFonts w:ascii="宋体" w:hAnsi="宋体" w:eastAsia="宋体" w:cs="Times New Roman"/>
          <w:sz w:val="72"/>
          <w:szCs w:val="72"/>
        </w:rPr>
      </w:pPr>
    </w:p>
    <w:p>
      <w:pPr>
        <w:pStyle w:val="11"/>
        <w:jc w:val="center"/>
        <w:rPr>
          <w:rFonts w:ascii="宋体" w:hAnsi="宋体" w:eastAsia="宋体" w:cs="Times New Roman"/>
          <w:sz w:val="72"/>
          <w:szCs w:val="72"/>
        </w:rPr>
      </w:pPr>
      <w:r>
        <w:rPr>
          <w:rFonts w:ascii="宋体" w:hAnsi="宋体" w:eastAsia="宋体" w:cs="宋体"/>
          <w:sz w:val="72"/>
          <w:szCs w:val="72"/>
        </w:rPr>
        <w:t>202</w:t>
      </w:r>
      <w:r>
        <w:rPr>
          <w:rFonts w:hint="eastAsia" w:ascii="宋体" w:hAnsi="宋体" w:eastAsia="宋体" w:cs="宋体"/>
          <w:sz w:val="72"/>
          <w:szCs w:val="72"/>
        </w:rPr>
        <w:t>2年度部门决算情况说明</w:t>
      </w:r>
    </w:p>
    <w:p>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pPr>
        <w:pStyle w:val="11"/>
        <w:rPr>
          <w:rFonts w:hAnsi="黑体" w:cs="Times New Roman"/>
          <w:b/>
          <w:bCs/>
          <w:sz w:val="32"/>
          <w:szCs w:val="32"/>
        </w:rPr>
      </w:pPr>
      <w:r>
        <w:rPr>
          <w:rFonts w:hint="eastAsia" w:hAnsi="黑体"/>
          <w:b/>
          <w:bCs/>
          <w:sz w:val="32"/>
          <w:szCs w:val="32"/>
        </w:rPr>
        <w:t>一、收入支出决算总体情况说明</w:t>
      </w:r>
    </w:p>
    <w:p>
      <w:pPr>
        <w:pStyle w:val="11"/>
        <w:ind w:firstLine="640" w:firstLineChars="200"/>
        <w:rPr>
          <w:rFonts w:ascii="宋体" w:hAnsi="宋体" w:eastAsia="宋体" w:cs="宋体"/>
          <w:sz w:val="32"/>
          <w:szCs w:val="32"/>
        </w:rPr>
      </w:pPr>
      <w:r>
        <w:rPr>
          <w:rFonts w:ascii="宋体" w:hAnsi="宋体" w:eastAsia="宋体" w:cs="宋体"/>
          <w:sz w:val="32"/>
          <w:szCs w:val="32"/>
        </w:rPr>
        <w:t>202</w:t>
      </w:r>
      <w:r>
        <w:rPr>
          <w:rFonts w:hint="eastAsia" w:ascii="宋体" w:hAnsi="宋体" w:eastAsia="宋体" w:cs="宋体"/>
          <w:sz w:val="32"/>
          <w:szCs w:val="32"/>
        </w:rPr>
        <w:t>2年度收、支总计</w:t>
      </w:r>
      <w:r>
        <w:rPr>
          <w:rFonts w:ascii="宋体" w:hAnsi="宋体" w:eastAsia="宋体" w:cs="宋体"/>
          <w:sz w:val="32"/>
          <w:szCs w:val="32"/>
        </w:rPr>
        <w:t>1409.73</w:t>
      </w:r>
      <w:r>
        <w:rPr>
          <w:rFonts w:hint="eastAsia" w:ascii="宋体" w:hAnsi="宋体" w:eastAsia="宋体" w:cs="宋体"/>
          <w:sz w:val="32"/>
          <w:szCs w:val="32"/>
        </w:rPr>
        <w:t>万元。与上年相比，减少</w:t>
      </w:r>
      <w:r>
        <w:rPr>
          <w:rFonts w:ascii="宋体" w:hAnsi="宋体" w:eastAsia="宋体" w:cs="宋体"/>
          <w:sz w:val="32"/>
          <w:szCs w:val="32"/>
        </w:rPr>
        <w:t>82.29</w:t>
      </w:r>
      <w:r>
        <w:rPr>
          <w:rFonts w:hint="eastAsia" w:ascii="宋体" w:hAnsi="宋体" w:eastAsia="宋体" w:cs="宋体"/>
          <w:sz w:val="32"/>
          <w:szCs w:val="32"/>
        </w:rPr>
        <w:t>万元，减少5.51</w:t>
      </w:r>
      <w:r>
        <w:rPr>
          <w:rFonts w:ascii="宋体" w:hAnsi="宋体" w:eastAsia="宋体" w:cs="宋体"/>
          <w:sz w:val="32"/>
          <w:szCs w:val="32"/>
        </w:rPr>
        <w:t>%</w:t>
      </w:r>
      <w:r>
        <w:rPr>
          <w:rFonts w:hint="eastAsia" w:ascii="宋体" w:hAnsi="宋体" w:eastAsia="宋体" w:cs="宋体"/>
          <w:sz w:val="32"/>
          <w:szCs w:val="32"/>
        </w:rPr>
        <w:t>，主要是项目资金减少。</w:t>
      </w:r>
    </w:p>
    <w:p>
      <w:pPr>
        <w:pStyle w:val="11"/>
        <w:rPr>
          <w:rFonts w:hAnsi="黑体" w:cs="Times New Roman"/>
          <w:b/>
          <w:bCs/>
          <w:sz w:val="32"/>
          <w:szCs w:val="32"/>
        </w:rPr>
      </w:pPr>
      <w:r>
        <w:rPr>
          <w:rFonts w:hint="eastAsia" w:hAnsi="黑体"/>
          <w:b/>
          <w:bCs/>
          <w:sz w:val="32"/>
          <w:szCs w:val="32"/>
        </w:rPr>
        <w:t>二、收入决算情况说明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本年收入合计</w:t>
      </w:r>
      <w:r>
        <w:rPr>
          <w:rFonts w:ascii="宋体" w:hAnsi="宋体" w:eastAsia="宋体" w:cs="宋体"/>
          <w:sz w:val="32"/>
          <w:szCs w:val="32"/>
        </w:rPr>
        <w:t>1409.73</w:t>
      </w:r>
      <w:r>
        <w:rPr>
          <w:rFonts w:hint="eastAsia" w:ascii="宋体" w:hAnsi="宋体" w:eastAsia="宋体" w:cs="宋体"/>
          <w:sz w:val="32"/>
          <w:szCs w:val="32"/>
        </w:rPr>
        <w:t>万元，其中：财政拨款收入</w:t>
      </w:r>
      <w:r>
        <w:rPr>
          <w:rFonts w:ascii="宋体" w:hAnsi="宋体" w:eastAsia="宋体" w:cs="宋体"/>
          <w:sz w:val="32"/>
          <w:szCs w:val="32"/>
        </w:rPr>
        <w:t>1404.85</w:t>
      </w:r>
      <w:r>
        <w:rPr>
          <w:rFonts w:hint="eastAsia" w:ascii="宋体" w:hAnsi="宋体" w:eastAsia="宋体" w:cs="宋体"/>
          <w:sz w:val="32"/>
          <w:szCs w:val="32"/>
        </w:rPr>
        <w:t>万元，占99.65</w:t>
      </w:r>
      <w:r>
        <w:rPr>
          <w:rFonts w:ascii="宋体" w:hAnsi="宋体" w:eastAsia="宋体" w:cs="宋体"/>
          <w:sz w:val="32"/>
          <w:szCs w:val="32"/>
        </w:rPr>
        <w:t>%</w:t>
      </w:r>
      <w:r>
        <w:rPr>
          <w:rFonts w:hint="eastAsia" w:ascii="宋体" w:hAnsi="宋体" w:eastAsia="宋体" w:cs="宋体"/>
          <w:sz w:val="32"/>
          <w:szCs w:val="32"/>
        </w:rPr>
        <w:t>；上级补助收入0万元，占0</w:t>
      </w:r>
      <w:r>
        <w:rPr>
          <w:rFonts w:ascii="宋体" w:hAnsi="宋体" w:eastAsia="宋体" w:cs="宋体"/>
          <w:sz w:val="32"/>
          <w:szCs w:val="32"/>
        </w:rPr>
        <w:t>%</w:t>
      </w:r>
      <w:r>
        <w:rPr>
          <w:rFonts w:hint="eastAsia" w:ascii="宋体" w:hAnsi="宋体" w:eastAsia="宋体" w:cs="宋体"/>
          <w:sz w:val="32"/>
          <w:szCs w:val="32"/>
        </w:rPr>
        <w:t>；事业收入0万元，占0</w:t>
      </w:r>
      <w:r>
        <w:rPr>
          <w:rFonts w:ascii="宋体" w:hAnsi="宋体" w:eastAsia="宋体" w:cs="宋体"/>
          <w:sz w:val="32"/>
          <w:szCs w:val="32"/>
        </w:rPr>
        <w:t>%</w:t>
      </w:r>
      <w:r>
        <w:rPr>
          <w:rFonts w:hint="eastAsia" w:ascii="宋体" w:hAnsi="宋体" w:eastAsia="宋体" w:cs="宋体"/>
          <w:sz w:val="32"/>
          <w:szCs w:val="32"/>
        </w:rPr>
        <w:t>；经营收入0万元，占0</w:t>
      </w:r>
      <w:r>
        <w:rPr>
          <w:rFonts w:ascii="宋体" w:hAnsi="宋体" w:eastAsia="宋体" w:cs="宋体"/>
          <w:sz w:val="32"/>
          <w:szCs w:val="32"/>
        </w:rPr>
        <w:t>%</w:t>
      </w:r>
      <w:r>
        <w:rPr>
          <w:rFonts w:hint="eastAsia" w:ascii="宋体" w:hAnsi="宋体" w:eastAsia="宋体" w:cs="宋体"/>
          <w:sz w:val="32"/>
          <w:szCs w:val="32"/>
        </w:rPr>
        <w:t>；附属单位上缴收入0万元，占0</w:t>
      </w:r>
      <w:r>
        <w:rPr>
          <w:rFonts w:ascii="宋体" w:hAnsi="宋体" w:eastAsia="宋体" w:cs="宋体"/>
          <w:sz w:val="32"/>
          <w:szCs w:val="32"/>
        </w:rPr>
        <w:t>%</w:t>
      </w:r>
      <w:r>
        <w:rPr>
          <w:rFonts w:hint="eastAsia" w:ascii="宋体" w:hAnsi="宋体" w:eastAsia="宋体" w:cs="宋体"/>
          <w:sz w:val="32"/>
          <w:szCs w:val="32"/>
        </w:rPr>
        <w:t>；其他收入4.88万元，占0.35</w:t>
      </w:r>
      <w:r>
        <w:rPr>
          <w:rFonts w:ascii="宋体" w:hAnsi="宋体" w:eastAsia="宋体" w:cs="宋体"/>
          <w:sz w:val="32"/>
          <w:szCs w:val="32"/>
        </w:rPr>
        <w:t>%</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三、支出决算情况说明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本年支出合计</w:t>
      </w:r>
      <w:r>
        <w:rPr>
          <w:rFonts w:ascii="宋体" w:hAnsi="宋体" w:eastAsia="宋体" w:cs="宋体"/>
          <w:sz w:val="32"/>
          <w:szCs w:val="32"/>
        </w:rPr>
        <w:t>1409.73</w:t>
      </w:r>
      <w:r>
        <w:rPr>
          <w:rFonts w:hint="eastAsia" w:ascii="宋体" w:hAnsi="宋体" w:eastAsia="宋体" w:cs="宋体"/>
          <w:sz w:val="32"/>
          <w:szCs w:val="32"/>
        </w:rPr>
        <w:t>万元，其中：基本支出</w:t>
      </w:r>
      <w:r>
        <w:rPr>
          <w:rFonts w:ascii="宋体" w:hAnsi="宋体" w:eastAsia="宋体" w:cs="宋体"/>
          <w:sz w:val="32"/>
          <w:szCs w:val="32"/>
        </w:rPr>
        <w:t>722.76</w:t>
      </w:r>
      <w:r>
        <w:rPr>
          <w:rFonts w:hint="eastAsia" w:ascii="宋体" w:hAnsi="宋体" w:eastAsia="宋体" w:cs="宋体"/>
          <w:sz w:val="32"/>
          <w:szCs w:val="32"/>
        </w:rPr>
        <w:t>万元，占51.27</w:t>
      </w:r>
      <w:r>
        <w:rPr>
          <w:rFonts w:ascii="宋体" w:hAnsi="宋体" w:eastAsia="宋体" w:cs="宋体"/>
          <w:sz w:val="32"/>
          <w:szCs w:val="32"/>
        </w:rPr>
        <w:t>%</w:t>
      </w:r>
      <w:r>
        <w:rPr>
          <w:rFonts w:hint="eastAsia" w:ascii="宋体" w:hAnsi="宋体" w:eastAsia="宋体" w:cs="宋体"/>
          <w:sz w:val="32"/>
          <w:szCs w:val="32"/>
        </w:rPr>
        <w:t>；项目支出</w:t>
      </w:r>
      <w:r>
        <w:rPr>
          <w:rFonts w:ascii="宋体" w:hAnsi="宋体" w:eastAsia="宋体" w:cs="宋体"/>
          <w:sz w:val="32"/>
          <w:szCs w:val="32"/>
        </w:rPr>
        <w:t>686.97</w:t>
      </w:r>
      <w:r>
        <w:rPr>
          <w:rFonts w:hint="eastAsia" w:ascii="宋体" w:hAnsi="宋体" w:eastAsia="宋体" w:cs="宋体"/>
          <w:sz w:val="32"/>
          <w:szCs w:val="32"/>
        </w:rPr>
        <w:t>万元，占48.73</w:t>
      </w:r>
      <w:r>
        <w:rPr>
          <w:rFonts w:ascii="宋体" w:hAnsi="宋体" w:eastAsia="宋体" w:cs="宋体"/>
          <w:sz w:val="32"/>
          <w:szCs w:val="32"/>
        </w:rPr>
        <w:t>%</w:t>
      </w:r>
      <w:r>
        <w:rPr>
          <w:rFonts w:hint="eastAsia" w:ascii="宋体" w:hAnsi="宋体" w:eastAsia="宋体" w:cs="宋体"/>
          <w:sz w:val="32"/>
          <w:szCs w:val="32"/>
        </w:rPr>
        <w:t>；上缴上级支出0万元，占0</w:t>
      </w:r>
      <w:r>
        <w:rPr>
          <w:rFonts w:ascii="宋体" w:hAnsi="宋体" w:eastAsia="宋体" w:cs="宋体"/>
          <w:sz w:val="32"/>
          <w:szCs w:val="32"/>
        </w:rPr>
        <w:t>%</w:t>
      </w:r>
      <w:r>
        <w:rPr>
          <w:rFonts w:hint="eastAsia" w:ascii="宋体" w:hAnsi="宋体" w:eastAsia="宋体" w:cs="宋体"/>
          <w:sz w:val="32"/>
          <w:szCs w:val="32"/>
        </w:rPr>
        <w:t>；经营支出0万元，占0</w:t>
      </w:r>
      <w:r>
        <w:rPr>
          <w:rFonts w:ascii="宋体" w:hAnsi="宋体" w:eastAsia="宋体" w:cs="宋体"/>
          <w:sz w:val="32"/>
          <w:szCs w:val="32"/>
        </w:rPr>
        <w:t>%</w:t>
      </w:r>
      <w:r>
        <w:rPr>
          <w:rFonts w:hint="eastAsia" w:ascii="宋体" w:hAnsi="宋体" w:eastAsia="宋体" w:cs="宋体"/>
          <w:sz w:val="32"/>
          <w:szCs w:val="32"/>
        </w:rPr>
        <w:t>；对附属单位补助支出0万元，占0</w:t>
      </w:r>
      <w:r>
        <w:rPr>
          <w:rFonts w:ascii="宋体" w:hAnsi="宋体" w:eastAsia="宋体" w:cs="宋体"/>
          <w:sz w:val="32"/>
          <w:szCs w:val="32"/>
        </w:rPr>
        <w:t>%</w:t>
      </w:r>
      <w:r>
        <w:rPr>
          <w:rFonts w:hint="eastAsia" w:ascii="宋体" w:hAnsi="宋体" w:eastAsia="宋体" w:cs="宋体"/>
          <w:sz w:val="32"/>
          <w:szCs w:val="32"/>
        </w:rPr>
        <w:t>。</w:t>
      </w:r>
    </w:p>
    <w:p>
      <w:pPr>
        <w:pStyle w:val="11"/>
        <w:rPr>
          <w:rFonts w:hAnsi="黑体" w:cs="Times New Roman"/>
          <w:b/>
          <w:bCs/>
          <w:sz w:val="32"/>
          <w:szCs w:val="32"/>
        </w:rPr>
      </w:pPr>
      <w:r>
        <w:rPr>
          <w:rFonts w:hint="eastAsia" w:hAnsi="黑体"/>
          <w:b/>
          <w:bCs/>
          <w:sz w:val="32"/>
          <w:szCs w:val="32"/>
        </w:rPr>
        <w:t>四、财政拨款收入支出决算总体情况说明</w:t>
      </w:r>
    </w:p>
    <w:p>
      <w:pPr>
        <w:pStyle w:val="11"/>
        <w:rPr>
          <w:rFonts w:ascii="宋体" w:hAnsi="宋体" w:eastAsia="宋体" w:cs="Times New Roman"/>
          <w:sz w:val="32"/>
          <w:szCs w:val="32"/>
        </w:rPr>
      </w:pPr>
      <w:r>
        <w:rPr>
          <w:rFonts w:ascii="宋体" w:hAnsi="宋体" w:eastAsia="宋体" w:cs="宋体"/>
          <w:sz w:val="32"/>
          <w:szCs w:val="32"/>
        </w:rPr>
        <w:t xml:space="preserve">    202</w:t>
      </w:r>
      <w:r>
        <w:rPr>
          <w:rFonts w:hint="eastAsia" w:ascii="宋体" w:hAnsi="宋体" w:eastAsia="宋体" w:cs="宋体"/>
          <w:sz w:val="32"/>
          <w:szCs w:val="32"/>
        </w:rPr>
        <w:t>2年度财政拨款收、支总计</w:t>
      </w:r>
      <w:r>
        <w:rPr>
          <w:rFonts w:ascii="宋体" w:hAnsi="宋体" w:eastAsia="宋体" w:cs="宋体"/>
          <w:sz w:val="32"/>
          <w:szCs w:val="32"/>
        </w:rPr>
        <w:t>1404.85</w:t>
      </w:r>
      <w:r>
        <w:rPr>
          <w:rFonts w:hint="eastAsia" w:ascii="宋体" w:hAnsi="宋体" w:eastAsia="宋体" w:cs="宋体"/>
          <w:sz w:val="32"/>
          <w:szCs w:val="32"/>
        </w:rPr>
        <w:t>万元，与上年相比，增加</w:t>
      </w:r>
      <w:r>
        <w:rPr>
          <w:rFonts w:ascii="宋体" w:hAnsi="宋体" w:eastAsia="宋体" w:cs="宋体"/>
          <w:sz w:val="32"/>
          <w:szCs w:val="32"/>
        </w:rPr>
        <w:t>59.94</w:t>
      </w:r>
      <w:r>
        <w:rPr>
          <w:rFonts w:hint="eastAsia" w:ascii="宋体" w:hAnsi="宋体" w:eastAsia="宋体" w:cs="宋体"/>
          <w:sz w:val="32"/>
          <w:szCs w:val="32"/>
        </w:rPr>
        <w:t>万元</w:t>
      </w:r>
      <w:r>
        <w:rPr>
          <w:rFonts w:ascii="宋体" w:hAnsi="宋体" w:eastAsia="宋体" w:cs="宋体"/>
          <w:sz w:val="32"/>
          <w:szCs w:val="32"/>
        </w:rPr>
        <w:t>,</w:t>
      </w:r>
      <w:r>
        <w:rPr>
          <w:rFonts w:hint="eastAsia" w:ascii="宋体" w:hAnsi="宋体" w:eastAsia="宋体" w:cs="宋体"/>
          <w:sz w:val="32"/>
          <w:szCs w:val="32"/>
        </w:rPr>
        <w:t>增加</w:t>
      </w:r>
      <w:r>
        <w:rPr>
          <w:rFonts w:ascii="宋体" w:hAnsi="宋体" w:eastAsia="宋体" w:cs="宋体"/>
          <w:sz w:val="32"/>
          <w:szCs w:val="32"/>
        </w:rPr>
        <w:t>4.46%</w:t>
      </w:r>
      <w:r>
        <w:rPr>
          <w:rFonts w:hint="eastAsia" w:ascii="宋体" w:hAnsi="宋体" w:eastAsia="宋体" w:cs="宋体"/>
          <w:sz w:val="32"/>
          <w:szCs w:val="32"/>
        </w:rPr>
        <w:t>，主要是人员及公用经费新增。</w:t>
      </w:r>
    </w:p>
    <w:p>
      <w:pPr>
        <w:pStyle w:val="11"/>
        <w:rPr>
          <w:rFonts w:hAnsi="黑体" w:cs="Times New Roman"/>
          <w:b/>
          <w:bCs/>
          <w:sz w:val="32"/>
          <w:szCs w:val="32"/>
        </w:rPr>
      </w:pPr>
      <w:r>
        <w:rPr>
          <w:rFonts w:hint="eastAsia" w:hAnsi="黑体"/>
          <w:b/>
          <w:bCs/>
          <w:sz w:val="32"/>
          <w:szCs w:val="32"/>
        </w:rPr>
        <w:t>五、一般公共预算财政拨款支出决算情况说明</w:t>
      </w:r>
    </w:p>
    <w:p>
      <w:pPr>
        <w:pStyle w:val="11"/>
        <w:ind w:firstLine="640" w:firstLineChars="200"/>
        <w:rPr>
          <w:rFonts w:ascii="宋体" w:hAnsi="宋体" w:eastAsia="宋体" w:cs="Times New Roman"/>
          <w:b/>
          <w:bCs/>
          <w:sz w:val="32"/>
          <w:szCs w:val="32"/>
        </w:rPr>
      </w:pPr>
      <w:r>
        <w:rPr>
          <w:rFonts w:hint="eastAsia" w:ascii="宋体" w:hAnsi="宋体" w:eastAsia="宋体" w:cs="宋体"/>
          <w:b/>
          <w:bCs/>
          <w:sz w:val="32"/>
          <w:szCs w:val="32"/>
        </w:rPr>
        <w:t>（一）一般公共预算财政拨款支出决算总体情况</w:t>
      </w:r>
    </w:p>
    <w:p>
      <w:pPr>
        <w:pStyle w:val="11"/>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rPr>
        <w:t>2年度一般公共预算财政拨款支出</w:t>
      </w:r>
      <w:r>
        <w:rPr>
          <w:rFonts w:ascii="宋体" w:hAnsi="宋体" w:eastAsia="宋体" w:cs="宋体"/>
          <w:sz w:val="32"/>
          <w:szCs w:val="32"/>
        </w:rPr>
        <w:t>1404.85</w:t>
      </w:r>
      <w:r>
        <w:rPr>
          <w:rFonts w:hint="eastAsia" w:ascii="宋体" w:hAnsi="宋体" w:eastAsia="宋体" w:cs="宋体"/>
          <w:sz w:val="32"/>
          <w:szCs w:val="32"/>
        </w:rPr>
        <w:t>万元，占本年支出合计的99.65</w:t>
      </w:r>
      <w:r>
        <w:rPr>
          <w:rFonts w:ascii="宋体" w:hAnsi="宋体" w:eastAsia="宋体" w:cs="宋体"/>
          <w:sz w:val="32"/>
          <w:szCs w:val="32"/>
        </w:rPr>
        <w:t>%</w:t>
      </w:r>
      <w:r>
        <w:rPr>
          <w:rFonts w:hint="eastAsia" w:ascii="宋体" w:hAnsi="宋体" w:eastAsia="宋体" w:cs="宋体"/>
          <w:sz w:val="32"/>
          <w:szCs w:val="32"/>
        </w:rPr>
        <w:t>，与上年相比，财政拨款支出增加</w:t>
      </w:r>
      <w:r>
        <w:rPr>
          <w:rFonts w:ascii="宋体" w:hAnsi="宋体" w:eastAsia="宋体" w:cs="宋体"/>
          <w:sz w:val="32"/>
          <w:szCs w:val="32"/>
        </w:rPr>
        <w:t>59.94</w:t>
      </w:r>
      <w:r>
        <w:rPr>
          <w:rFonts w:hint="eastAsia" w:ascii="宋体" w:hAnsi="宋体" w:eastAsia="宋体" w:cs="宋体"/>
          <w:sz w:val="32"/>
          <w:szCs w:val="32"/>
        </w:rPr>
        <w:t>万元</w:t>
      </w:r>
      <w:r>
        <w:rPr>
          <w:rFonts w:ascii="宋体" w:hAnsi="宋体" w:eastAsia="宋体" w:cs="宋体"/>
          <w:sz w:val="32"/>
          <w:szCs w:val="32"/>
        </w:rPr>
        <w:t>,</w:t>
      </w:r>
      <w:r>
        <w:rPr>
          <w:rFonts w:hint="eastAsia" w:ascii="宋体" w:hAnsi="宋体" w:eastAsia="宋体" w:cs="宋体"/>
          <w:sz w:val="32"/>
          <w:szCs w:val="32"/>
        </w:rPr>
        <w:t>增加</w:t>
      </w:r>
      <w:r>
        <w:rPr>
          <w:rFonts w:ascii="宋体" w:hAnsi="宋体" w:eastAsia="宋体" w:cs="宋体"/>
          <w:sz w:val="32"/>
          <w:szCs w:val="32"/>
        </w:rPr>
        <w:t>4.46%</w:t>
      </w:r>
      <w:r>
        <w:rPr>
          <w:rFonts w:hint="eastAsia" w:ascii="宋体" w:hAnsi="宋体" w:eastAsia="宋体" w:cs="宋体"/>
          <w:sz w:val="32"/>
          <w:szCs w:val="32"/>
        </w:rPr>
        <w:t>，主要是人员及公用经费新增。</w:t>
      </w:r>
    </w:p>
    <w:p>
      <w:pPr>
        <w:pStyle w:val="11"/>
        <w:ind w:firstLine="480" w:firstLineChars="150"/>
        <w:rPr>
          <w:rFonts w:ascii="宋体" w:hAnsi="宋体" w:eastAsia="宋体" w:cs="Times New Roman"/>
          <w:b/>
          <w:bCs/>
          <w:sz w:val="32"/>
          <w:szCs w:val="32"/>
        </w:rPr>
      </w:pPr>
      <w:r>
        <w:rPr>
          <w:rFonts w:hint="eastAsia" w:ascii="宋体" w:hAnsi="宋体" w:eastAsia="宋体" w:cs="宋体"/>
          <w:b/>
          <w:bCs/>
          <w:sz w:val="32"/>
          <w:szCs w:val="32"/>
        </w:rPr>
        <w:t>（二）一般公共预算财政拨款支出决算结构情况</w:t>
      </w:r>
    </w:p>
    <w:p>
      <w:pPr>
        <w:pStyle w:val="11"/>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rPr>
        <w:t>2年度一般公共预算财政拨款支出</w:t>
      </w:r>
      <w:r>
        <w:rPr>
          <w:rFonts w:ascii="宋体" w:hAnsi="宋体" w:eastAsia="宋体" w:cs="宋体"/>
          <w:sz w:val="32"/>
          <w:szCs w:val="32"/>
        </w:rPr>
        <w:t>1404.85</w:t>
      </w:r>
      <w:r>
        <w:rPr>
          <w:rFonts w:hint="eastAsia" w:ascii="宋体" w:hAnsi="宋体" w:eastAsia="宋体" w:cs="宋体"/>
          <w:sz w:val="32"/>
          <w:szCs w:val="32"/>
        </w:rPr>
        <w:t>万元，主要用于以下方面：一般公共服务（类）支出</w:t>
      </w:r>
      <w:r>
        <w:rPr>
          <w:rFonts w:ascii="宋体" w:hAnsi="宋体" w:eastAsia="宋体" w:cs="宋体"/>
          <w:sz w:val="32"/>
          <w:szCs w:val="32"/>
        </w:rPr>
        <w:t>980.7</w:t>
      </w:r>
      <w:r>
        <w:rPr>
          <w:rFonts w:hint="eastAsia" w:ascii="宋体" w:hAnsi="宋体" w:eastAsia="宋体" w:cs="宋体"/>
          <w:sz w:val="32"/>
          <w:szCs w:val="32"/>
        </w:rPr>
        <w:t>5万元，占69.81</w:t>
      </w:r>
      <w:r>
        <w:rPr>
          <w:rFonts w:ascii="宋体" w:hAnsi="宋体" w:eastAsia="宋体" w:cs="宋体"/>
          <w:sz w:val="32"/>
          <w:szCs w:val="32"/>
        </w:rPr>
        <w:t>%</w:t>
      </w:r>
      <w:r>
        <w:rPr>
          <w:rFonts w:hint="eastAsia" w:ascii="宋体" w:hAnsi="宋体" w:eastAsia="宋体" w:cs="宋体"/>
          <w:sz w:val="32"/>
          <w:szCs w:val="32"/>
        </w:rPr>
        <w:t>；社会保障和就业支出124.48万元，占8.86</w:t>
      </w:r>
      <w:r>
        <w:rPr>
          <w:rFonts w:ascii="宋体" w:hAnsi="宋体" w:eastAsia="宋体" w:cs="宋体"/>
          <w:sz w:val="32"/>
          <w:szCs w:val="32"/>
        </w:rPr>
        <w:t>%;</w:t>
      </w:r>
      <w:r>
        <w:rPr>
          <w:rFonts w:hint="eastAsia" w:ascii="宋体" w:hAnsi="宋体" w:eastAsia="宋体" w:cs="宋体"/>
          <w:sz w:val="32"/>
          <w:szCs w:val="32"/>
        </w:rPr>
        <w:t>卫生健康支出24.23万元，占1.72</w:t>
      </w:r>
      <w:r>
        <w:rPr>
          <w:rFonts w:ascii="宋体" w:hAnsi="宋体" w:eastAsia="宋体" w:cs="宋体"/>
          <w:sz w:val="32"/>
          <w:szCs w:val="32"/>
        </w:rPr>
        <w:t>%;</w:t>
      </w:r>
      <w:r>
        <w:rPr>
          <w:rFonts w:hint="eastAsia" w:ascii="宋体" w:hAnsi="宋体" w:eastAsia="宋体" w:cs="宋体"/>
          <w:sz w:val="32"/>
          <w:szCs w:val="32"/>
        </w:rPr>
        <w:t>城乡社区支出2.59万元，占0.18</w:t>
      </w:r>
      <w:r>
        <w:rPr>
          <w:rFonts w:ascii="宋体" w:hAnsi="宋体" w:eastAsia="宋体" w:cs="宋体"/>
          <w:sz w:val="32"/>
          <w:szCs w:val="32"/>
        </w:rPr>
        <w:t>%;</w:t>
      </w:r>
      <w:r>
        <w:rPr>
          <w:rFonts w:hint="eastAsia" w:ascii="宋体" w:hAnsi="宋体" w:eastAsia="宋体" w:cs="宋体"/>
          <w:sz w:val="32"/>
          <w:szCs w:val="32"/>
        </w:rPr>
        <w:t>农林水支出37.2万元，占2.65</w:t>
      </w:r>
      <w:r>
        <w:rPr>
          <w:rFonts w:ascii="宋体" w:hAnsi="宋体" w:eastAsia="宋体" w:cs="宋体"/>
          <w:sz w:val="32"/>
          <w:szCs w:val="32"/>
        </w:rPr>
        <w:t>%;</w:t>
      </w:r>
      <w:r>
        <w:rPr>
          <w:rFonts w:hint="eastAsia" w:ascii="宋体" w:hAnsi="宋体" w:eastAsia="宋体" w:cs="宋体"/>
          <w:sz w:val="32"/>
          <w:szCs w:val="32"/>
        </w:rPr>
        <w:t>商业服务业等支出201.97万元，占14.38</w:t>
      </w:r>
      <w:r>
        <w:rPr>
          <w:rFonts w:ascii="宋体" w:hAnsi="宋体" w:eastAsia="宋体" w:cs="宋体"/>
          <w:sz w:val="32"/>
          <w:szCs w:val="32"/>
        </w:rPr>
        <w:t>%</w:t>
      </w:r>
      <w:r>
        <w:rPr>
          <w:rFonts w:hint="eastAsia" w:ascii="宋体" w:hAnsi="宋体" w:eastAsia="宋体" w:cs="宋体"/>
          <w:sz w:val="32"/>
          <w:szCs w:val="32"/>
        </w:rPr>
        <w:t>；住房保障支出</w:t>
      </w:r>
      <w:r>
        <w:rPr>
          <w:rFonts w:ascii="宋体" w:hAnsi="宋体" w:eastAsia="宋体" w:cs="宋体"/>
          <w:sz w:val="32"/>
          <w:szCs w:val="32"/>
        </w:rPr>
        <w:t>33.63</w:t>
      </w:r>
      <w:r>
        <w:rPr>
          <w:rFonts w:hint="eastAsia" w:ascii="宋体" w:hAnsi="宋体" w:eastAsia="宋体" w:cs="宋体"/>
          <w:sz w:val="32"/>
          <w:szCs w:val="32"/>
        </w:rPr>
        <w:t>万元，占2.4</w:t>
      </w:r>
      <w:r>
        <w:rPr>
          <w:rFonts w:ascii="宋体" w:hAnsi="宋体" w:eastAsia="宋体" w:cs="宋体"/>
          <w:sz w:val="32"/>
          <w:szCs w:val="32"/>
        </w:rPr>
        <w:t>%</w:t>
      </w:r>
      <w:r>
        <w:rPr>
          <w:rFonts w:hint="eastAsia" w:ascii="宋体" w:hAnsi="宋体" w:eastAsia="宋体" w:cs="宋体"/>
          <w:sz w:val="32"/>
          <w:szCs w:val="32"/>
        </w:rPr>
        <w:t>。</w:t>
      </w:r>
    </w:p>
    <w:p>
      <w:pPr>
        <w:pStyle w:val="11"/>
        <w:ind w:firstLine="800" w:firstLineChars="250"/>
        <w:rPr>
          <w:rFonts w:ascii="宋体" w:hAnsi="宋体" w:eastAsia="宋体" w:cs="Times New Roman"/>
          <w:b/>
          <w:bCs/>
          <w:sz w:val="32"/>
          <w:szCs w:val="32"/>
        </w:rPr>
      </w:pPr>
      <w:r>
        <w:rPr>
          <w:rFonts w:hint="eastAsia" w:ascii="宋体" w:hAnsi="宋体" w:eastAsia="宋体" w:cs="宋体"/>
          <w:b/>
          <w:bCs/>
          <w:sz w:val="32"/>
          <w:szCs w:val="32"/>
        </w:rPr>
        <w:t>（三）一般公共预算财政拨款支出决算具体情况</w:t>
      </w:r>
    </w:p>
    <w:p>
      <w:pPr>
        <w:pStyle w:val="11"/>
        <w:ind w:firstLine="800" w:firstLineChars="25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rPr>
        <w:t>2年度一般公共预算财政拨款支出年初预算数为956.52万元，支出决算数为</w:t>
      </w:r>
      <w:r>
        <w:rPr>
          <w:rFonts w:ascii="宋体" w:hAnsi="宋体" w:eastAsia="宋体" w:cs="宋体"/>
          <w:sz w:val="32"/>
          <w:szCs w:val="32"/>
        </w:rPr>
        <w:t>1404.85</w:t>
      </w:r>
      <w:r>
        <w:rPr>
          <w:rFonts w:hint="eastAsia" w:ascii="宋体" w:hAnsi="宋体" w:eastAsia="宋体" w:cs="宋体"/>
          <w:sz w:val="32"/>
          <w:szCs w:val="32"/>
        </w:rPr>
        <w:t>万元，完成年初预算的146.87</w:t>
      </w:r>
      <w:r>
        <w:rPr>
          <w:rFonts w:ascii="宋体" w:hAnsi="宋体" w:eastAsia="宋体" w:cs="宋体"/>
          <w:sz w:val="32"/>
          <w:szCs w:val="32"/>
        </w:rPr>
        <w:t>%</w:t>
      </w:r>
      <w:r>
        <w:rPr>
          <w:rFonts w:hint="eastAsia" w:ascii="宋体" w:hAnsi="宋体" w:eastAsia="宋体" w:cs="宋体"/>
          <w:sz w:val="32"/>
          <w:szCs w:val="32"/>
        </w:rPr>
        <w:t>，其中：</w:t>
      </w:r>
    </w:p>
    <w:p>
      <w:pPr>
        <w:pStyle w:val="11"/>
        <w:ind w:firstLine="800" w:firstLineChars="250"/>
        <w:rPr>
          <w:rFonts w:ascii="宋体" w:hAnsi="宋体" w:eastAsia="宋体" w:cs="Times New Roman"/>
          <w:sz w:val="32"/>
          <w:szCs w:val="32"/>
        </w:rPr>
      </w:pPr>
      <w:r>
        <w:rPr>
          <w:rFonts w:ascii="宋体" w:hAnsi="宋体" w:eastAsia="宋体" w:cs="宋体"/>
          <w:sz w:val="32"/>
          <w:szCs w:val="32"/>
        </w:rPr>
        <w:t>1</w:t>
      </w:r>
      <w:r>
        <w:rPr>
          <w:rFonts w:hint="eastAsia" w:ascii="宋体" w:hAnsi="宋体" w:eastAsia="宋体" w:cs="宋体"/>
          <w:sz w:val="32"/>
          <w:szCs w:val="32"/>
        </w:rPr>
        <w:t>、一般公共服务（类）发展与改革事务（款）其他发展与改革事务支出（项）。</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年初预算为0万元，支出决算为30万元，由于预算数为0，无法计算百分比，决算数大于年初预算数的主要原因是：年中追加。</w:t>
      </w:r>
    </w:p>
    <w:p>
      <w:pPr>
        <w:pStyle w:val="11"/>
        <w:ind w:firstLine="800" w:firstLineChars="25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、一般公共服务（类）商贸事务（款） 行政运行（项）。</w:t>
      </w:r>
    </w:p>
    <w:p>
      <w:pPr>
        <w:pStyle w:val="11"/>
        <w:ind w:firstLine="800" w:firstLineChars="250"/>
        <w:rPr>
          <w:rFonts w:ascii="宋体" w:hAnsi="宋体" w:cs="宋体"/>
          <w:sz w:val="32"/>
          <w:szCs w:val="32"/>
        </w:rPr>
      </w:pPr>
      <w:r>
        <w:rPr>
          <w:rFonts w:hint="eastAsia" w:ascii="宋体" w:hAnsi="宋体" w:eastAsia="宋体" w:cs="宋体"/>
          <w:sz w:val="32"/>
          <w:szCs w:val="32"/>
        </w:rPr>
        <w:t>年初预算为363.92万元，支出决算为</w:t>
      </w:r>
      <w:r>
        <w:rPr>
          <w:rFonts w:ascii="宋体" w:hAnsi="宋体" w:eastAsia="宋体" w:cs="宋体"/>
          <w:sz w:val="32"/>
          <w:szCs w:val="32"/>
        </w:rPr>
        <w:t>406.97</w:t>
      </w:r>
      <w:r>
        <w:rPr>
          <w:rFonts w:hint="eastAsia" w:ascii="宋体" w:hAnsi="宋体" w:eastAsia="宋体" w:cs="宋体"/>
          <w:sz w:val="32"/>
          <w:szCs w:val="32"/>
        </w:rPr>
        <w:t>万元，完成年初预算的111.83</w:t>
      </w:r>
      <w:r>
        <w:rPr>
          <w:rFonts w:ascii="宋体" w:hAnsi="宋体" w:eastAsia="宋体" w:cs="宋体"/>
          <w:sz w:val="32"/>
          <w:szCs w:val="32"/>
        </w:rPr>
        <w:t>%</w:t>
      </w:r>
      <w:r>
        <w:rPr>
          <w:rFonts w:hint="eastAsia" w:ascii="宋体" w:hAnsi="宋体" w:eastAsia="宋体" w:cs="宋体"/>
          <w:sz w:val="32"/>
          <w:szCs w:val="32"/>
        </w:rPr>
        <w:t>，决算数大于年初预算数的主要原因是：年中追加存在预算调整。</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 xml:space="preserve"> 3、一般公共服务（类）商贸事务（款）国内贸易管理（项）。</w:t>
      </w:r>
    </w:p>
    <w:p>
      <w:pPr>
        <w:pStyle w:val="11"/>
        <w:ind w:firstLine="800" w:firstLineChars="250"/>
        <w:rPr>
          <w:rFonts w:ascii="宋体" w:hAnsi="宋体" w:cs="宋体"/>
          <w:sz w:val="32"/>
          <w:szCs w:val="32"/>
        </w:rPr>
      </w:pPr>
      <w:r>
        <w:rPr>
          <w:rFonts w:hint="eastAsia" w:ascii="宋体" w:hAnsi="宋体" w:eastAsia="宋体" w:cs="宋体"/>
          <w:sz w:val="32"/>
          <w:szCs w:val="32"/>
        </w:rPr>
        <w:t>年初预算为177万元，支出决算为</w:t>
      </w:r>
      <w:r>
        <w:rPr>
          <w:rFonts w:ascii="宋体" w:hAnsi="宋体" w:eastAsia="宋体" w:cs="宋体"/>
          <w:sz w:val="32"/>
          <w:szCs w:val="32"/>
        </w:rPr>
        <w:t>72.57</w:t>
      </w:r>
      <w:r>
        <w:rPr>
          <w:rFonts w:hint="eastAsia" w:ascii="宋体" w:hAnsi="宋体" w:eastAsia="宋体" w:cs="宋体"/>
          <w:sz w:val="32"/>
          <w:szCs w:val="32"/>
        </w:rPr>
        <w:t>万元，完成年初预算的41</w:t>
      </w:r>
      <w:r>
        <w:rPr>
          <w:rFonts w:ascii="宋体" w:hAnsi="宋体" w:eastAsia="宋体" w:cs="宋体"/>
          <w:sz w:val="32"/>
          <w:szCs w:val="32"/>
        </w:rPr>
        <w:t>%</w:t>
      </w:r>
      <w:r>
        <w:rPr>
          <w:rFonts w:hint="eastAsia" w:ascii="宋体" w:hAnsi="宋体" w:eastAsia="宋体" w:cs="宋体"/>
          <w:sz w:val="32"/>
          <w:szCs w:val="32"/>
        </w:rPr>
        <w:t>，决算数小于年初预算数的主要原因是：存在项目资金未支付。</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4、一般公共服务（类）商贸事务（款）</w:t>
      </w:r>
      <w:r>
        <w:rPr>
          <w:rFonts w:hint="eastAsia" w:ascii="宋体" w:hAnsi="宋体" w:eastAsia="宋体" w:cs="Times New Roman"/>
          <w:sz w:val="32"/>
          <w:szCs w:val="32"/>
        </w:rPr>
        <w:t>招商引资</w:t>
      </w:r>
      <w:r>
        <w:rPr>
          <w:rFonts w:hint="eastAsia" w:ascii="宋体" w:hAnsi="宋体" w:eastAsia="宋体" w:cs="宋体"/>
          <w:sz w:val="32"/>
          <w:szCs w:val="32"/>
        </w:rPr>
        <w:t>（项）。</w:t>
      </w:r>
    </w:p>
    <w:p>
      <w:pPr>
        <w:pStyle w:val="11"/>
        <w:ind w:firstLine="800" w:firstLineChars="250"/>
        <w:rPr>
          <w:rFonts w:ascii="宋体" w:hAnsi="宋体" w:cs="宋体"/>
          <w:sz w:val="32"/>
          <w:szCs w:val="32"/>
        </w:rPr>
      </w:pPr>
      <w:r>
        <w:rPr>
          <w:rFonts w:hint="eastAsia" w:ascii="宋体" w:hAnsi="宋体" w:eastAsia="宋体" w:cs="宋体"/>
          <w:sz w:val="32"/>
          <w:szCs w:val="32"/>
        </w:rPr>
        <w:t>年初预算为150万元，支出决算为</w:t>
      </w:r>
      <w:r>
        <w:rPr>
          <w:rFonts w:ascii="宋体" w:hAnsi="宋体" w:eastAsia="宋体" w:cs="宋体"/>
          <w:sz w:val="32"/>
          <w:szCs w:val="32"/>
        </w:rPr>
        <w:t>115.93</w:t>
      </w:r>
      <w:r>
        <w:rPr>
          <w:rFonts w:hint="eastAsia" w:ascii="宋体" w:hAnsi="宋体" w:eastAsia="宋体" w:cs="宋体"/>
          <w:sz w:val="32"/>
          <w:szCs w:val="32"/>
        </w:rPr>
        <w:t>万元，完成年初预算的77.39</w:t>
      </w:r>
      <w:r>
        <w:rPr>
          <w:rFonts w:ascii="宋体" w:hAnsi="宋体" w:eastAsia="宋体" w:cs="宋体"/>
          <w:sz w:val="32"/>
          <w:szCs w:val="32"/>
        </w:rPr>
        <w:t>%</w:t>
      </w:r>
      <w:r>
        <w:rPr>
          <w:rFonts w:hint="eastAsia" w:ascii="宋体" w:hAnsi="宋体" w:eastAsia="宋体" w:cs="宋体"/>
          <w:sz w:val="32"/>
          <w:szCs w:val="32"/>
        </w:rPr>
        <w:t>，决算数小于年初预算数的主要原因是：存在项目资金未支付。</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5、一般公共服务（类）商贸事务（款）</w:t>
      </w:r>
      <w:r>
        <w:rPr>
          <w:rFonts w:hint="eastAsia" w:ascii="宋体" w:hAnsi="宋体" w:eastAsia="宋体" w:cs="Times New Roman"/>
          <w:sz w:val="32"/>
          <w:szCs w:val="32"/>
        </w:rPr>
        <w:t>其他商贸事务支出</w:t>
      </w:r>
      <w:r>
        <w:rPr>
          <w:rFonts w:hint="eastAsia" w:ascii="宋体" w:hAnsi="宋体" w:eastAsia="宋体" w:cs="宋体"/>
          <w:sz w:val="32"/>
          <w:szCs w:val="32"/>
        </w:rPr>
        <w:t>（项）。</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年初预算为120.16万元，支出决算为</w:t>
      </w:r>
      <w:r>
        <w:rPr>
          <w:rFonts w:ascii="宋体" w:hAnsi="宋体" w:eastAsia="宋体" w:cs="宋体"/>
          <w:sz w:val="32"/>
          <w:szCs w:val="32"/>
        </w:rPr>
        <w:t>354.72</w:t>
      </w:r>
      <w:r>
        <w:rPr>
          <w:rFonts w:hint="eastAsia" w:ascii="宋体" w:hAnsi="宋体" w:eastAsia="宋体" w:cs="宋体"/>
          <w:sz w:val="32"/>
          <w:szCs w:val="32"/>
        </w:rPr>
        <w:t>万元，完成年初预算的295</w:t>
      </w:r>
      <w:r>
        <w:rPr>
          <w:rFonts w:ascii="宋体" w:hAnsi="宋体" w:eastAsia="宋体" w:cs="宋体"/>
          <w:sz w:val="32"/>
          <w:szCs w:val="32"/>
        </w:rPr>
        <w:t>%</w:t>
      </w:r>
      <w:r>
        <w:rPr>
          <w:rFonts w:hint="eastAsia" w:ascii="宋体" w:hAnsi="宋体" w:eastAsia="宋体" w:cs="宋体"/>
          <w:sz w:val="32"/>
          <w:szCs w:val="32"/>
        </w:rPr>
        <w:t>，决算数大于年初预算数的主要原因是：年中追加。</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6、一般公共服务（类）宣传事务（款）</w:t>
      </w:r>
      <w:r>
        <w:rPr>
          <w:rFonts w:hint="eastAsia" w:ascii="宋体" w:hAnsi="宋体" w:eastAsia="宋体" w:cs="Times New Roman"/>
          <w:sz w:val="32"/>
          <w:szCs w:val="32"/>
        </w:rPr>
        <w:t>其他宣传事务支出</w:t>
      </w:r>
      <w:r>
        <w:rPr>
          <w:rFonts w:hint="eastAsia" w:ascii="宋体" w:hAnsi="宋体" w:eastAsia="宋体" w:cs="宋体"/>
          <w:sz w:val="32"/>
          <w:szCs w:val="32"/>
        </w:rPr>
        <w:t>（项）。</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w:t>
      </w:r>
      <w:r>
        <w:rPr>
          <w:rFonts w:ascii="宋体" w:hAnsi="宋体" w:eastAsia="宋体" w:cs="宋体"/>
          <w:sz w:val="32"/>
          <w:szCs w:val="32"/>
        </w:rPr>
        <w:t>0.55</w:t>
      </w:r>
      <w:r>
        <w:rPr>
          <w:rFonts w:hint="eastAsia" w:ascii="宋体" w:hAnsi="宋体" w:eastAsia="宋体" w:cs="宋体"/>
          <w:sz w:val="32"/>
          <w:szCs w:val="32"/>
        </w:rPr>
        <w:t>万元，由于预算数为0，无法计算百分比，决算数大于年初预算数的主要原因是：年中追加存在预算调整。</w:t>
      </w:r>
    </w:p>
    <w:p>
      <w:pPr>
        <w:pStyle w:val="11"/>
        <w:ind w:firstLine="800" w:firstLineChars="250"/>
        <w:rPr>
          <w:rFonts w:ascii="宋体" w:hAnsi="宋体" w:eastAsia="宋体" w:cs="宋体"/>
          <w:sz w:val="32"/>
          <w:szCs w:val="32"/>
        </w:rPr>
      </w:pPr>
      <w:r>
        <w:rPr>
          <w:rFonts w:hint="eastAsia" w:ascii="宋体" w:hAnsi="宋体" w:eastAsia="宋体" w:cs="宋体"/>
          <w:sz w:val="32"/>
          <w:szCs w:val="32"/>
          <w:lang w:val="en-US" w:eastAsia="zh-CN"/>
        </w:rPr>
        <w:t>7</w:t>
      </w:r>
      <w:r>
        <w:rPr>
          <w:rFonts w:hint="eastAsia" w:ascii="宋体" w:hAnsi="宋体" w:eastAsia="宋体" w:cs="宋体"/>
          <w:sz w:val="32"/>
          <w:szCs w:val="32"/>
        </w:rPr>
        <w:t>、卫生健康支出（类）行政事业单位医疗（款）行政单位医疗（项）。</w:t>
      </w:r>
    </w:p>
    <w:p>
      <w:pPr>
        <w:pStyle w:val="11"/>
        <w:ind w:firstLine="800" w:firstLineChars="250"/>
        <w:rPr>
          <w:rFonts w:ascii="宋体" w:hAnsi="宋体" w:eastAsia="宋体" w:cs="宋体"/>
          <w:color w:val="auto"/>
          <w:sz w:val="32"/>
          <w:szCs w:val="32"/>
        </w:rPr>
      </w:pPr>
      <w:r>
        <w:rPr>
          <w:rFonts w:hint="eastAsia" w:ascii="宋体" w:hAnsi="宋体" w:eastAsia="宋体" w:cs="宋体"/>
          <w:sz w:val="32"/>
          <w:szCs w:val="32"/>
        </w:rPr>
        <w:t>年初预算为25.85万元，支出决算为</w:t>
      </w:r>
      <w:r>
        <w:rPr>
          <w:rFonts w:ascii="宋体" w:hAnsi="宋体" w:eastAsia="宋体" w:cs="宋体"/>
          <w:sz w:val="32"/>
          <w:szCs w:val="32"/>
        </w:rPr>
        <w:t>24.23</w:t>
      </w:r>
      <w:r>
        <w:rPr>
          <w:rFonts w:hint="eastAsia" w:ascii="宋体" w:hAnsi="宋体" w:eastAsia="宋体" w:cs="宋体"/>
          <w:sz w:val="32"/>
          <w:szCs w:val="32"/>
        </w:rPr>
        <w:t>万元</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完成年初预算的83.99%</w:t>
      </w:r>
      <w:r>
        <w:rPr>
          <w:rFonts w:hint="eastAsia" w:ascii="宋体" w:hAnsi="宋体" w:eastAsia="宋体" w:cs="宋体"/>
          <w:sz w:val="32"/>
          <w:szCs w:val="32"/>
        </w:rPr>
        <w:t>，决算数小于年初预算数的主要原因是：存在应付未付11月-12月社</w:t>
      </w:r>
      <w:r>
        <w:rPr>
          <w:rFonts w:hint="eastAsia" w:ascii="宋体" w:hAnsi="宋体" w:eastAsia="宋体" w:cs="宋体"/>
          <w:color w:val="auto"/>
          <w:sz w:val="32"/>
          <w:szCs w:val="32"/>
        </w:rPr>
        <w:t>保款。</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8、社会保障和就业支出（类）行政事业单位养老支出（款）  其他行政事业单位养老支出（项）。</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w:t>
      </w:r>
      <w:r>
        <w:rPr>
          <w:rFonts w:ascii="宋体" w:hAnsi="宋体" w:eastAsia="宋体" w:cs="宋体"/>
          <w:sz w:val="32"/>
          <w:szCs w:val="32"/>
        </w:rPr>
        <w:t>3.03</w:t>
      </w:r>
      <w:r>
        <w:rPr>
          <w:rFonts w:hint="eastAsia" w:ascii="宋体" w:hAnsi="宋体" w:eastAsia="宋体" w:cs="宋体"/>
          <w:sz w:val="32"/>
          <w:szCs w:val="32"/>
        </w:rPr>
        <w:t>万元，由于预算数为0，无法计算百分比，决算数大于年初预算数的主要原因是：年中追加。</w:t>
      </w:r>
    </w:p>
    <w:p>
      <w:pPr>
        <w:pStyle w:val="11"/>
        <w:ind w:firstLine="800" w:firstLineChars="250"/>
        <w:rPr>
          <w:rFonts w:ascii="宋体" w:hAnsi="宋体" w:eastAsia="宋体" w:cs="宋体"/>
          <w:sz w:val="32"/>
          <w:szCs w:val="32"/>
        </w:rPr>
      </w:pPr>
      <w:r>
        <w:rPr>
          <w:rFonts w:ascii="宋体" w:hAnsi="宋体" w:eastAsia="宋体" w:cs="宋体"/>
          <w:sz w:val="32"/>
          <w:szCs w:val="32"/>
        </w:rPr>
        <w:tab/>
      </w:r>
      <w:r>
        <w:rPr>
          <w:rFonts w:hint="eastAsia" w:ascii="宋体" w:hAnsi="宋体" w:eastAsia="宋体" w:cs="宋体"/>
          <w:sz w:val="32"/>
          <w:szCs w:val="32"/>
        </w:rPr>
        <w:t>9、社会保障和就业支出（类）行政事业单位养老支出（款）机关事业单位基本养老保险缴费支出（项）。</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年初预算为35.96万元，支出决算为</w:t>
      </w:r>
      <w:r>
        <w:rPr>
          <w:rFonts w:ascii="宋体" w:hAnsi="宋体" w:eastAsia="宋体" w:cs="宋体"/>
          <w:sz w:val="32"/>
          <w:szCs w:val="32"/>
        </w:rPr>
        <w:t>38.44</w:t>
      </w:r>
      <w:r>
        <w:rPr>
          <w:rFonts w:hint="eastAsia" w:ascii="宋体" w:hAnsi="宋体" w:eastAsia="宋体" w:cs="宋体"/>
          <w:sz w:val="32"/>
          <w:szCs w:val="32"/>
        </w:rPr>
        <w:t>万元</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完成年初预算的106.9%</w:t>
      </w:r>
      <w:r>
        <w:rPr>
          <w:rFonts w:hint="eastAsia" w:ascii="宋体" w:hAnsi="宋体" w:eastAsia="宋体" w:cs="宋体"/>
          <w:sz w:val="32"/>
          <w:szCs w:val="32"/>
        </w:rPr>
        <w:t>，决算数大于年初预算数的主要原因是：年中追加。</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10、社会保障和就业支出（类）抚恤（款）</w:t>
      </w:r>
      <w:r>
        <w:rPr>
          <w:rFonts w:hint="eastAsia" w:ascii="宋体" w:hAnsi="宋体" w:eastAsia="宋体" w:cs="Times New Roman"/>
          <w:sz w:val="32"/>
          <w:szCs w:val="32"/>
        </w:rPr>
        <w:t>死亡抚恤</w:t>
      </w:r>
      <w:r>
        <w:rPr>
          <w:rFonts w:hint="eastAsia" w:ascii="宋体" w:hAnsi="宋体" w:eastAsia="宋体" w:cs="宋体"/>
          <w:sz w:val="32"/>
          <w:szCs w:val="32"/>
        </w:rPr>
        <w:t>（项）。</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w:t>
      </w:r>
      <w:r>
        <w:rPr>
          <w:rFonts w:ascii="宋体" w:hAnsi="宋体" w:eastAsia="宋体" w:cs="宋体"/>
          <w:sz w:val="32"/>
          <w:szCs w:val="32"/>
        </w:rPr>
        <w:t>83.01</w:t>
      </w:r>
      <w:r>
        <w:rPr>
          <w:rFonts w:hint="eastAsia" w:ascii="宋体" w:hAnsi="宋体" w:eastAsia="宋体" w:cs="宋体"/>
          <w:sz w:val="32"/>
          <w:szCs w:val="32"/>
        </w:rPr>
        <w:t>万元，由于预算数为0，无法计算百分比，决算数大于年初预算数的主要原因是：年中追加。</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11、城乡社区支出（类）其他城乡社区支出（款）</w:t>
      </w:r>
      <w:r>
        <w:rPr>
          <w:rFonts w:hint="eastAsia" w:ascii="宋体" w:hAnsi="宋体" w:eastAsia="宋体" w:cs="Times New Roman"/>
          <w:sz w:val="32"/>
          <w:szCs w:val="32"/>
        </w:rPr>
        <w:t>其他城乡社区支出</w:t>
      </w:r>
      <w:r>
        <w:rPr>
          <w:rFonts w:hint="eastAsia" w:ascii="宋体" w:hAnsi="宋体" w:eastAsia="宋体" w:cs="宋体"/>
          <w:sz w:val="32"/>
          <w:szCs w:val="32"/>
        </w:rPr>
        <w:t>（项）。</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w:t>
      </w:r>
      <w:r>
        <w:rPr>
          <w:rFonts w:ascii="宋体" w:hAnsi="宋体" w:eastAsia="宋体" w:cs="宋体"/>
          <w:sz w:val="32"/>
          <w:szCs w:val="32"/>
        </w:rPr>
        <w:t>2.59</w:t>
      </w:r>
      <w:r>
        <w:rPr>
          <w:rFonts w:hint="eastAsia" w:ascii="宋体" w:hAnsi="宋体" w:eastAsia="宋体" w:cs="宋体"/>
          <w:sz w:val="32"/>
          <w:szCs w:val="32"/>
        </w:rPr>
        <w:t>万元，由于预算数为0，无法计算百分比，决算数大于年初预算数的主要原因是：年中追加。</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ab/>
      </w:r>
      <w:r>
        <w:rPr>
          <w:rFonts w:hint="eastAsia" w:ascii="宋体" w:hAnsi="宋体" w:eastAsia="宋体" w:cs="宋体"/>
          <w:sz w:val="32"/>
          <w:szCs w:val="32"/>
        </w:rPr>
        <w:t>1</w:t>
      </w:r>
      <w:r>
        <w:rPr>
          <w:rFonts w:hint="eastAsia" w:ascii="宋体" w:hAnsi="宋体" w:eastAsia="宋体" w:cs="宋体"/>
          <w:sz w:val="32"/>
          <w:szCs w:val="32"/>
          <w:lang w:val="en-US" w:eastAsia="zh-CN"/>
        </w:rPr>
        <w:t>2</w:t>
      </w:r>
      <w:r>
        <w:rPr>
          <w:rFonts w:hint="eastAsia" w:ascii="宋体" w:hAnsi="宋体" w:eastAsia="宋体" w:cs="宋体"/>
          <w:sz w:val="32"/>
          <w:szCs w:val="32"/>
        </w:rPr>
        <w:t>、农林水支出（类）巩固脱贫衔接乡村振兴（款）</w:t>
      </w:r>
      <w:r>
        <w:rPr>
          <w:rFonts w:hint="eastAsia" w:ascii="宋体" w:hAnsi="宋体" w:eastAsia="宋体" w:cs="Times New Roman"/>
          <w:sz w:val="32"/>
          <w:szCs w:val="32"/>
        </w:rPr>
        <w:t xml:space="preserve">  其他巩固脱贫衔接乡村振兴支出</w:t>
      </w:r>
      <w:r>
        <w:rPr>
          <w:rFonts w:hint="eastAsia" w:ascii="宋体" w:hAnsi="宋体" w:eastAsia="宋体" w:cs="宋体"/>
          <w:sz w:val="32"/>
          <w:szCs w:val="32"/>
        </w:rPr>
        <w:t>（项）。</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年初预算为50万元，支出决算为</w:t>
      </w:r>
      <w:r>
        <w:rPr>
          <w:rFonts w:ascii="宋体" w:hAnsi="宋体" w:eastAsia="宋体" w:cs="宋体"/>
          <w:sz w:val="32"/>
          <w:szCs w:val="32"/>
        </w:rPr>
        <w:t>37.2</w:t>
      </w:r>
      <w:r>
        <w:rPr>
          <w:rFonts w:hint="eastAsia" w:ascii="宋体" w:hAnsi="宋体" w:eastAsia="宋体" w:cs="宋体"/>
          <w:sz w:val="32"/>
          <w:szCs w:val="32"/>
        </w:rPr>
        <w:t>万元</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完成年初预算的74.4%</w:t>
      </w:r>
      <w:r>
        <w:rPr>
          <w:rFonts w:hint="eastAsia" w:ascii="宋体" w:hAnsi="宋体" w:eastAsia="宋体" w:cs="宋体"/>
          <w:sz w:val="32"/>
          <w:szCs w:val="32"/>
        </w:rPr>
        <w:t>，决算数小于年初预算数的主要原因是：存在未付款项。</w:t>
      </w:r>
    </w:p>
    <w:p>
      <w:pPr>
        <w:pStyle w:val="11"/>
        <w:ind w:firstLine="800" w:firstLineChars="250"/>
        <w:rPr>
          <w:rFonts w:ascii="宋体" w:hAnsi="宋体" w:eastAsia="宋体" w:cs="Times New Roman"/>
          <w:sz w:val="32"/>
          <w:szCs w:val="32"/>
        </w:rPr>
      </w:pPr>
      <w:r>
        <w:rPr>
          <w:rFonts w:ascii="宋体" w:hAnsi="宋体" w:eastAsia="宋体" w:cs="宋体"/>
          <w:sz w:val="32"/>
          <w:szCs w:val="32"/>
        </w:rPr>
        <w:tab/>
      </w:r>
      <w:r>
        <w:rPr>
          <w:rFonts w:hint="eastAsia" w:ascii="宋体" w:hAnsi="宋体" w:eastAsia="宋体" w:cs="宋体"/>
          <w:sz w:val="32"/>
          <w:szCs w:val="32"/>
        </w:rPr>
        <w:t>1</w:t>
      </w:r>
      <w:r>
        <w:rPr>
          <w:rFonts w:hint="eastAsia" w:ascii="宋体" w:hAnsi="宋体" w:eastAsia="宋体" w:cs="宋体"/>
          <w:sz w:val="32"/>
          <w:szCs w:val="32"/>
          <w:lang w:val="en-US" w:eastAsia="zh-CN"/>
        </w:rPr>
        <w:t>3</w:t>
      </w:r>
      <w:r>
        <w:rPr>
          <w:rFonts w:hint="eastAsia" w:ascii="宋体" w:hAnsi="宋体" w:eastAsia="宋体" w:cs="宋体"/>
          <w:sz w:val="32"/>
          <w:szCs w:val="32"/>
        </w:rPr>
        <w:t>、商业服务业等支出（类）商业流通事务（款）</w:t>
      </w:r>
      <w:r>
        <w:rPr>
          <w:rFonts w:hint="eastAsia" w:ascii="宋体" w:hAnsi="宋体" w:eastAsia="宋体" w:cs="Times New Roman"/>
          <w:sz w:val="32"/>
          <w:szCs w:val="32"/>
        </w:rPr>
        <w:t>行政运行</w:t>
      </w:r>
      <w:r>
        <w:rPr>
          <w:rFonts w:hint="eastAsia" w:ascii="宋体" w:hAnsi="宋体" w:eastAsia="宋体" w:cs="宋体"/>
          <w:sz w:val="32"/>
          <w:szCs w:val="32"/>
        </w:rPr>
        <w:t>（项）。</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w:t>
      </w:r>
      <w:r>
        <w:rPr>
          <w:rFonts w:ascii="宋体" w:hAnsi="宋体" w:eastAsia="宋体" w:cs="宋体"/>
          <w:sz w:val="32"/>
          <w:szCs w:val="32"/>
        </w:rPr>
        <w:t>21.2</w:t>
      </w:r>
      <w:r>
        <w:rPr>
          <w:rFonts w:hint="eastAsia" w:ascii="宋体" w:hAnsi="宋体" w:eastAsia="宋体" w:cs="宋体"/>
          <w:sz w:val="32"/>
          <w:szCs w:val="32"/>
        </w:rPr>
        <w:t>万元，由于预算数为0，无法计算百分比，决算数大于年初预算数的主要原因是：年中追加。</w:t>
      </w:r>
    </w:p>
    <w:p>
      <w:pPr>
        <w:pStyle w:val="11"/>
        <w:ind w:firstLine="800" w:firstLineChars="250"/>
        <w:rPr>
          <w:rFonts w:ascii="宋体" w:hAnsi="宋体" w:eastAsia="宋体" w:cs="Times New Roman"/>
          <w:sz w:val="32"/>
          <w:szCs w:val="32"/>
        </w:rPr>
      </w:pPr>
      <w:r>
        <w:rPr>
          <w:rFonts w:ascii="宋体" w:hAnsi="宋体" w:eastAsia="宋体" w:cs="宋体"/>
          <w:sz w:val="32"/>
          <w:szCs w:val="32"/>
        </w:rPr>
        <w:tab/>
      </w:r>
      <w:r>
        <w:rPr>
          <w:rFonts w:hint="eastAsia" w:ascii="宋体" w:hAnsi="宋体" w:eastAsia="宋体" w:cs="宋体"/>
          <w:sz w:val="32"/>
          <w:szCs w:val="32"/>
        </w:rPr>
        <w:t>1</w:t>
      </w:r>
      <w:r>
        <w:rPr>
          <w:rFonts w:hint="eastAsia" w:ascii="宋体" w:hAnsi="宋体" w:eastAsia="宋体" w:cs="宋体"/>
          <w:sz w:val="32"/>
          <w:szCs w:val="32"/>
          <w:lang w:val="en-US" w:eastAsia="zh-CN"/>
        </w:rPr>
        <w:t>4</w:t>
      </w:r>
      <w:r>
        <w:rPr>
          <w:rFonts w:hint="eastAsia" w:ascii="宋体" w:hAnsi="宋体" w:eastAsia="宋体" w:cs="宋体"/>
          <w:sz w:val="32"/>
          <w:szCs w:val="32"/>
        </w:rPr>
        <w:t>、商业服务业等支出（类）商业流通事务（款）</w:t>
      </w:r>
      <w:r>
        <w:rPr>
          <w:rFonts w:hint="eastAsia" w:ascii="宋体" w:hAnsi="宋体" w:eastAsia="宋体" w:cs="Times New Roman"/>
          <w:sz w:val="32"/>
          <w:szCs w:val="32"/>
        </w:rPr>
        <w:t xml:space="preserve">  其他商业流通事务支出</w:t>
      </w:r>
      <w:r>
        <w:rPr>
          <w:rFonts w:hint="eastAsia" w:ascii="宋体" w:hAnsi="宋体" w:eastAsia="宋体" w:cs="宋体"/>
          <w:sz w:val="32"/>
          <w:szCs w:val="32"/>
        </w:rPr>
        <w:t>（项）。</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年初预算为0万元，支出决算为20万元，由于预算数为0，无法计算百分比，决算数大于年初预算数的主要原因是：年中追加。</w:t>
      </w:r>
    </w:p>
    <w:p>
      <w:pPr>
        <w:pStyle w:val="11"/>
        <w:ind w:firstLine="800" w:firstLineChars="250"/>
        <w:rPr>
          <w:rFonts w:ascii="宋体" w:hAnsi="宋体" w:eastAsia="宋体" w:cs="Times New Roman"/>
          <w:sz w:val="32"/>
          <w:szCs w:val="32"/>
        </w:rPr>
      </w:pPr>
      <w:r>
        <w:rPr>
          <w:rFonts w:ascii="宋体" w:hAnsi="宋体" w:eastAsia="宋体" w:cs="宋体"/>
          <w:sz w:val="32"/>
          <w:szCs w:val="32"/>
        </w:rPr>
        <w:tab/>
      </w:r>
      <w:r>
        <w:rPr>
          <w:rFonts w:hint="eastAsia" w:ascii="宋体" w:hAnsi="宋体" w:eastAsia="宋体" w:cs="宋体"/>
          <w:sz w:val="32"/>
          <w:szCs w:val="32"/>
        </w:rPr>
        <w:t>1</w:t>
      </w:r>
      <w:r>
        <w:rPr>
          <w:rFonts w:hint="eastAsia" w:ascii="宋体" w:hAnsi="宋体" w:eastAsia="宋体" w:cs="宋体"/>
          <w:sz w:val="32"/>
          <w:szCs w:val="32"/>
          <w:lang w:val="en-US" w:eastAsia="zh-CN"/>
        </w:rPr>
        <w:t>5</w:t>
      </w:r>
      <w:r>
        <w:rPr>
          <w:rFonts w:hint="eastAsia" w:ascii="宋体" w:hAnsi="宋体" w:eastAsia="宋体" w:cs="宋体"/>
          <w:sz w:val="32"/>
          <w:szCs w:val="32"/>
        </w:rPr>
        <w:t>、商业服务业等支出（类）涉外发展服务支出（款）</w:t>
      </w:r>
      <w:r>
        <w:rPr>
          <w:rFonts w:hint="eastAsia" w:ascii="宋体" w:hAnsi="宋体" w:eastAsia="宋体" w:cs="Times New Roman"/>
          <w:sz w:val="32"/>
          <w:szCs w:val="32"/>
        </w:rPr>
        <w:t>其他涉外发展服务支出</w:t>
      </w:r>
      <w:r>
        <w:rPr>
          <w:rFonts w:hint="eastAsia" w:ascii="宋体" w:hAnsi="宋体" w:eastAsia="宋体" w:cs="宋体"/>
          <w:sz w:val="32"/>
          <w:szCs w:val="32"/>
        </w:rPr>
        <w:t>（项）。</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年初预算为0万元，支出决算为20万元，由于预算数为0，无法计算百分比，决算数大于年初预算数的主要原因是：年中追加。</w:t>
      </w:r>
    </w:p>
    <w:p>
      <w:pPr>
        <w:pStyle w:val="11"/>
        <w:ind w:firstLine="800" w:firstLineChars="250"/>
        <w:rPr>
          <w:rFonts w:ascii="宋体" w:hAnsi="宋体" w:eastAsia="宋体" w:cs="Times New Roman"/>
          <w:sz w:val="32"/>
          <w:szCs w:val="32"/>
        </w:rPr>
      </w:pPr>
      <w:r>
        <w:rPr>
          <w:rFonts w:ascii="宋体" w:hAnsi="宋体" w:eastAsia="宋体" w:cs="宋体"/>
          <w:sz w:val="32"/>
          <w:szCs w:val="32"/>
        </w:rPr>
        <w:tab/>
      </w:r>
      <w:r>
        <w:rPr>
          <w:rFonts w:hint="eastAsia" w:ascii="宋体" w:hAnsi="宋体" w:eastAsia="宋体" w:cs="宋体"/>
          <w:sz w:val="32"/>
          <w:szCs w:val="32"/>
        </w:rPr>
        <w:t>1</w:t>
      </w:r>
      <w:r>
        <w:rPr>
          <w:rFonts w:hint="eastAsia" w:ascii="宋体" w:hAnsi="宋体" w:eastAsia="宋体" w:cs="宋体"/>
          <w:sz w:val="32"/>
          <w:szCs w:val="32"/>
          <w:lang w:val="en-US" w:eastAsia="zh-CN"/>
        </w:rPr>
        <w:t>6</w:t>
      </w:r>
      <w:r>
        <w:rPr>
          <w:rFonts w:hint="eastAsia" w:ascii="宋体" w:hAnsi="宋体" w:eastAsia="宋体" w:cs="宋体"/>
          <w:sz w:val="32"/>
          <w:szCs w:val="32"/>
        </w:rPr>
        <w:t>、商业服务业等支出（类）其他商业服务业等支出（款）</w:t>
      </w:r>
      <w:r>
        <w:rPr>
          <w:rFonts w:hint="eastAsia" w:ascii="宋体" w:hAnsi="宋体" w:eastAsia="宋体" w:cs="Times New Roman"/>
          <w:sz w:val="32"/>
          <w:szCs w:val="32"/>
        </w:rPr>
        <w:t>其他商业服务业等支出</w:t>
      </w:r>
      <w:r>
        <w:rPr>
          <w:rFonts w:hint="eastAsia" w:ascii="宋体" w:hAnsi="宋体" w:eastAsia="宋体" w:cs="宋体"/>
          <w:sz w:val="32"/>
          <w:szCs w:val="32"/>
        </w:rPr>
        <w:t>（项）。</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年初预算为0万元，支出决算为140.77万元，由于预算数为0，无法计算百分比，决算数大于年初预算数的主要原因是：年中追加。</w:t>
      </w:r>
    </w:p>
    <w:p>
      <w:pPr>
        <w:pStyle w:val="11"/>
        <w:ind w:firstLine="800" w:firstLineChars="250"/>
        <w:rPr>
          <w:rFonts w:ascii="宋体" w:hAnsi="宋体" w:eastAsia="宋体" w:cs="Times New Roman"/>
          <w:sz w:val="32"/>
          <w:szCs w:val="32"/>
        </w:rPr>
      </w:pPr>
      <w:r>
        <w:rPr>
          <w:rFonts w:ascii="宋体" w:hAnsi="宋体" w:eastAsia="宋体" w:cs="宋体"/>
          <w:sz w:val="32"/>
          <w:szCs w:val="32"/>
        </w:rPr>
        <w:tab/>
      </w:r>
      <w:r>
        <w:rPr>
          <w:rFonts w:hint="eastAsia" w:ascii="宋体" w:hAnsi="宋体" w:eastAsia="宋体" w:cs="宋体"/>
          <w:sz w:val="32"/>
          <w:szCs w:val="32"/>
        </w:rPr>
        <w:t>1</w:t>
      </w:r>
      <w:r>
        <w:rPr>
          <w:rFonts w:hint="eastAsia" w:ascii="宋体" w:hAnsi="宋体" w:eastAsia="宋体" w:cs="宋体"/>
          <w:sz w:val="32"/>
          <w:szCs w:val="32"/>
          <w:lang w:val="en-US" w:eastAsia="zh-CN"/>
        </w:rPr>
        <w:t>7</w:t>
      </w:r>
      <w:r>
        <w:rPr>
          <w:rFonts w:hint="eastAsia" w:ascii="宋体" w:hAnsi="宋体" w:eastAsia="宋体" w:cs="宋体"/>
          <w:sz w:val="32"/>
          <w:szCs w:val="32"/>
        </w:rPr>
        <w:t>、住房保障支出（类）住房改革支出（款）</w:t>
      </w:r>
      <w:r>
        <w:rPr>
          <w:rFonts w:hint="eastAsia" w:ascii="宋体" w:hAnsi="宋体" w:eastAsia="宋体" w:cs="Times New Roman"/>
          <w:sz w:val="32"/>
          <w:szCs w:val="32"/>
        </w:rPr>
        <w:t xml:space="preserve">    住房公积金</w:t>
      </w:r>
      <w:r>
        <w:rPr>
          <w:rFonts w:hint="eastAsia" w:ascii="宋体" w:hAnsi="宋体" w:eastAsia="宋体" w:cs="宋体"/>
          <w:sz w:val="32"/>
          <w:szCs w:val="32"/>
        </w:rPr>
        <w:t>（项）。</w:t>
      </w:r>
    </w:p>
    <w:p>
      <w:pPr>
        <w:pStyle w:val="11"/>
        <w:ind w:firstLine="800" w:firstLineChars="250"/>
        <w:rPr>
          <w:rFonts w:ascii="宋体" w:hAnsi="宋体" w:eastAsia="宋体" w:cs="宋体"/>
          <w:sz w:val="32"/>
          <w:szCs w:val="32"/>
        </w:rPr>
      </w:pPr>
      <w:r>
        <w:rPr>
          <w:rFonts w:hint="eastAsia" w:ascii="宋体" w:hAnsi="宋体" w:eastAsia="宋体" w:cs="宋体"/>
          <w:sz w:val="32"/>
          <w:szCs w:val="32"/>
        </w:rPr>
        <w:t>年初预算为33.63万元，支出决算为</w:t>
      </w:r>
      <w:r>
        <w:rPr>
          <w:rFonts w:ascii="宋体" w:hAnsi="宋体" w:eastAsia="宋体" w:cs="宋体"/>
          <w:sz w:val="32"/>
          <w:szCs w:val="32"/>
        </w:rPr>
        <w:t>33.63</w:t>
      </w:r>
      <w:r>
        <w:rPr>
          <w:rFonts w:hint="eastAsia" w:ascii="宋体" w:hAnsi="宋体" w:eastAsia="宋体" w:cs="宋体"/>
          <w:sz w:val="32"/>
          <w:szCs w:val="32"/>
        </w:rPr>
        <w:t>万元，完成年初预算的100%，决算数</w:t>
      </w:r>
      <w:r>
        <w:rPr>
          <w:rFonts w:hint="eastAsia" w:ascii="宋体" w:hAnsi="宋体" w:eastAsia="宋体" w:cs="宋体"/>
          <w:sz w:val="32"/>
          <w:szCs w:val="32"/>
          <w:lang w:val="en-US" w:eastAsia="zh-CN"/>
        </w:rPr>
        <w:t>等</w:t>
      </w:r>
      <w:r>
        <w:rPr>
          <w:rFonts w:hint="eastAsia" w:ascii="宋体" w:hAnsi="宋体" w:eastAsia="宋体" w:cs="宋体"/>
          <w:sz w:val="32"/>
          <w:szCs w:val="32"/>
        </w:rPr>
        <w:t>于年初预算数的主要原因是：</w:t>
      </w:r>
      <w:r>
        <w:rPr>
          <w:rFonts w:hint="eastAsia" w:ascii="宋体" w:hAnsi="宋体" w:eastAsia="宋体" w:cs="宋体"/>
          <w:sz w:val="32"/>
          <w:szCs w:val="32"/>
          <w:lang w:val="en-US" w:eastAsia="zh-CN"/>
        </w:rPr>
        <w:t>严格控制经费开支</w:t>
      </w:r>
      <w:r>
        <w:rPr>
          <w:rFonts w:hint="eastAsia" w:ascii="宋体" w:hAnsi="宋体" w:eastAsia="宋体" w:cs="宋体"/>
          <w:sz w:val="32"/>
          <w:szCs w:val="32"/>
        </w:rPr>
        <w:t>。</w:t>
      </w:r>
    </w:p>
    <w:p>
      <w:pPr>
        <w:pStyle w:val="11"/>
        <w:ind w:firstLine="800" w:firstLineChars="250"/>
        <w:rPr>
          <w:rFonts w:hAnsi="黑体" w:cs="Times New Roman"/>
          <w:b/>
          <w:bCs/>
          <w:sz w:val="32"/>
          <w:szCs w:val="32"/>
        </w:rPr>
      </w:pPr>
      <w:r>
        <w:rPr>
          <w:rFonts w:hint="eastAsia" w:hAnsi="黑体"/>
          <w:b/>
          <w:bCs/>
          <w:sz w:val="32"/>
          <w:szCs w:val="32"/>
        </w:rPr>
        <w:t>六、一般公共预算财政拨款基本支出决算情况说明</w:t>
      </w:r>
    </w:p>
    <w:p>
      <w:pPr>
        <w:pStyle w:val="11"/>
        <w:ind w:firstLine="640" w:firstLineChars="200"/>
        <w:rPr>
          <w:rFonts w:ascii="宋体" w:hAnsi="宋体" w:eastAsia="宋体" w:cs="Times New Roman"/>
          <w:sz w:val="32"/>
          <w:szCs w:val="32"/>
        </w:rPr>
      </w:pPr>
      <w:r>
        <w:rPr>
          <w:rFonts w:ascii="宋体" w:hAnsi="宋体" w:eastAsia="宋体" w:cs="宋体"/>
          <w:sz w:val="32"/>
          <w:szCs w:val="32"/>
        </w:rPr>
        <w:t>20</w:t>
      </w:r>
      <w:r>
        <w:rPr>
          <w:rFonts w:hint="eastAsia" w:ascii="宋体" w:hAnsi="宋体" w:eastAsia="宋体" w:cs="宋体"/>
          <w:sz w:val="32"/>
          <w:szCs w:val="32"/>
        </w:rPr>
        <w:t>22年度一般公共预算财政拨款基本支出</w:t>
      </w:r>
      <w:r>
        <w:rPr>
          <w:rFonts w:ascii="宋体" w:hAnsi="宋体" w:eastAsia="宋体" w:cs="宋体"/>
          <w:sz w:val="32"/>
          <w:szCs w:val="32"/>
        </w:rPr>
        <w:t>717.88</w:t>
      </w:r>
      <w:r>
        <w:rPr>
          <w:rFonts w:hint="eastAsia" w:ascii="宋体" w:hAnsi="宋体" w:eastAsia="宋体" w:cs="宋体"/>
          <w:sz w:val="32"/>
          <w:szCs w:val="32"/>
        </w:rPr>
        <w:t>万元，其中：人员经费</w:t>
      </w:r>
      <w:r>
        <w:rPr>
          <w:rFonts w:ascii="宋体" w:hAnsi="宋体" w:eastAsia="宋体" w:cs="宋体"/>
          <w:sz w:val="32"/>
          <w:szCs w:val="32"/>
        </w:rPr>
        <w:t>623.75</w:t>
      </w:r>
      <w:r>
        <w:rPr>
          <w:rFonts w:hint="eastAsia" w:ascii="宋体" w:hAnsi="宋体" w:eastAsia="宋体" w:cs="宋体"/>
          <w:sz w:val="32"/>
          <w:szCs w:val="32"/>
        </w:rPr>
        <w:t>万元，占基本支出的86.89</w:t>
      </w:r>
      <w:r>
        <w:rPr>
          <w:rFonts w:ascii="宋体" w:hAnsi="宋体" w:eastAsia="宋体" w:cs="宋体"/>
          <w:sz w:val="32"/>
          <w:szCs w:val="32"/>
        </w:rPr>
        <w:t>%,</w:t>
      </w:r>
      <w:r>
        <w:rPr>
          <w:rFonts w:hint="eastAsia" w:ascii="宋体" w:hAnsi="宋体" w:eastAsia="宋体" w:cs="宋体"/>
          <w:sz w:val="32"/>
          <w:szCs w:val="32"/>
        </w:rPr>
        <w:t>主要包括基本工资、津贴补贴、奖金、伙食补助费等；公用经费</w:t>
      </w:r>
      <w:r>
        <w:rPr>
          <w:rFonts w:ascii="宋体" w:hAnsi="宋体" w:eastAsia="宋体" w:cs="宋体"/>
          <w:sz w:val="32"/>
          <w:szCs w:val="32"/>
        </w:rPr>
        <w:t>94.13</w:t>
      </w:r>
      <w:r>
        <w:rPr>
          <w:rFonts w:hint="eastAsia" w:ascii="宋体" w:hAnsi="宋体" w:eastAsia="宋体" w:cs="宋体"/>
          <w:sz w:val="32"/>
          <w:szCs w:val="32"/>
        </w:rPr>
        <w:t>万元，占基本支出的13.11</w:t>
      </w:r>
      <w:r>
        <w:rPr>
          <w:rFonts w:ascii="宋体" w:hAnsi="宋体" w:eastAsia="宋体" w:cs="宋体"/>
          <w:sz w:val="32"/>
          <w:szCs w:val="32"/>
        </w:rPr>
        <w:t>%</w:t>
      </w:r>
      <w:r>
        <w:rPr>
          <w:rFonts w:hint="eastAsia" w:ascii="宋体" w:hAnsi="宋体" w:eastAsia="宋体" w:cs="宋体"/>
          <w:sz w:val="32"/>
          <w:szCs w:val="32"/>
        </w:rPr>
        <w:t>，主要包括办公费、印刷费、咨询费、手续费等。</w:t>
      </w:r>
    </w:p>
    <w:p>
      <w:pPr>
        <w:pStyle w:val="11"/>
        <w:rPr>
          <w:rFonts w:hAnsi="黑体" w:cs="Times New Roman"/>
          <w:b/>
          <w:bCs/>
          <w:sz w:val="32"/>
          <w:szCs w:val="32"/>
        </w:rPr>
      </w:pPr>
      <w:r>
        <w:rPr>
          <w:rFonts w:hint="eastAsia" w:hAnsi="黑体"/>
          <w:b/>
          <w:bCs/>
          <w:sz w:val="32"/>
          <w:szCs w:val="32"/>
        </w:rPr>
        <w:t>七、一般公共预算财政拨款三公经费支出决算情况说明</w:t>
      </w:r>
    </w:p>
    <w:p>
      <w:pPr>
        <w:pStyle w:val="11"/>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“三公”经费财政拨款支出预算为80万元，支出决算为</w:t>
      </w:r>
      <w:r>
        <w:rPr>
          <w:rFonts w:ascii="宋体" w:hAnsi="宋体" w:eastAsia="宋体" w:cs="宋体"/>
          <w:sz w:val="32"/>
          <w:szCs w:val="32"/>
        </w:rPr>
        <w:t>64.94</w:t>
      </w:r>
      <w:r>
        <w:rPr>
          <w:rFonts w:hint="eastAsia" w:ascii="宋体" w:hAnsi="宋体" w:eastAsia="宋体" w:cs="宋体"/>
          <w:sz w:val="32"/>
          <w:szCs w:val="32"/>
        </w:rPr>
        <w:t>万元，完成预算的82</w:t>
      </w:r>
      <w:r>
        <w:rPr>
          <w:rFonts w:ascii="宋体" w:hAnsi="宋体" w:eastAsia="宋体" w:cs="宋体"/>
          <w:sz w:val="32"/>
          <w:szCs w:val="32"/>
        </w:rPr>
        <w:t>%</w:t>
      </w:r>
      <w:r>
        <w:rPr>
          <w:rFonts w:hint="eastAsia" w:ascii="宋体" w:hAnsi="宋体" w:eastAsia="宋体" w:cs="宋体"/>
          <w:sz w:val="32"/>
          <w:szCs w:val="32"/>
        </w:rPr>
        <w:t>，其中：</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因公出国（境）费支出预算为0万元，支出决算为0万元，由于预算数为0，无法计算百分比</w:t>
      </w:r>
      <w:r>
        <w:rPr>
          <w:rFonts w:hint="eastAsia" w:ascii="宋体" w:hAnsi="宋体" w:eastAsia="宋体" w:cs="宋体"/>
          <w:sz w:val="32"/>
          <w:szCs w:val="32"/>
          <w:lang w:eastAsia="zh-CN"/>
        </w:rPr>
        <w:t>，决算数等于预算数的主要原因是厉行节约，未安排；与上年相比无变化，主要原因是厉行节约，未安排</w:t>
      </w:r>
      <w:r>
        <w:rPr>
          <w:rFonts w:hint="eastAsia" w:ascii="宋体" w:hAnsi="宋体" w:eastAsia="宋体" w:cs="宋体"/>
          <w:sz w:val="32"/>
          <w:szCs w:val="32"/>
        </w:rPr>
        <w:t>。</w:t>
      </w:r>
    </w:p>
    <w:p>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公务接待费支出预算为75.5万元，支出决算为</w:t>
      </w:r>
      <w:r>
        <w:rPr>
          <w:rFonts w:ascii="宋体" w:hAnsi="宋体" w:eastAsia="宋体" w:cs="宋体"/>
          <w:sz w:val="32"/>
          <w:szCs w:val="32"/>
        </w:rPr>
        <w:t>60.46</w:t>
      </w:r>
      <w:r>
        <w:rPr>
          <w:rFonts w:hint="eastAsia" w:ascii="宋体" w:hAnsi="宋体" w:eastAsia="宋体" w:cs="宋体"/>
          <w:sz w:val="32"/>
          <w:szCs w:val="32"/>
        </w:rPr>
        <w:t>万元，完成预算的80</w:t>
      </w:r>
      <w:r>
        <w:rPr>
          <w:rFonts w:ascii="宋体" w:hAnsi="宋体" w:eastAsia="宋体" w:cs="宋体"/>
          <w:sz w:val="32"/>
          <w:szCs w:val="32"/>
        </w:rPr>
        <w:t>%</w:t>
      </w:r>
      <w:r>
        <w:rPr>
          <w:rFonts w:hint="eastAsia" w:ascii="宋体" w:hAnsi="宋体" w:eastAsia="宋体" w:cs="宋体"/>
          <w:sz w:val="32"/>
          <w:szCs w:val="32"/>
        </w:rPr>
        <w:t>，决算数小于预算数的主要原因是考察及招商活动减少，与上年</w:t>
      </w:r>
      <w:r>
        <w:rPr>
          <w:rFonts w:hint="eastAsia" w:ascii="宋体" w:hAnsi="宋体" w:eastAsia="宋体" w:cs="宋体"/>
          <w:sz w:val="32"/>
          <w:szCs w:val="32"/>
          <w:lang w:val="en-US" w:eastAsia="zh-CN"/>
        </w:rPr>
        <w:t>相比</w:t>
      </w:r>
      <w:r>
        <w:rPr>
          <w:rFonts w:hint="eastAsia" w:ascii="宋体" w:hAnsi="宋体" w:eastAsia="宋体" w:cs="宋体"/>
          <w:sz w:val="32"/>
          <w:szCs w:val="32"/>
        </w:rPr>
        <w:t>减少18.05万元，减少23</w:t>
      </w:r>
      <w:r>
        <w:rPr>
          <w:rFonts w:ascii="宋体" w:hAnsi="宋体" w:eastAsia="宋体" w:cs="宋体"/>
          <w:sz w:val="32"/>
          <w:szCs w:val="32"/>
        </w:rPr>
        <w:t>%,</w:t>
      </w:r>
      <w:r>
        <w:rPr>
          <w:rFonts w:hint="eastAsia" w:ascii="宋体" w:hAnsi="宋体" w:eastAsia="宋体" w:cs="宋体"/>
          <w:sz w:val="32"/>
          <w:szCs w:val="32"/>
        </w:rPr>
        <w:t>减少的主要原因是招商活动减少。</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公务用车购置费及运行维护费支出预算为4.5万元，支出决算为4.48万元，完成预算的99.56%</w:t>
      </w:r>
      <w:r>
        <w:rPr>
          <w:rFonts w:hint="eastAsia" w:ascii="宋体" w:hAnsi="宋体" w:eastAsia="宋体" w:cs="宋体"/>
          <w:sz w:val="32"/>
          <w:szCs w:val="32"/>
        </w:rPr>
        <w:t>，决算数小于预算数的主要原因是</w:t>
      </w:r>
      <w:r>
        <w:rPr>
          <w:rFonts w:hint="eastAsia" w:ascii="宋体" w:hAnsi="宋体" w:eastAsia="宋体" w:cs="宋体"/>
          <w:sz w:val="32"/>
          <w:szCs w:val="32"/>
          <w:lang w:val="en-US" w:eastAsia="zh-CN"/>
        </w:rPr>
        <w:t>严格控制经费开支</w:t>
      </w:r>
      <w:r>
        <w:rPr>
          <w:rFonts w:hint="eastAsia" w:ascii="宋体" w:hAnsi="宋体" w:eastAsia="宋体" w:cs="宋体"/>
          <w:sz w:val="32"/>
          <w:szCs w:val="32"/>
        </w:rPr>
        <w:t>，较上年增加2.24万元，增加原因是2022年我局招商引资及安全生产检查较上年增加，车辆燃油等运行维护费相应增加，且</w:t>
      </w:r>
      <w:bookmarkStart w:id="3" w:name="_GoBack"/>
      <w:bookmarkEnd w:id="3"/>
      <w:r>
        <w:rPr>
          <w:rFonts w:hint="eastAsia" w:ascii="宋体" w:hAnsi="宋体" w:eastAsia="宋体" w:cs="宋体"/>
          <w:sz w:val="32"/>
          <w:szCs w:val="32"/>
        </w:rPr>
        <w:t>当年度车辆故障频繁，维修费也相应增加。</w:t>
      </w:r>
    </w:p>
    <w:p>
      <w:pPr>
        <w:pStyle w:val="11"/>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pPr>
        <w:pStyle w:val="11"/>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rPr>
        <w:t>2年度“三公”经费财政拨款支出决算中，公务接待费支出决算60.46万元，占93.1</w:t>
      </w:r>
      <w:r>
        <w:rPr>
          <w:rFonts w:ascii="宋体" w:hAnsi="宋体" w:eastAsia="宋体" w:cs="宋体"/>
          <w:sz w:val="32"/>
          <w:szCs w:val="32"/>
        </w:rPr>
        <w:t>%,</w:t>
      </w:r>
      <w:r>
        <w:rPr>
          <w:rFonts w:hint="eastAsia" w:ascii="宋体" w:hAnsi="宋体" w:eastAsia="宋体" w:cs="宋体"/>
          <w:sz w:val="32"/>
          <w:szCs w:val="32"/>
        </w:rPr>
        <w:t>因公出国（境）费支出决算0万元，占0</w:t>
      </w:r>
      <w:r>
        <w:rPr>
          <w:rFonts w:ascii="宋体" w:hAnsi="宋体" w:eastAsia="宋体" w:cs="宋体"/>
          <w:sz w:val="32"/>
          <w:szCs w:val="32"/>
        </w:rPr>
        <w:t>%,</w:t>
      </w:r>
      <w:r>
        <w:rPr>
          <w:rFonts w:hint="eastAsia" w:ascii="宋体" w:hAnsi="宋体" w:eastAsia="宋体" w:cs="宋体"/>
          <w:sz w:val="32"/>
          <w:szCs w:val="32"/>
        </w:rPr>
        <w:t>公务用车购置费及运行维护费支出决算4.48万元，占6.9</w:t>
      </w:r>
      <w:r>
        <w:rPr>
          <w:rFonts w:ascii="宋体" w:hAnsi="宋体" w:eastAsia="宋体" w:cs="宋体"/>
          <w:sz w:val="32"/>
          <w:szCs w:val="32"/>
        </w:rPr>
        <w:t>%</w:t>
      </w:r>
      <w:r>
        <w:rPr>
          <w:rFonts w:hint="eastAsia" w:ascii="宋体" w:hAnsi="宋体" w:eastAsia="宋体" w:cs="宋体"/>
          <w:sz w:val="32"/>
          <w:szCs w:val="32"/>
        </w:rPr>
        <w:t>。其中：</w:t>
      </w:r>
    </w:p>
    <w:p>
      <w:pPr>
        <w:pStyle w:val="11"/>
        <w:ind w:firstLine="640" w:firstLineChars="200"/>
        <w:rPr>
          <w:rFonts w:hint="eastAsia" w:ascii="宋体" w:hAnsi="宋体" w:eastAsia="宋体" w:cs="Times New Roman"/>
          <w:b/>
          <w:bCs/>
          <w:sz w:val="32"/>
          <w:szCs w:val="32"/>
          <w:lang w:eastAsia="zh-CN"/>
        </w:rPr>
      </w:pPr>
      <w:r>
        <w:rPr>
          <w:rFonts w:ascii="宋体" w:hAnsi="宋体" w:eastAsia="宋体" w:cs="宋体"/>
          <w:sz w:val="32"/>
          <w:szCs w:val="32"/>
        </w:rPr>
        <w:t>1</w:t>
      </w:r>
      <w:r>
        <w:rPr>
          <w:rFonts w:hint="eastAsia" w:ascii="宋体" w:hAnsi="宋体" w:eastAsia="宋体" w:cs="宋体"/>
          <w:sz w:val="32"/>
          <w:szCs w:val="32"/>
        </w:rPr>
        <w:t>、因公出国（境）费支出决算0元，全年安排因公出国（境）团组0个，累计0人次</w:t>
      </w:r>
      <w:r>
        <w:rPr>
          <w:rFonts w:ascii="宋体" w:hAnsi="宋体" w:eastAsia="宋体" w:cs="宋体"/>
          <w:sz w:val="32"/>
          <w:szCs w:val="32"/>
        </w:rPr>
        <w:t>,</w:t>
      </w:r>
      <w:r>
        <w:rPr>
          <w:rFonts w:hint="eastAsia" w:ascii="宋体" w:hAnsi="宋体" w:eastAsia="宋体" w:cs="宋体"/>
          <w:sz w:val="32"/>
          <w:szCs w:val="32"/>
          <w:lang w:val="en-US" w:eastAsia="zh-CN"/>
        </w:rPr>
        <w:t>无</w:t>
      </w:r>
      <w:r>
        <w:rPr>
          <w:rFonts w:hint="eastAsia" w:ascii="宋体" w:hAnsi="宋体" w:eastAsia="宋体" w:cs="宋体"/>
          <w:sz w:val="32"/>
          <w:szCs w:val="32"/>
        </w:rPr>
        <w:t>开支内容</w:t>
      </w:r>
      <w:r>
        <w:rPr>
          <w:rFonts w:hint="eastAsia" w:ascii="宋体" w:hAnsi="宋体" w:eastAsia="宋体" w:cs="宋体"/>
          <w:sz w:val="32"/>
          <w:szCs w:val="32"/>
          <w:lang w:eastAsia="zh-CN"/>
        </w:rPr>
        <w:t>。</w:t>
      </w:r>
    </w:p>
    <w:p>
      <w:pPr>
        <w:pStyle w:val="11"/>
        <w:ind w:firstLine="640" w:firstLineChars="20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、公务接待费支出决算为60.46万元，全年共接待来访团组264个、来宾2470人次，主要是招商引资活动发生的接待支出。</w:t>
      </w:r>
    </w:p>
    <w:p>
      <w:pPr>
        <w:ind w:firstLine="800" w:firstLineChars="250"/>
        <w:rPr>
          <w:rFonts w:ascii="宋体" w:cs="Times New Roman"/>
          <w:color w:val="000000"/>
          <w:kern w:val="0"/>
          <w:sz w:val="32"/>
          <w:szCs w:val="32"/>
        </w:rPr>
      </w:pPr>
      <w:r>
        <w:rPr>
          <w:rFonts w:ascii="宋体" w:hAnsi="宋体" w:cs="宋体"/>
          <w:sz w:val="32"/>
          <w:szCs w:val="32"/>
        </w:rPr>
        <w:t>3</w:t>
      </w:r>
      <w:r>
        <w:rPr>
          <w:rFonts w:hint="eastAsia" w:ascii="宋体" w:hAnsi="宋体" w:cs="宋体"/>
          <w:sz w:val="32"/>
          <w:szCs w:val="32"/>
        </w:rPr>
        <w:t>、公务用车购置费及运行维护费支出决算为4.48万元，其中：公务用车购置费0万元，本单位更新公务用车0辆，购置车辆0辆</w:t>
      </w:r>
      <w:r>
        <w:rPr>
          <w:rFonts w:hint="eastAsia" w:ascii="宋体" w:hAnsi="宋体" w:cs="宋体"/>
          <w:color w:val="000000"/>
          <w:sz w:val="32"/>
          <w:szCs w:val="32"/>
        </w:rPr>
        <w:t>。</w:t>
      </w:r>
      <w:r>
        <w:rPr>
          <w:rFonts w:hint="eastAsia" w:ascii="宋体" w:hAnsi="宋体" w:cs="宋体"/>
          <w:sz w:val="32"/>
          <w:szCs w:val="32"/>
        </w:rPr>
        <w:t>公务用车运行维护费4.48万元，主要是公务用车加油费、维修维护等相关支出，截止2022年12月31日，我单位开支财政拨款的公务用车保有量为1辆。</w:t>
      </w:r>
    </w:p>
    <w:p>
      <w:pPr>
        <w:pStyle w:val="11"/>
        <w:rPr>
          <w:rFonts w:hAnsi="黑体" w:cs="Times New Roman"/>
          <w:b/>
          <w:bCs/>
          <w:sz w:val="32"/>
          <w:szCs w:val="32"/>
        </w:rPr>
      </w:pPr>
      <w:r>
        <w:rPr>
          <w:rFonts w:hint="eastAsia" w:hAnsi="黑体"/>
          <w:b/>
          <w:bCs/>
          <w:sz w:val="32"/>
          <w:szCs w:val="32"/>
        </w:rPr>
        <w:t>八、政府性基金预算收入支出决算情况</w:t>
      </w:r>
    </w:p>
    <w:p>
      <w:pPr>
        <w:pStyle w:val="11"/>
        <w:ind w:firstLine="640" w:firstLineChars="200"/>
        <w:rPr>
          <w:rFonts w:ascii="宋体" w:hAnsi="宋体" w:eastAsia="宋体" w:cs="宋体"/>
          <w:color w:val="auto"/>
          <w:kern w:val="2"/>
          <w:sz w:val="32"/>
          <w:szCs w:val="32"/>
        </w:rPr>
      </w:pPr>
      <w:r>
        <w:rPr>
          <w:rFonts w:hint="eastAsia" w:ascii="宋体" w:hAnsi="宋体" w:eastAsia="宋体" w:cs="宋体"/>
          <w:color w:val="auto"/>
          <w:kern w:val="2"/>
          <w:sz w:val="32"/>
          <w:szCs w:val="32"/>
        </w:rPr>
        <w:t>本单位无政府性基金收支</w:t>
      </w:r>
    </w:p>
    <w:p>
      <w:pPr>
        <w:pStyle w:val="11"/>
        <w:rPr>
          <w:rFonts w:hAnsi="黑体" w:cs="Times New Roman"/>
          <w:b/>
          <w:bCs/>
          <w:sz w:val="32"/>
          <w:szCs w:val="32"/>
        </w:rPr>
      </w:pPr>
      <w:r>
        <w:rPr>
          <w:rFonts w:hint="eastAsia" w:hAnsi="黑体"/>
          <w:b/>
          <w:bCs/>
          <w:sz w:val="32"/>
          <w:szCs w:val="32"/>
        </w:rPr>
        <w:t>九、关于机关运行经费支出说明</w:t>
      </w:r>
    </w:p>
    <w:p>
      <w:pPr>
        <w:pStyle w:val="11"/>
        <w:ind w:firstLine="640" w:firstLineChars="200"/>
        <w:rPr>
          <w:rFonts w:ascii="宋体" w:hAnsi="宋体" w:cs="宋体"/>
          <w:sz w:val="32"/>
          <w:szCs w:val="32"/>
        </w:rPr>
      </w:pPr>
      <w:r>
        <w:rPr>
          <w:rFonts w:hint="eastAsia" w:ascii="宋体" w:hAnsi="宋体" w:eastAsia="宋体" w:cs="宋体"/>
          <w:sz w:val="32"/>
          <w:szCs w:val="32"/>
        </w:rPr>
        <w:t>本部门</w:t>
      </w:r>
      <w:r>
        <w:rPr>
          <w:rFonts w:ascii="宋体" w:hAnsi="宋体" w:eastAsia="宋体" w:cs="宋体"/>
          <w:sz w:val="32"/>
          <w:szCs w:val="32"/>
        </w:rPr>
        <w:t>202</w:t>
      </w:r>
      <w:r>
        <w:rPr>
          <w:rFonts w:hint="eastAsia" w:ascii="宋体" w:hAnsi="宋体" w:eastAsia="宋体" w:cs="宋体"/>
          <w:sz w:val="32"/>
          <w:szCs w:val="32"/>
        </w:rPr>
        <w:t>2年度机关运行经费支出</w:t>
      </w:r>
      <w:r>
        <w:rPr>
          <w:rFonts w:ascii="宋体" w:hAnsi="宋体" w:eastAsia="宋体" w:cs="宋体"/>
          <w:sz w:val="32"/>
          <w:szCs w:val="32"/>
        </w:rPr>
        <w:t>94.13</w:t>
      </w:r>
      <w:r>
        <w:rPr>
          <w:rFonts w:hint="eastAsia" w:ascii="宋体" w:hAnsi="宋体" w:eastAsia="宋体" w:cs="宋体"/>
          <w:sz w:val="32"/>
          <w:szCs w:val="32"/>
        </w:rPr>
        <w:t>万元，比上年决算数减少5.02</w:t>
      </w:r>
      <w:r>
        <w:rPr>
          <w:rFonts w:ascii="宋体" w:hAnsi="宋体" w:eastAsia="宋体" w:cs="宋体"/>
          <w:sz w:val="32"/>
          <w:szCs w:val="32"/>
        </w:rPr>
        <w:t xml:space="preserve"> </w:t>
      </w:r>
      <w:r>
        <w:rPr>
          <w:rFonts w:hint="eastAsia" w:ascii="宋体" w:hAnsi="宋体" w:eastAsia="宋体" w:cs="宋体"/>
          <w:sz w:val="32"/>
          <w:szCs w:val="32"/>
        </w:rPr>
        <w:t>万元，减少5</w:t>
      </w:r>
      <w:r>
        <w:rPr>
          <w:rFonts w:ascii="宋体" w:hAnsi="宋体" w:eastAsia="宋体" w:cs="宋体"/>
          <w:sz w:val="32"/>
          <w:szCs w:val="32"/>
        </w:rPr>
        <w:t>%</w:t>
      </w:r>
      <w:r>
        <w:rPr>
          <w:rFonts w:hint="eastAsia" w:ascii="宋体" w:hAnsi="宋体" w:eastAsia="宋体" w:cs="宋体"/>
          <w:sz w:val="32"/>
          <w:szCs w:val="32"/>
        </w:rPr>
        <w:t>。主要原因是：厉行节约。</w:t>
      </w:r>
    </w:p>
    <w:p>
      <w:pPr>
        <w:pStyle w:val="11"/>
        <w:rPr>
          <w:rFonts w:hAnsi="黑体"/>
          <w:b/>
          <w:bCs/>
          <w:sz w:val="32"/>
          <w:szCs w:val="32"/>
        </w:rPr>
      </w:pPr>
      <w:r>
        <w:rPr>
          <w:rFonts w:hint="eastAsia" w:hAnsi="黑体"/>
          <w:b/>
          <w:bCs/>
          <w:sz w:val="32"/>
          <w:szCs w:val="32"/>
        </w:rPr>
        <w:t>十、一般性支出情况</w:t>
      </w:r>
    </w:p>
    <w:p>
      <w:pPr>
        <w:pStyle w:val="11"/>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rPr>
        <w:t>2年</w:t>
      </w:r>
      <w:r>
        <w:rPr>
          <w:rFonts w:hint="eastAsia" w:ascii="宋体" w:hAnsi="宋体" w:eastAsia="宋体" w:cs="宋体"/>
          <w:sz w:val="32"/>
          <w:szCs w:val="32"/>
          <w:highlight w:val="none"/>
        </w:rPr>
        <w:t>本部门开支会议费1万元，</w:t>
      </w:r>
      <w:r>
        <w:rPr>
          <w:rFonts w:hint="eastAsia" w:ascii="宋体" w:hAnsi="宋体" w:eastAsia="宋体" w:cs="宋体"/>
          <w:sz w:val="32"/>
          <w:szCs w:val="32"/>
        </w:rPr>
        <w:t>用于开展老干、安全生产等会议，人数合计100余人，内容为企业安全生产主体责任落实。开支培训费0.92万元，用于开展本年度在岗培训等，人数40余人，内容为事业人员教育培训以及公文写作、职工家庭教育培训；举办节庆、晚会、论坛、赛事活动，开支0万元。</w:t>
      </w:r>
    </w:p>
    <w:p>
      <w:pPr>
        <w:pStyle w:val="11"/>
        <w:rPr>
          <w:rFonts w:hAnsi="黑体" w:cs="Times New Roman"/>
          <w:b/>
          <w:bCs/>
          <w:sz w:val="32"/>
          <w:szCs w:val="32"/>
        </w:rPr>
      </w:pPr>
      <w:r>
        <w:rPr>
          <w:rFonts w:hint="eastAsia" w:hAnsi="黑体"/>
          <w:b/>
          <w:bCs/>
          <w:sz w:val="32"/>
          <w:szCs w:val="32"/>
        </w:rPr>
        <w:t>十一、关于政府采购支出说明</w:t>
      </w:r>
    </w:p>
    <w:p>
      <w:pPr>
        <w:pStyle w:val="11"/>
        <w:ind w:firstLine="640" w:firstLineChars="200"/>
        <w:rPr>
          <w:rFonts w:ascii="宋体" w:hAnsi="宋体" w:eastAsia="宋体" w:cs="Times New Roman"/>
          <w:color w:val="auto"/>
          <w:sz w:val="32"/>
          <w:szCs w:val="32"/>
        </w:rPr>
      </w:pPr>
      <w:r>
        <w:rPr>
          <w:rFonts w:hint="eastAsia" w:ascii="宋体" w:hAnsi="宋体" w:eastAsia="宋体" w:cs="宋体"/>
          <w:color w:val="auto"/>
          <w:sz w:val="32"/>
          <w:szCs w:val="32"/>
        </w:rPr>
        <w:t>本部门2022年度政府采购支出总额</w:t>
      </w:r>
      <w:r>
        <w:rPr>
          <w:rFonts w:ascii="宋体" w:hAnsi="宋体" w:eastAsia="宋体" w:cs="宋体"/>
          <w:color w:val="auto"/>
          <w:sz w:val="32"/>
          <w:szCs w:val="32"/>
        </w:rPr>
        <w:t>108.69</w:t>
      </w:r>
      <w:r>
        <w:rPr>
          <w:rFonts w:hint="eastAsia" w:ascii="宋体" w:hAnsi="宋体" w:eastAsia="宋体" w:cs="宋体"/>
          <w:color w:val="auto"/>
          <w:sz w:val="32"/>
          <w:szCs w:val="32"/>
        </w:rPr>
        <w:t>万元，其中：政府采购货物支出</w:t>
      </w:r>
      <w:r>
        <w:rPr>
          <w:rFonts w:ascii="宋体" w:hAnsi="宋体" w:eastAsia="宋体" w:cs="宋体"/>
          <w:color w:val="auto"/>
          <w:sz w:val="32"/>
          <w:szCs w:val="32"/>
        </w:rPr>
        <w:t>48.32</w:t>
      </w:r>
      <w:r>
        <w:rPr>
          <w:rFonts w:hint="eastAsia" w:ascii="宋体" w:hAnsi="宋体" w:eastAsia="宋体" w:cs="宋体"/>
          <w:color w:val="auto"/>
          <w:sz w:val="32"/>
          <w:szCs w:val="32"/>
        </w:rPr>
        <w:t>万元、政府采购工程支出</w:t>
      </w:r>
      <w:r>
        <w:rPr>
          <w:rFonts w:ascii="宋体" w:hAnsi="宋体" w:eastAsia="宋体" w:cs="宋体"/>
          <w:color w:val="auto"/>
          <w:sz w:val="32"/>
          <w:szCs w:val="32"/>
        </w:rPr>
        <w:t>7.43</w:t>
      </w:r>
      <w:r>
        <w:rPr>
          <w:rFonts w:hint="eastAsia" w:ascii="宋体" w:hAnsi="宋体" w:eastAsia="宋体" w:cs="宋体"/>
          <w:color w:val="auto"/>
          <w:sz w:val="32"/>
          <w:szCs w:val="32"/>
        </w:rPr>
        <w:t>万元、政府采购服务支出</w:t>
      </w:r>
      <w:r>
        <w:rPr>
          <w:rFonts w:ascii="宋体" w:hAnsi="宋体" w:eastAsia="宋体" w:cs="宋体"/>
          <w:color w:val="auto"/>
          <w:sz w:val="32"/>
          <w:szCs w:val="32"/>
        </w:rPr>
        <w:t>52.94</w:t>
      </w:r>
      <w:r>
        <w:rPr>
          <w:rFonts w:hint="eastAsia" w:ascii="宋体" w:hAnsi="宋体" w:eastAsia="宋体" w:cs="宋体"/>
          <w:color w:val="auto"/>
          <w:sz w:val="32"/>
          <w:szCs w:val="32"/>
        </w:rPr>
        <w:t>万元。授予中小企业合同金额</w:t>
      </w:r>
      <w:r>
        <w:rPr>
          <w:rFonts w:ascii="宋体" w:hAnsi="宋体" w:eastAsia="宋体" w:cs="宋体"/>
          <w:color w:val="auto"/>
          <w:sz w:val="32"/>
          <w:szCs w:val="32"/>
        </w:rPr>
        <w:t>107.49</w:t>
      </w:r>
      <w:r>
        <w:rPr>
          <w:rFonts w:hint="eastAsia" w:ascii="宋体" w:hAnsi="宋体" w:eastAsia="宋体" w:cs="宋体"/>
          <w:color w:val="auto"/>
          <w:sz w:val="32"/>
          <w:szCs w:val="32"/>
        </w:rPr>
        <w:t>万元，占政府采购支出总额的99%，其中：授予小微企业合同金额</w:t>
      </w:r>
      <w:r>
        <w:rPr>
          <w:rFonts w:ascii="宋体" w:hAnsi="宋体" w:eastAsia="宋体" w:cs="宋体"/>
          <w:color w:val="auto"/>
          <w:sz w:val="32"/>
          <w:szCs w:val="32"/>
        </w:rPr>
        <w:t>107.49</w:t>
      </w:r>
      <w:r>
        <w:rPr>
          <w:rFonts w:hint="eastAsia" w:ascii="宋体" w:hAnsi="宋体" w:eastAsia="宋体" w:cs="宋体"/>
          <w:color w:val="auto"/>
          <w:sz w:val="32"/>
          <w:szCs w:val="32"/>
        </w:rPr>
        <w:t>万元，占政府采购支出总额的99%。</w:t>
      </w:r>
    </w:p>
    <w:p>
      <w:pPr>
        <w:pStyle w:val="11"/>
        <w:rPr>
          <w:rFonts w:hAnsi="黑体" w:cs="Times New Roman"/>
          <w:b/>
          <w:bCs/>
          <w:sz w:val="32"/>
          <w:szCs w:val="32"/>
        </w:rPr>
      </w:pPr>
      <w:r>
        <w:rPr>
          <w:rFonts w:hint="eastAsia" w:hAnsi="黑体"/>
          <w:b/>
          <w:bCs/>
          <w:sz w:val="32"/>
          <w:szCs w:val="32"/>
        </w:rPr>
        <w:t>十二、关于国有资产占用情况说明</w:t>
      </w:r>
    </w:p>
    <w:p>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截至</w:t>
      </w:r>
      <w:r>
        <w:rPr>
          <w:rFonts w:ascii="宋体" w:hAnsi="宋体" w:eastAsia="宋体" w:cs="宋体"/>
          <w:sz w:val="32"/>
          <w:szCs w:val="32"/>
        </w:rPr>
        <w:t>202</w:t>
      </w:r>
      <w:r>
        <w:rPr>
          <w:rFonts w:hint="eastAsia" w:ascii="宋体" w:hAnsi="宋体" w:eastAsia="宋体" w:cs="宋体"/>
          <w:sz w:val="32"/>
          <w:szCs w:val="32"/>
        </w:rPr>
        <w:t>2年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日，本单位共有车辆1辆，其中，主要领导干部用车0辆，机要通信用车0辆、应急保障用车0辆、执法执勤用车0辆、特种专业技术用车0辆、其他用车1辆，其他用车主要是商务用车（其中一辆待报废）；单位价值</w:t>
      </w:r>
      <w:r>
        <w:rPr>
          <w:rFonts w:ascii="宋体" w:hAnsi="宋体" w:eastAsia="宋体" w:cs="宋体"/>
          <w:sz w:val="32"/>
          <w:szCs w:val="32"/>
        </w:rPr>
        <w:t>50</w:t>
      </w:r>
      <w:r>
        <w:rPr>
          <w:rFonts w:hint="eastAsia" w:ascii="宋体" w:hAnsi="宋体" w:eastAsia="宋体" w:cs="宋体"/>
          <w:sz w:val="32"/>
          <w:szCs w:val="32"/>
        </w:rPr>
        <w:t>万元以上通用设备0台（套）；单位价值</w:t>
      </w:r>
      <w:r>
        <w:rPr>
          <w:rFonts w:ascii="宋体" w:hAnsi="宋体" w:eastAsia="宋体" w:cs="宋体"/>
          <w:sz w:val="32"/>
          <w:szCs w:val="32"/>
        </w:rPr>
        <w:t>100</w:t>
      </w:r>
      <w:r>
        <w:rPr>
          <w:rFonts w:hint="eastAsia" w:ascii="宋体" w:hAnsi="宋体" w:eastAsia="宋体" w:cs="宋体"/>
          <w:sz w:val="32"/>
          <w:szCs w:val="32"/>
        </w:rPr>
        <w:t>万元以上专用设备0台（套）。</w:t>
      </w:r>
    </w:p>
    <w:p>
      <w:pPr>
        <w:pStyle w:val="11"/>
        <w:rPr>
          <w:rFonts w:hAnsi="黑体" w:cs="Times New Roman"/>
          <w:b/>
          <w:bCs/>
          <w:sz w:val="32"/>
          <w:szCs w:val="32"/>
        </w:rPr>
      </w:pPr>
      <w:r>
        <w:rPr>
          <w:rFonts w:hint="eastAsia" w:hAnsi="黑体"/>
          <w:b/>
          <w:bCs/>
          <w:sz w:val="32"/>
          <w:szCs w:val="32"/>
        </w:rPr>
        <w:t>十三、关于</w:t>
      </w:r>
      <w:r>
        <w:rPr>
          <w:rFonts w:hAnsi="黑体"/>
          <w:b/>
          <w:bCs/>
          <w:sz w:val="32"/>
          <w:szCs w:val="32"/>
        </w:rPr>
        <w:t>202</w:t>
      </w:r>
      <w:r>
        <w:rPr>
          <w:rFonts w:hint="eastAsia" w:hAnsi="黑体"/>
          <w:b/>
          <w:bCs/>
          <w:sz w:val="32"/>
          <w:szCs w:val="32"/>
        </w:rPr>
        <w:t>2年度预算绩效情况的说明</w:t>
      </w:r>
    </w:p>
    <w:p>
      <w:pPr>
        <w:pStyle w:val="11"/>
        <w:ind w:firstLine="640" w:firstLineChars="200"/>
        <w:rPr>
          <w:rFonts w:ascii="宋体" w:hAnsi="宋体" w:eastAsia="宋体" w:cs="宋体"/>
          <w:color w:val="auto"/>
          <w:kern w:val="2"/>
          <w:sz w:val="32"/>
          <w:szCs w:val="32"/>
        </w:rPr>
      </w:pPr>
      <w:r>
        <w:rPr>
          <w:rFonts w:hint="eastAsia" w:ascii="宋体" w:hAnsi="宋体" w:eastAsia="宋体" w:cs="宋体"/>
          <w:color w:val="auto"/>
          <w:kern w:val="2"/>
          <w:sz w:val="32"/>
          <w:szCs w:val="32"/>
        </w:rPr>
        <w:t>根据部门绩效管理的要求，我局不断强化绩效目标管理，加强绩效管理激励约束和考核结果应用，2022年湘潭县商务局实施部门预算绩效管理的单位范围包括：县商务局本级共1家单位。2022年湘潭县商务局整体部门支出纳入部门预算绩效管理和编制预算绩效目标， 2022年度开展年度预算绩效自评或绩效评价，并形成绩效报告报送财政部门备案。</w:t>
      </w: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rPr>
          <w:rFonts w:cs="Times New Roman"/>
          <w:sz w:val="72"/>
          <w:szCs w:val="72"/>
        </w:rPr>
        <w:sectPr>
          <w:pgSz w:w="11906" w:h="16838"/>
          <w:pgMar w:top="1440" w:right="1797" w:bottom="1440" w:left="1797" w:header="851" w:footer="992" w:gutter="0"/>
          <w:cols w:space="0" w:num="1"/>
          <w:docGrid w:type="linesAndChars" w:linePitch="312" w:charSpace="0"/>
        </w:sectPr>
      </w:pPr>
    </w:p>
    <w:p>
      <w:pPr>
        <w:pStyle w:val="11"/>
        <w:rPr>
          <w:rFonts w:cs="Times New Roman"/>
          <w:sz w:val="72"/>
          <w:szCs w:val="72"/>
        </w:rPr>
      </w:pPr>
    </w:p>
    <w:p>
      <w:pPr>
        <w:pStyle w:val="11"/>
        <w:rPr>
          <w:rFonts w:cs="Times New Roman"/>
          <w:sz w:val="72"/>
          <w:szCs w:val="72"/>
        </w:rPr>
      </w:pPr>
    </w:p>
    <w:p>
      <w:pPr>
        <w:pStyle w:val="11"/>
        <w:rPr>
          <w:rFonts w:cs="Times New Roman"/>
          <w:sz w:val="72"/>
          <w:szCs w:val="72"/>
        </w:rPr>
      </w:pPr>
    </w:p>
    <w:p>
      <w:pPr>
        <w:pStyle w:val="11"/>
        <w:rPr>
          <w:rFonts w:cs="Times New Roman"/>
          <w:sz w:val="72"/>
          <w:szCs w:val="72"/>
        </w:rPr>
      </w:pPr>
    </w:p>
    <w:p>
      <w:pPr>
        <w:pStyle w:val="11"/>
        <w:rPr>
          <w:rFonts w:cs="Times New Roman"/>
          <w:sz w:val="72"/>
          <w:szCs w:val="72"/>
        </w:rPr>
      </w:pPr>
    </w:p>
    <w:p>
      <w:pPr>
        <w:pStyle w:val="11"/>
        <w:rPr>
          <w:rFonts w:cs="Times New Roman"/>
          <w:sz w:val="72"/>
          <w:szCs w:val="72"/>
        </w:rPr>
      </w:pPr>
    </w:p>
    <w:p>
      <w:pPr>
        <w:pStyle w:val="11"/>
        <w:jc w:val="center"/>
        <w:rPr>
          <w:rFonts w:ascii="宋体" w:hAnsi="宋体" w:eastAsia="宋体" w:cs="Times New Roman"/>
          <w:sz w:val="72"/>
          <w:szCs w:val="72"/>
        </w:rPr>
      </w:pPr>
      <w:r>
        <w:rPr>
          <w:rFonts w:hint="eastAsia" w:ascii="宋体" w:hAnsi="宋体" w:eastAsia="宋体" w:cs="宋体"/>
          <w:sz w:val="72"/>
          <w:szCs w:val="72"/>
        </w:rPr>
        <w:t>第四部分</w:t>
      </w:r>
    </w:p>
    <w:p>
      <w:pPr>
        <w:jc w:val="center"/>
        <w:rPr>
          <w:rFonts w:ascii="宋体" w:cs="Times New Roman"/>
          <w:color w:val="000000"/>
          <w:kern w:val="0"/>
          <w:sz w:val="72"/>
          <w:szCs w:val="72"/>
        </w:rPr>
      </w:pPr>
    </w:p>
    <w:p>
      <w:pPr>
        <w:jc w:val="center"/>
        <w:rPr>
          <w:rFonts w:hint="eastAsia" w:ascii="宋体" w:hAnsi="宋体" w:cs="宋体"/>
          <w:color w:val="000000"/>
          <w:kern w:val="0"/>
          <w:sz w:val="72"/>
          <w:szCs w:val="72"/>
        </w:rPr>
      </w:pPr>
      <w:r>
        <w:rPr>
          <w:rFonts w:hint="eastAsia" w:ascii="宋体" w:hAnsi="宋体" w:cs="宋体"/>
          <w:color w:val="000000"/>
          <w:kern w:val="0"/>
          <w:sz w:val="72"/>
          <w:szCs w:val="72"/>
        </w:rPr>
        <w:t>名词解释</w:t>
      </w:r>
    </w:p>
    <w:p>
      <w:pPr>
        <w:jc w:val="center"/>
        <w:rPr>
          <w:rFonts w:hint="eastAsia" w:ascii="宋体" w:hAnsi="宋体" w:cs="宋体"/>
          <w:color w:val="000000"/>
          <w:kern w:val="0"/>
          <w:sz w:val="72"/>
          <w:szCs w:val="72"/>
        </w:rPr>
      </w:pPr>
    </w:p>
    <w:p>
      <w:pPr>
        <w:jc w:val="center"/>
        <w:rPr>
          <w:rFonts w:hint="eastAsia" w:ascii="宋体" w:hAnsi="宋体" w:cs="宋体"/>
          <w:color w:val="000000"/>
          <w:kern w:val="0"/>
          <w:sz w:val="72"/>
          <w:szCs w:val="72"/>
        </w:rPr>
      </w:pPr>
    </w:p>
    <w:p>
      <w:pPr>
        <w:jc w:val="center"/>
        <w:rPr>
          <w:rFonts w:hint="eastAsia" w:ascii="宋体" w:hAnsi="宋体" w:cs="宋体"/>
          <w:color w:val="000000"/>
          <w:kern w:val="0"/>
          <w:sz w:val="72"/>
          <w:szCs w:val="72"/>
        </w:rPr>
      </w:pPr>
    </w:p>
    <w:p>
      <w:pPr>
        <w:jc w:val="center"/>
        <w:rPr>
          <w:rFonts w:hint="eastAsia" w:ascii="宋体" w:hAnsi="宋体" w:cs="宋体"/>
          <w:color w:val="000000"/>
          <w:kern w:val="0"/>
          <w:sz w:val="72"/>
          <w:szCs w:val="72"/>
        </w:rPr>
      </w:pPr>
    </w:p>
    <w:p>
      <w:pPr>
        <w:jc w:val="center"/>
        <w:rPr>
          <w:rFonts w:hint="eastAsia" w:ascii="宋体" w:hAnsi="宋体" w:cs="宋体"/>
          <w:color w:val="000000"/>
          <w:kern w:val="0"/>
          <w:sz w:val="72"/>
          <w:szCs w:val="72"/>
        </w:rPr>
      </w:pPr>
    </w:p>
    <w:p>
      <w:pPr>
        <w:jc w:val="center"/>
        <w:rPr>
          <w:rFonts w:hint="eastAsia" w:ascii="宋体" w:hAnsi="宋体" w:cs="宋体"/>
          <w:color w:val="000000"/>
          <w:kern w:val="0"/>
          <w:sz w:val="72"/>
          <w:szCs w:val="72"/>
        </w:rPr>
      </w:pPr>
    </w:p>
    <w:p>
      <w:pPr>
        <w:jc w:val="center"/>
        <w:rPr>
          <w:rFonts w:hint="eastAsia" w:ascii="宋体" w:hAnsi="宋体" w:cs="宋体"/>
          <w:color w:val="000000"/>
          <w:kern w:val="0"/>
          <w:sz w:val="72"/>
          <w:szCs w:val="72"/>
        </w:rPr>
      </w:pPr>
    </w:p>
    <w:p>
      <w:pPr>
        <w:jc w:val="center"/>
        <w:rPr>
          <w:rFonts w:hint="eastAsia" w:ascii="宋体" w:hAnsi="宋体" w:cs="宋体"/>
          <w:color w:val="000000"/>
          <w:kern w:val="0"/>
          <w:sz w:val="72"/>
          <w:szCs w:val="72"/>
        </w:rPr>
      </w:pPr>
    </w:p>
    <w:p>
      <w:pPr>
        <w:pStyle w:val="11"/>
        <w:ind w:firstLine="640" w:firstLineChars="200"/>
        <w:rPr>
          <w:rFonts w:ascii="仿宋" w:hAnsi="仿宋" w:eastAsia="仿宋" w:cs="宋体"/>
          <w:sz w:val="32"/>
          <w:szCs w:val="32"/>
        </w:rPr>
      </w:pPr>
      <w:r>
        <w:rPr>
          <w:rFonts w:hint="eastAsia" w:ascii="仿宋" w:hAnsi="仿宋" w:eastAsia="仿宋" w:cs="宋体"/>
          <w:sz w:val="32"/>
          <w:szCs w:val="32"/>
        </w:rPr>
        <w:t xml:space="preserve">一、财政拨款收入：指财政当年拨付的资金。 </w:t>
      </w:r>
    </w:p>
    <w:p>
      <w:pPr>
        <w:pStyle w:val="11"/>
        <w:ind w:firstLine="640" w:firstLineChars="200"/>
        <w:rPr>
          <w:rFonts w:ascii="仿宋" w:hAnsi="仿宋" w:eastAsia="仿宋" w:cs="宋体"/>
          <w:sz w:val="32"/>
          <w:szCs w:val="32"/>
        </w:rPr>
      </w:pPr>
      <w:r>
        <w:rPr>
          <w:rFonts w:hint="eastAsia" w:ascii="仿宋" w:hAnsi="仿宋" w:eastAsia="仿宋" w:cs="宋体"/>
          <w:sz w:val="32"/>
          <w:szCs w:val="32"/>
        </w:rPr>
        <w:t xml:space="preserve">二、其他收入：指预算单位在“财政拨款收入”、“事业收入”、 “经营收入”之外取得的收入。主要是按规定使用的上级财 补助经费和历年政府采购结转经遇 </w:t>
      </w:r>
    </w:p>
    <w:p>
      <w:pPr>
        <w:pStyle w:val="11"/>
        <w:ind w:firstLine="640" w:firstLineChars="200"/>
        <w:rPr>
          <w:rFonts w:ascii="仿宋" w:hAnsi="仿宋" w:eastAsia="仿宋" w:cs="宋体"/>
          <w:sz w:val="32"/>
          <w:szCs w:val="32"/>
        </w:rPr>
      </w:pPr>
      <w:r>
        <w:rPr>
          <w:rFonts w:hint="eastAsia" w:ascii="仿宋" w:hAnsi="仿宋" w:eastAsia="仿宋" w:cs="宋体"/>
          <w:sz w:val="32"/>
          <w:szCs w:val="32"/>
        </w:rPr>
        <w:t xml:space="preserve">三、一般公共服务支出：反映政府提供一般公共服务的支出。 </w:t>
      </w:r>
    </w:p>
    <w:p>
      <w:pPr>
        <w:pStyle w:val="11"/>
        <w:ind w:firstLine="640" w:firstLineChars="200"/>
        <w:rPr>
          <w:rFonts w:ascii="仿宋" w:hAnsi="仿宋" w:eastAsia="仿宋" w:cs="宋体"/>
          <w:sz w:val="32"/>
          <w:szCs w:val="32"/>
        </w:rPr>
      </w:pPr>
      <w:r>
        <w:rPr>
          <w:rFonts w:hint="eastAsia" w:ascii="仿宋" w:hAnsi="仿宋" w:eastAsia="仿宋" w:cs="宋体"/>
          <w:sz w:val="32"/>
          <w:szCs w:val="32"/>
        </w:rPr>
        <w:t xml:space="preserve">四、上年结转和结余：指本年度或以前年度预算安排、因客 观条件发生变化无法按原计划实施，需要延迟到以后年度按 有关规定继续使用的资金。 </w:t>
      </w:r>
    </w:p>
    <w:p>
      <w:pPr>
        <w:pStyle w:val="11"/>
        <w:ind w:firstLine="640" w:firstLineChars="200"/>
        <w:rPr>
          <w:rFonts w:ascii="仿宋" w:hAnsi="仿宋" w:eastAsia="仿宋" w:cs="宋体"/>
          <w:sz w:val="32"/>
          <w:szCs w:val="32"/>
        </w:rPr>
      </w:pPr>
      <w:r>
        <w:rPr>
          <w:rFonts w:hint="eastAsia" w:ascii="仿宋" w:hAnsi="仿宋" w:eastAsia="仿宋" w:cs="宋体"/>
          <w:sz w:val="32"/>
          <w:szCs w:val="32"/>
        </w:rPr>
        <w:t xml:space="preserve">五、基本支出：指单位为保障机构正常运转、完成日常工作任务而发生的各项支出（包括基本工资、津贴补贴等）和公用支出（包括办公费、邮电费、差旅费及印刷费）。   </w:t>
      </w:r>
    </w:p>
    <w:p>
      <w:pPr>
        <w:pStyle w:val="11"/>
        <w:ind w:firstLine="640" w:firstLineChars="200"/>
        <w:rPr>
          <w:rFonts w:ascii="仿宋" w:hAnsi="仿宋" w:eastAsia="仿宋" w:cs="宋体"/>
          <w:sz w:val="32"/>
          <w:szCs w:val="32"/>
        </w:rPr>
      </w:pPr>
      <w:r>
        <w:rPr>
          <w:rFonts w:hint="eastAsia" w:ascii="仿宋" w:hAnsi="仿宋" w:eastAsia="仿宋" w:cs="宋体"/>
          <w:sz w:val="32"/>
          <w:szCs w:val="32"/>
        </w:rPr>
        <w:t xml:space="preserve">六、项目支出：指单位为完成特定的行政工作任务或事业发 展目标，在基本支出之外发生的各项支出。 </w:t>
      </w:r>
    </w:p>
    <w:p>
      <w:pPr>
        <w:pStyle w:val="11"/>
        <w:ind w:firstLine="640" w:firstLineChars="200"/>
        <w:rPr>
          <w:rFonts w:ascii="仿宋" w:hAnsi="仿宋" w:eastAsia="仿宋" w:cs="宋体"/>
          <w:sz w:val="32"/>
          <w:szCs w:val="32"/>
        </w:rPr>
      </w:pPr>
      <w:r>
        <w:rPr>
          <w:rFonts w:hint="eastAsia" w:ascii="仿宋" w:hAnsi="仿宋" w:eastAsia="仿宋" w:cs="宋体"/>
          <w:sz w:val="32"/>
          <w:szCs w:val="32"/>
        </w:rPr>
        <w:t xml:space="preserve">七、“三公”经费：指因公出国（境）经费、公务用车购置及 运行维护费、公务接待费。其中：因公出国（境）经费指公 务出国（境）的住宿费、旅费、伙食补助费、杂费、培训费 等支出；公务用车购置及运行费反映单位公务用车车辆购置 支出（含车辆购置税）及租用费、燃料费、维修费、过桥过路费、保险费等支出；公务接待费反映单位按规定开支的各 类公务接待支出。 </w:t>
      </w:r>
    </w:p>
    <w:p>
      <w:pPr>
        <w:pStyle w:val="11"/>
        <w:ind w:firstLine="640" w:firstLineChars="200"/>
        <w:rPr>
          <w:rFonts w:ascii="仿宋" w:hAnsi="仿宋" w:eastAsia="仿宋" w:cs="Times New Roman"/>
          <w:sz w:val="72"/>
          <w:szCs w:val="72"/>
        </w:rPr>
      </w:pPr>
      <w:r>
        <w:rPr>
          <w:rFonts w:hint="eastAsia" w:ascii="仿宋" w:hAnsi="仿宋" w:eastAsia="仿宋" w:cs="宋体"/>
          <w:sz w:val="32"/>
          <w:szCs w:val="32"/>
        </w:rPr>
        <w:t>八、机关运行经费：行政单位（包括参照公务员法管理的事业单位）一般公共预算财政拨款基本支出中的公用支出，包 括办公费、邮电费、差旅费及印刷费等。</w:t>
      </w: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jc w:val="center"/>
        <w:rPr>
          <w:rFonts w:cs="Times New Roman"/>
          <w:sz w:val="72"/>
          <w:szCs w:val="72"/>
        </w:rPr>
      </w:pPr>
    </w:p>
    <w:p>
      <w:pPr>
        <w:pStyle w:val="11"/>
        <w:ind w:firstLine="3960" w:firstLineChars="550"/>
        <w:rPr>
          <w:rFonts w:ascii="宋体" w:hAnsi="宋体" w:eastAsia="宋体" w:cs="Times New Roman"/>
          <w:sz w:val="72"/>
          <w:szCs w:val="72"/>
        </w:rPr>
      </w:pPr>
      <w:r>
        <w:rPr>
          <w:rFonts w:hint="eastAsia" w:ascii="宋体" w:hAnsi="宋体" w:eastAsia="宋体" w:cs="宋体"/>
          <w:sz w:val="72"/>
          <w:szCs w:val="72"/>
        </w:rPr>
        <w:t>第五部分</w:t>
      </w:r>
    </w:p>
    <w:p>
      <w:pPr>
        <w:jc w:val="center"/>
        <w:rPr>
          <w:rFonts w:ascii="宋体" w:cs="Times New Roman"/>
          <w:color w:val="000000"/>
          <w:kern w:val="0"/>
          <w:sz w:val="72"/>
          <w:szCs w:val="72"/>
        </w:rPr>
      </w:pPr>
    </w:p>
    <w:p>
      <w:pPr>
        <w:jc w:val="center"/>
        <w:rPr>
          <w:rFonts w:ascii="宋体" w:cs="Times New Roman"/>
          <w:color w:val="000000"/>
          <w:kern w:val="0"/>
          <w:sz w:val="72"/>
          <w:szCs w:val="72"/>
        </w:rPr>
      </w:pPr>
      <w:r>
        <w:rPr>
          <w:rFonts w:hint="eastAsia" w:ascii="宋体" w:hAnsi="宋体" w:cs="宋体"/>
          <w:color w:val="000000"/>
          <w:kern w:val="0"/>
          <w:sz w:val="72"/>
          <w:szCs w:val="72"/>
        </w:rPr>
        <w:t>附件</w:t>
      </w:r>
    </w:p>
    <w:p>
      <w:pPr>
        <w:jc w:val="center"/>
        <w:rPr>
          <w:rFonts w:ascii="宋体" w:cs="Times New Roman"/>
          <w:color w:val="000000"/>
          <w:kern w:val="0"/>
          <w:sz w:val="72"/>
          <w:szCs w:val="72"/>
        </w:rPr>
      </w:pPr>
    </w:p>
    <w:p>
      <w:pPr>
        <w:jc w:val="center"/>
        <w:rPr>
          <w:rFonts w:ascii="宋体" w:cs="Times New Roman"/>
          <w:color w:val="000000"/>
          <w:kern w:val="0"/>
          <w:sz w:val="72"/>
          <w:szCs w:val="72"/>
        </w:rPr>
      </w:pPr>
    </w:p>
    <w:p>
      <w:pPr>
        <w:jc w:val="center"/>
        <w:rPr>
          <w:rFonts w:ascii="宋体" w:cs="Times New Roman"/>
          <w:color w:val="000000"/>
          <w:kern w:val="0"/>
          <w:sz w:val="72"/>
          <w:szCs w:val="72"/>
        </w:rPr>
      </w:pPr>
    </w:p>
    <w:p>
      <w:pPr>
        <w:jc w:val="center"/>
        <w:rPr>
          <w:rFonts w:ascii="宋体" w:cs="Times New Roman"/>
          <w:color w:val="000000"/>
          <w:kern w:val="0"/>
          <w:sz w:val="72"/>
          <w:szCs w:val="72"/>
        </w:rPr>
      </w:pPr>
    </w:p>
    <w:p>
      <w:pPr>
        <w:jc w:val="center"/>
        <w:rPr>
          <w:rFonts w:ascii="宋体" w:cs="Times New Roman"/>
          <w:color w:val="000000"/>
          <w:kern w:val="0"/>
          <w:sz w:val="72"/>
          <w:szCs w:val="72"/>
        </w:rPr>
      </w:pPr>
    </w:p>
    <w:p>
      <w:pPr>
        <w:jc w:val="center"/>
        <w:rPr>
          <w:rFonts w:ascii="宋体" w:cs="Times New Roman"/>
          <w:color w:val="000000"/>
          <w:kern w:val="0"/>
          <w:sz w:val="72"/>
          <w:szCs w:val="72"/>
        </w:rPr>
      </w:pPr>
    </w:p>
    <w:p>
      <w:pPr>
        <w:jc w:val="center"/>
        <w:rPr>
          <w:rFonts w:ascii="宋体" w:cs="Times New Roman"/>
          <w:color w:val="000000"/>
          <w:kern w:val="0"/>
          <w:sz w:val="72"/>
          <w:szCs w:val="72"/>
        </w:rPr>
      </w:pPr>
    </w:p>
    <w:p>
      <w:pPr>
        <w:jc w:val="center"/>
        <w:rPr>
          <w:rFonts w:ascii="宋体" w:cs="Times New Roman"/>
          <w:color w:val="000000"/>
          <w:kern w:val="0"/>
          <w:sz w:val="72"/>
          <w:szCs w:val="72"/>
        </w:rPr>
      </w:pPr>
    </w:p>
    <w:p>
      <w:pPr>
        <w:tabs>
          <w:tab w:val="left" w:pos="6480"/>
        </w:tabs>
        <w:spacing w:line="600" w:lineRule="exact"/>
        <w:ind w:firstLine="720" w:firstLineChars="200"/>
        <w:rPr>
          <w:rFonts w:ascii="宋体" w:hAnsi="宋体" w:cs="方正小标宋_GBK"/>
          <w:b/>
          <w:sz w:val="36"/>
          <w:szCs w:val="36"/>
        </w:rPr>
      </w:pPr>
      <w:r>
        <w:rPr>
          <w:rFonts w:hint="eastAsia" w:ascii="宋体" w:hAnsi="宋体" w:cs="方正小标宋_GBK"/>
          <w:b/>
          <w:sz w:val="36"/>
          <w:szCs w:val="36"/>
        </w:rPr>
        <w:t>湘潭县商务局2022年</w:t>
      </w:r>
      <w:r>
        <w:rPr>
          <w:rFonts w:hint="eastAsia" w:ascii="宋体" w:hAnsi="宋体" w:cs="方正小标宋_GBK"/>
          <w:b/>
          <w:bCs/>
          <w:sz w:val="36"/>
          <w:szCs w:val="36"/>
        </w:rPr>
        <w:t>部门整体支出绩效评价报告</w:t>
      </w:r>
    </w:p>
    <w:tbl>
      <w:tblPr>
        <w:tblStyle w:val="6"/>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pPr>
              <w:spacing w:line="576" w:lineRule="exact"/>
              <w:jc w:val="center"/>
              <w:rPr>
                <w:rFonts w:ascii="仿宋" w:hAnsi="仿宋" w:eastAsia="仿宋" w:cs="宋体"/>
                <w:sz w:val="24"/>
              </w:rPr>
            </w:pPr>
            <w:r>
              <w:rPr>
                <w:rFonts w:hint="eastAsia" w:ascii="仿宋" w:hAnsi="仿宋" w:eastAsia="仿宋" w:cs="宋体"/>
                <w:sz w:val="24"/>
              </w:rPr>
              <w:t>部门概况</w:t>
            </w:r>
          </w:p>
        </w:tc>
        <w:tc>
          <w:tcPr>
            <w:tcW w:w="1985" w:type="dxa"/>
            <w:vAlign w:val="center"/>
          </w:tcPr>
          <w:p>
            <w:pPr>
              <w:spacing w:line="576" w:lineRule="exact"/>
              <w:jc w:val="center"/>
              <w:rPr>
                <w:rFonts w:ascii="仿宋" w:hAnsi="仿宋" w:eastAsia="仿宋" w:cs="宋体"/>
                <w:sz w:val="24"/>
              </w:rPr>
            </w:pPr>
            <w:r>
              <w:rPr>
                <w:rFonts w:hint="eastAsia" w:ascii="仿宋" w:hAnsi="仿宋" w:eastAsia="仿宋" w:cs="宋体"/>
                <w:sz w:val="24"/>
              </w:rPr>
              <w:t>单位名称</w:t>
            </w:r>
          </w:p>
        </w:tc>
        <w:tc>
          <w:tcPr>
            <w:tcW w:w="5670" w:type="dxa"/>
            <w:vAlign w:val="center"/>
          </w:tcPr>
          <w:p>
            <w:pPr>
              <w:spacing w:line="576" w:lineRule="exact"/>
              <w:ind w:right="879" w:rightChars="419"/>
              <w:jc w:val="center"/>
              <w:rPr>
                <w:rFonts w:ascii="仿宋" w:hAnsi="仿宋" w:eastAsia="仿宋" w:cs="宋体"/>
                <w:sz w:val="24"/>
              </w:rPr>
            </w:pPr>
            <w:r>
              <w:rPr>
                <w:rFonts w:hint="eastAsia" w:ascii="仿宋" w:hAnsi="仿宋" w:eastAsia="仿宋" w:cs="方正小标宋简体"/>
                <w:sz w:val="24"/>
              </w:rPr>
              <w:t>湘潭县商务局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 w:hAnsi="仿宋" w:eastAsia="仿宋" w:cs="宋体"/>
                <w:sz w:val="24"/>
              </w:rPr>
            </w:pPr>
          </w:p>
        </w:tc>
        <w:tc>
          <w:tcPr>
            <w:tcW w:w="1985" w:type="dxa"/>
            <w:vAlign w:val="center"/>
          </w:tcPr>
          <w:p>
            <w:pPr>
              <w:spacing w:line="576" w:lineRule="exact"/>
              <w:jc w:val="center"/>
              <w:rPr>
                <w:rFonts w:ascii="仿宋" w:hAnsi="仿宋" w:eastAsia="仿宋" w:cs="宋体"/>
                <w:sz w:val="24"/>
              </w:rPr>
            </w:pPr>
            <w:r>
              <w:rPr>
                <w:rFonts w:hint="eastAsia" w:ascii="仿宋" w:hAnsi="仿宋" w:eastAsia="仿宋" w:cs="宋体"/>
                <w:sz w:val="24"/>
              </w:rPr>
              <w:t>年度预算指标金额</w:t>
            </w:r>
          </w:p>
        </w:tc>
        <w:tc>
          <w:tcPr>
            <w:tcW w:w="5670" w:type="dxa"/>
            <w:vAlign w:val="center"/>
          </w:tcPr>
          <w:p>
            <w:pPr>
              <w:spacing w:line="576" w:lineRule="exact"/>
              <w:ind w:right="879" w:rightChars="419"/>
              <w:jc w:val="center"/>
              <w:rPr>
                <w:rFonts w:ascii="仿宋" w:hAnsi="仿宋" w:eastAsia="仿宋" w:cs="宋体"/>
                <w:sz w:val="24"/>
              </w:rPr>
            </w:pPr>
            <w:r>
              <w:rPr>
                <w:rFonts w:hint="eastAsia" w:ascii="仿宋" w:hAnsi="仿宋" w:eastAsia="仿宋" w:cs="宋体"/>
                <w:sz w:val="24"/>
              </w:rPr>
              <w:t>2018.52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 w:hAnsi="仿宋" w:eastAsia="仿宋" w:cs="宋体"/>
                <w:sz w:val="24"/>
              </w:rPr>
            </w:pPr>
          </w:p>
        </w:tc>
        <w:tc>
          <w:tcPr>
            <w:tcW w:w="1985" w:type="dxa"/>
            <w:vAlign w:val="center"/>
          </w:tcPr>
          <w:p>
            <w:pPr>
              <w:spacing w:line="576" w:lineRule="exact"/>
              <w:jc w:val="center"/>
              <w:rPr>
                <w:rFonts w:ascii="仿宋" w:hAnsi="仿宋" w:eastAsia="仿宋" w:cs="宋体"/>
                <w:sz w:val="24"/>
              </w:rPr>
            </w:pPr>
            <w:r>
              <w:rPr>
                <w:rFonts w:hint="eastAsia" w:ascii="仿宋" w:hAnsi="仿宋" w:eastAsia="仿宋" w:cs="宋体"/>
                <w:sz w:val="24"/>
              </w:rPr>
              <w:t>主管部门</w:t>
            </w:r>
          </w:p>
        </w:tc>
        <w:tc>
          <w:tcPr>
            <w:tcW w:w="5670" w:type="dxa"/>
            <w:vAlign w:val="center"/>
          </w:tcPr>
          <w:p>
            <w:pPr>
              <w:spacing w:line="576" w:lineRule="exact"/>
              <w:ind w:right="879" w:rightChars="419"/>
              <w:jc w:val="center"/>
              <w:rPr>
                <w:rFonts w:ascii="仿宋" w:hAnsi="仿宋" w:eastAsia="仿宋" w:cs="宋体"/>
                <w:sz w:val="24"/>
              </w:rPr>
            </w:pPr>
            <w:r>
              <w:rPr>
                <w:rFonts w:hint="eastAsia" w:ascii="仿宋" w:hAnsi="仿宋" w:eastAsia="仿宋" w:cs="方正小标宋简体"/>
                <w:sz w:val="24"/>
              </w:rPr>
              <w:t>企财股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ind w:right="879" w:rightChars="419"/>
              <w:jc w:val="center"/>
              <w:rPr>
                <w:rFonts w:ascii="仿宋" w:hAnsi="仿宋" w:eastAsia="仿宋" w:cs="方正小标宋简体"/>
                <w:sz w:val="24"/>
              </w:rPr>
            </w:pPr>
          </w:p>
        </w:tc>
        <w:tc>
          <w:tcPr>
            <w:tcW w:w="1985" w:type="dxa"/>
            <w:vAlign w:val="center"/>
          </w:tcPr>
          <w:p>
            <w:pPr>
              <w:spacing w:line="576" w:lineRule="exact"/>
              <w:ind w:right="879" w:rightChars="419"/>
              <w:jc w:val="center"/>
              <w:rPr>
                <w:rFonts w:ascii="仿宋" w:hAnsi="仿宋" w:eastAsia="仿宋" w:cs="方正小标宋简体"/>
                <w:sz w:val="24"/>
              </w:rPr>
            </w:pPr>
            <w:r>
              <w:rPr>
                <w:rFonts w:hint="eastAsia" w:ascii="仿宋" w:hAnsi="仿宋" w:eastAsia="仿宋" w:cs="方正小标宋简体"/>
                <w:sz w:val="24"/>
              </w:rPr>
              <w:t>单位基本职能</w:t>
            </w:r>
          </w:p>
        </w:tc>
        <w:tc>
          <w:tcPr>
            <w:tcW w:w="5670" w:type="dxa"/>
            <w:vAlign w:val="center"/>
          </w:tcPr>
          <w:p>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一.贯彻落实国家、省、市有关内外贸易、对外投资、招商引资的发展战略、方针、政策；拟定全县商务经济、利用外资等相应的中长期发展规划以及规定、办法和措施。研究区域经济合作、现代流通方式的发展趋势并提出相关建议。</w:t>
            </w:r>
          </w:p>
          <w:p>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二.负责推进流通产业结构调整，研究提出流通体制改革建议。指导商贸服务业和社区商业发展，提出促进商贸中小企业发展的建议；培育发展城乡市场，推进流通产业结构调整和连锁经营、物流配送、电子商务等现代流通方式的发展。指导全县流通领域信息网络和电子商务建设、指导、监督、规范全县商贸流通行业协会、学会等社团组织工作。</w:t>
            </w:r>
          </w:p>
          <w:p>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三.拟定全县规范流通领域市场、流通秩序的有关规定。牵头协调整顿和规范市场经济秩序工作。指导、监督商务流通领域安全生产工作，拟订商务流通领域追溯体系建设规划并推进实施。推动商务领域信用建设，指导商业信用销售，建立市场诚信公共服务平台，按有关规定对特殊流通行业进行监督管理。</w:t>
            </w:r>
          </w:p>
          <w:p>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四.拟订全县贸易发展规划，提出引导国内外资金投向市场体系建设的政策建议，指导城市商业网点、大宗产品批发市场（不含农贸市场）规划，推进全县商业体系建设，组织实施农村现代流通网络工程。</w:t>
            </w:r>
          </w:p>
          <w:p>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五.承担组织实施重要消费品市场调控和重要生产资料流通管理的责任。负责建立健全生活必需品市场供应应急管理机制，监测分析市场运行、商品供求状况，调查分析商品价格信息进行预测、预警和信息引导。</w:t>
            </w:r>
          </w:p>
          <w:p>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六.贯彻执行国家制定的进出口商品、加工贸易管理办法和进出口管理商品、技术目录，拟定促进外贸增长方式转变的政策措施，指导贸易促进活动和外贸促进体系建设。</w:t>
            </w:r>
          </w:p>
          <w:p>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七.贯彻执行国家对外技术贸易、出口管制以及鼓励技术和成套设备进出口的政策，推进进出口贸易标准化工作。依法监督技术引进、设备进口、国家限制出口技术的工作。</w:t>
            </w:r>
          </w:p>
          <w:p>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八.牵头拟定服务贸易发展和服务外包规划并开展相关工作，推动服务外包平台建设。</w:t>
            </w:r>
          </w:p>
          <w:p>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九.指导全县对外经济技术合作，指导和监督管理全县对外承包工程、劳务合作等业务。牵头外派劳务和境外就业人员的权益保护工作。</w:t>
            </w:r>
          </w:p>
          <w:p>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十.贯彻执行我国多双边（含区域、自由贸易区）经贸合作战略和政策，推进我县与其他国家（地区）的经贸往来与投资贸易合作。牵头承担全县商务领域涉及世界贸易组织事务的相关工作，负责对外经济贸易协调工作。</w:t>
            </w:r>
          </w:p>
          <w:p>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十一.配合省、市商务部门做好反倾销、反补贴、保障措施和其他与进出口公平贸易相关的工作，协助开展对外贸易调查和产业损害调查、产业安全应对等工作。</w:t>
            </w:r>
          </w:p>
          <w:p>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十二.指导、协调、组织参与以湘潭县名义在境内外举办的各种内外贸交易会、展览会、展销会等活动。</w:t>
            </w:r>
          </w:p>
          <w:p>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十三.宏观指导全县招商引资工作，组织拟订全县招商引资发展规划、政策措施，落实招商引资政策。负责全县招商信息交流工作。负责我县内外资及招商项目的协调和统计工作。负责考核全县各级各部门招商引资工作。承担县招商引资工作领导小组办公室的日常工作。</w:t>
            </w:r>
          </w:p>
          <w:p>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十四.分析研究全县外来投资情况，统一对外发布重点招商项目和招商信息。规范招商引资活动，指导投资促进活动。负责与境内外企业财团，各界人士联络。组织举办或参与各类招商活动。做好招商引资奖励的前期准备工作，跟踪调度重点招商项目并督促落实。</w:t>
            </w:r>
          </w:p>
          <w:p>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十五.监督检查外来投资企业执行有关法律法规规章、合同、章程的情况并协调解决有关问题。</w:t>
            </w:r>
          </w:p>
          <w:p>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十六.承担全县商务系统统计及信息发布工作。</w:t>
            </w:r>
          </w:p>
          <w:p>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十七.负责全县商务系统企业改制遗留问题的处理。</w:t>
            </w:r>
          </w:p>
          <w:p>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十八.完成县委、县人民政府交办的其他任务。</w:t>
            </w:r>
          </w:p>
          <w:p>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十九.职能转变。进一步加强全县招商引资工作。加强全县流通领域信息网络和电子商务建设。加强商品流通业和商贸服务业的行业管理。促进现代物流业发展，促进品牌建设和绿色流通发展，推进再生资源回收和流通领域节能减排工作。加强重要生活必需品的储备管理和市场调控工作。建立健全统一、开放、竟争、有序的市场体系。</w:t>
            </w:r>
          </w:p>
          <w:p>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二十.有关职责分工。与县发展和改革局有关职责分工。县发展和改革局、县商务局牵头会同外商投资涉及领域相关部门开展外商投资安全审查相关工作。县发展和改革局负责提出外商投资产业指导目录，并与县商务局联合发布。与县市场监督管理局有关职责分工。县商务局负责拟定药品流通发展规划和政策，县市场监督管理局在与药品零售环节的监督管理工作中配合执行药品流通发展规划和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1384" w:type="dxa"/>
            <w:vMerge w:val="restart"/>
            <w:vAlign w:val="center"/>
          </w:tcPr>
          <w:p>
            <w:pPr>
              <w:spacing w:line="576" w:lineRule="exact"/>
              <w:ind w:right="879" w:rightChars="419"/>
              <w:jc w:val="center"/>
              <w:rPr>
                <w:rFonts w:ascii="仿宋" w:hAnsi="仿宋" w:eastAsia="仿宋" w:cs="方正小标宋简体"/>
                <w:sz w:val="24"/>
              </w:rPr>
            </w:pPr>
            <w:r>
              <w:rPr>
                <w:rFonts w:hint="eastAsia" w:ascii="仿宋" w:hAnsi="仿宋" w:eastAsia="仿宋" w:cs="方正小标宋简体"/>
                <w:sz w:val="24"/>
              </w:rPr>
              <w:t>绩效完成情况</w:t>
            </w:r>
          </w:p>
        </w:tc>
        <w:tc>
          <w:tcPr>
            <w:tcW w:w="1985" w:type="dxa"/>
            <w:vAlign w:val="center"/>
          </w:tcPr>
          <w:p>
            <w:pPr>
              <w:spacing w:line="576" w:lineRule="exact"/>
              <w:ind w:right="879" w:rightChars="419"/>
              <w:jc w:val="center"/>
              <w:rPr>
                <w:rFonts w:ascii="仿宋" w:hAnsi="仿宋" w:eastAsia="仿宋" w:cs="方正小标宋简体"/>
                <w:sz w:val="24"/>
              </w:rPr>
            </w:pPr>
            <w:r>
              <w:rPr>
                <w:rFonts w:hint="eastAsia" w:ascii="仿宋" w:hAnsi="仿宋" w:eastAsia="仿宋" w:cs="方正小标宋简体"/>
                <w:sz w:val="24"/>
              </w:rPr>
              <w:t>部门整体支出管理和使用基本情况</w:t>
            </w:r>
          </w:p>
        </w:tc>
        <w:tc>
          <w:tcPr>
            <w:tcW w:w="5670" w:type="dxa"/>
            <w:vAlign w:val="center"/>
          </w:tcPr>
          <w:p>
            <w:pPr>
              <w:spacing w:line="576" w:lineRule="exact"/>
              <w:ind w:right="879" w:rightChars="419"/>
              <w:rPr>
                <w:rFonts w:ascii="仿宋" w:hAnsi="仿宋" w:eastAsia="仿宋" w:cs="方正小标宋简体"/>
                <w:sz w:val="24"/>
              </w:rPr>
            </w:pPr>
            <w:r>
              <w:rPr>
                <w:rFonts w:hint="eastAsia" w:ascii="仿宋" w:hAnsi="仿宋" w:eastAsia="仿宋" w:cs="方正小标宋简体"/>
                <w:sz w:val="24"/>
              </w:rPr>
              <w:t>一、内设机构</w:t>
            </w:r>
          </w:p>
          <w:p>
            <w:pPr>
              <w:pStyle w:val="5"/>
              <w:shd w:val="clear" w:color="auto" w:fill="FFFFFF"/>
              <w:spacing w:line="560" w:lineRule="exact"/>
              <w:ind w:firstLine="480" w:firstLineChars="200"/>
              <w:rPr>
                <w:rFonts w:ascii="仿宋" w:hAnsi="仿宋" w:eastAsia="仿宋" w:cs="方正小标宋简体"/>
                <w:kern w:val="2"/>
              </w:rPr>
            </w:pPr>
            <w:r>
              <w:rPr>
                <w:rFonts w:hint="eastAsia" w:ascii="仿宋" w:hAnsi="仿宋" w:eastAsia="仿宋" w:cs="方正小标宋简体"/>
                <w:kern w:val="2"/>
              </w:rPr>
              <w:t>湘潭县商务局内设股室8个，下辖4个二级机构，分别是湘潭县投资促进服务中心、湘潭县电商公共服务中心、湘潭县槟榔产业服务中心、湘潭县对外劳务服务中心，以上内设股室和二级机构均为无独立经费核算机构，是我单位预算编制范围。</w:t>
            </w:r>
          </w:p>
          <w:p>
            <w:pPr>
              <w:spacing w:line="576" w:lineRule="exact"/>
              <w:ind w:right="879" w:rightChars="419"/>
              <w:rPr>
                <w:rFonts w:ascii="仿宋" w:hAnsi="仿宋" w:eastAsia="仿宋" w:cs="方正小标宋简体"/>
                <w:sz w:val="24"/>
              </w:rPr>
            </w:pPr>
            <w:r>
              <w:rPr>
                <w:rFonts w:hint="eastAsia" w:ascii="仿宋" w:hAnsi="仿宋" w:eastAsia="仿宋" w:cs="方正小标宋简体"/>
                <w:sz w:val="24"/>
              </w:rPr>
              <w:t>二、人员编制</w:t>
            </w:r>
          </w:p>
          <w:p>
            <w:pPr>
              <w:pStyle w:val="5"/>
              <w:shd w:val="clear" w:color="auto" w:fill="FFFFFF"/>
              <w:spacing w:line="560" w:lineRule="exact"/>
              <w:ind w:firstLine="480" w:firstLineChars="200"/>
              <w:rPr>
                <w:rFonts w:ascii="仿宋" w:hAnsi="仿宋" w:eastAsia="仿宋" w:cs="方正小标宋简体"/>
              </w:rPr>
            </w:pPr>
            <w:r>
              <w:rPr>
                <w:rFonts w:hint="eastAsia" w:ascii="仿宋" w:hAnsi="仿宋" w:eastAsia="仿宋" w:cs="方正小标宋简体"/>
                <w:kern w:val="2"/>
              </w:rPr>
              <w:t>2022年机构改革后我局编制人数41人，实有在岗人员47人,其中统发人员40人，人事代理人员1人，劳务派遣人员6人，退休人员23人。</w:t>
            </w:r>
          </w:p>
          <w:p>
            <w:pPr>
              <w:spacing w:line="576" w:lineRule="exact"/>
              <w:ind w:right="879" w:rightChars="419"/>
              <w:rPr>
                <w:rFonts w:ascii="仿宋" w:hAnsi="仿宋" w:eastAsia="仿宋" w:cs="方正小标宋简体"/>
                <w:sz w:val="24"/>
              </w:rPr>
            </w:pPr>
            <w:r>
              <w:rPr>
                <w:rFonts w:hint="eastAsia" w:ascii="仿宋" w:hAnsi="仿宋" w:eastAsia="仿宋" w:cs="方正小标宋简体"/>
                <w:sz w:val="24"/>
              </w:rPr>
              <w:t>三、预算安排情况及资金用途</w:t>
            </w:r>
          </w:p>
          <w:p>
            <w:pPr>
              <w:pStyle w:val="14"/>
              <w:spacing w:line="560" w:lineRule="exact"/>
              <w:ind w:firstLine="480" w:firstLineChars="200"/>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湘潭县商务局2022年经人民代表大会批复的年初预算收入956.52万元，调整后预算2018.52元，其中一般公共预算财政拨款收入1404.85万元、政府性基金预算收入0万元、其他收入4.88万元；全年预算支出1404.85万元，本年收入2018.52万元，支出1404.85万元。</w:t>
            </w:r>
          </w:p>
          <w:p>
            <w:pPr>
              <w:pStyle w:val="14"/>
              <w:spacing w:line="560" w:lineRule="exact"/>
              <w:rPr>
                <w:rFonts w:ascii="仿宋" w:hAnsi="仿宋" w:eastAsia="仿宋" w:cs="方正小标宋简体"/>
                <w:sz w:val="24"/>
                <w:szCs w:val="24"/>
              </w:rPr>
            </w:pPr>
            <w:r>
              <w:rPr>
                <w:rFonts w:hint="eastAsia" w:ascii="仿宋" w:hAnsi="仿宋" w:eastAsia="仿宋" w:cs="方正小标宋简体"/>
                <w:sz w:val="24"/>
                <w:szCs w:val="24"/>
              </w:rPr>
              <w:t>（一）基本支出情况</w:t>
            </w:r>
          </w:p>
          <w:p>
            <w:pPr>
              <w:pStyle w:val="14"/>
              <w:spacing w:line="560" w:lineRule="exact"/>
              <w:ind w:firstLine="480" w:firstLineChars="200"/>
              <w:rPr>
                <w:rFonts w:ascii="仿宋" w:hAnsi="仿宋" w:eastAsia="仿宋" w:cs="方正小标宋简体"/>
                <w:sz w:val="24"/>
                <w:szCs w:val="24"/>
              </w:rPr>
            </w:pPr>
            <w:r>
              <w:rPr>
                <w:rFonts w:hint="eastAsia" w:ascii="仿宋" w:hAnsi="仿宋" w:eastAsia="仿宋" w:cs="方正小标宋简体"/>
                <w:sz w:val="24"/>
                <w:szCs w:val="24"/>
              </w:rPr>
              <w:t>2022年我局年初部门预算基本支出459.36万元，其中</w:t>
            </w:r>
            <w:r>
              <w:rPr>
                <w:rFonts w:hint="eastAsia" w:ascii="仿宋" w:hAnsi="仿宋" w:eastAsia="仿宋" w:cs="仿宋"/>
                <w:sz w:val="24"/>
                <w:szCs w:val="24"/>
              </w:rPr>
              <w:t>工资福利支出378.36万元，商品服务支出78.3万元，其他对个人和家庭的补助支出2.7万元元，年中追加基本预算支出114万元，具体为职业年金个人账户补记3.03元，抚恤金及丧葬费83万元，深化文明建设经费10万元，追加政策性调资及养老补缴17.97万元；2022年基本支出合计573.36万元；</w:t>
            </w:r>
            <w:r>
              <w:rPr>
                <w:rFonts w:hint="eastAsia" w:ascii="仿宋" w:hAnsi="仿宋" w:eastAsia="仿宋" w:cs="仿宋"/>
                <w:color w:val="000000" w:themeColor="text1"/>
                <w:sz w:val="24"/>
                <w:szCs w:val="24"/>
              </w:rPr>
              <w:t>基本支出预算主要用于维持局机关正常行政运行人员工资支出、社会保障支出、办公费、印刷费、宣传费、机关水电费、公务接待费、差旅费等工资福利支出和商品与服务支出及退休人员死亡抚恤等。</w:t>
            </w:r>
          </w:p>
          <w:p>
            <w:pPr>
              <w:pStyle w:val="14"/>
              <w:spacing w:line="560" w:lineRule="exact"/>
              <w:rPr>
                <w:rFonts w:ascii="仿宋" w:hAnsi="仿宋" w:eastAsia="仿宋" w:cs="方正小标宋简体"/>
                <w:sz w:val="24"/>
                <w:szCs w:val="24"/>
              </w:rPr>
            </w:pPr>
            <w:r>
              <w:rPr>
                <w:rFonts w:hint="eastAsia" w:ascii="仿宋" w:hAnsi="仿宋" w:eastAsia="仿宋" w:cs="方正小标宋简体"/>
                <w:sz w:val="24"/>
                <w:szCs w:val="24"/>
              </w:rPr>
              <w:t>（二）项目支出情况</w:t>
            </w:r>
          </w:p>
          <w:p>
            <w:pPr>
              <w:spacing w:line="560" w:lineRule="exact"/>
              <w:ind w:firstLine="480" w:firstLineChars="200"/>
              <w:jc w:val="left"/>
              <w:rPr>
                <w:rFonts w:ascii="仿宋" w:hAnsi="仿宋" w:eastAsia="仿宋" w:cs="仿宋"/>
                <w:color w:val="000000" w:themeColor="text1"/>
                <w:sz w:val="24"/>
              </w:rPr>
            </w:pPr>
            <w:r>
              <w:rPr>
                <w:rFonts w:hint="eastAsia" w:ascii="仿宋" w:hAnsi="仿宋" w:eastAsia="仿宋" w:cs="仿宋"/>
                <w:color w:val="000000"/>
                <w:sz w:val="24"/>
              </w:rPr>
              <w:t>2022年我局年初部门预算项目支出497.16万元，其中国内贸易管理支出177万元，招商引资支出150万元，其他扶贫支出50万元，其他商贸事务支出120.16万元。</w:t>
            </w:r>
            <w:r>
              <w:rPr>
                <w:rFonts w:hint="eastAsia" w:ascii="仿宋" w:hAnsi="仿宋" w:eastAsia="仿宋" w:cs="仿宋"/>
                <w:color w:val="000000" w:themeColor="text1"/>
                <w:sz w:val="24"/>
              </w:rPr>
              <w:t>调整项目支出部门预算948万元，（预算内省市级补助收入948万元）2022年项目支出合计1445.16万元。项目性经费用于开展保障部门职能职责支出和对符合政策的企业给予的政策性补贴及财政贴息、奖励资金支出等。收支平衡，全年无结余。</w:t>
            </w:r>
          </w:p>
          <w:p>
            <w:pPr>
              <w:spacing w:line="576" w:lineRule="exact"/>
              <w:ind w:right="879" w:rightChars="419"/>
              <w:rPr>
                <w:rFonts w:ascii="仿宋" w:hAnsi="仿宋" w:eastAsia="仿宋" w:cs="方正小标宋简体"/>
                <w:sz w:val="24"/>
              </w:rPr>
            </w:pPr>
            <w:r>
              <w:rPr>
                <w:rFonts w:hint="eastAsia" w:ascii="仿宋" w:hAnsi="仿宋" w:eastAsia="仿宋" w:cs="方正小标宋简体"/>
                <w:sz w:val="24"/>
              </w:rPr>
              <w:t>四、预算资金执行情况</w:t>
            </w:r>
          </w:p>
          <w:p>
            <w:pPr>
              <w:spacing w:line="560" w:lineRule="exact"/>
              <w:ind w:firstLine="480" w:firstLineChars="200"/>
              <w:rPr>
                <w:rFonts w:ascii="仿宋" w:hAnsi="仿宋" w:eastAsia="仿宋" w:cs="仿宋"/>
                <w:color w:val="000000" w:themeColor="text1"/>
                <w:sz w:val="24"/>
              </w:rPr>
            </w:pPr>
            <w:r>
              <w:rPr>
                <w:rFonts w:hint="eastAsia" w:ascii="仿宋" w:hAnsi="仿宋" w:eastAsia="仿宋" w:cs="仿宋"/>
                <w:color w:val="000000" w:themeColor="text1"/>
                <w:sz w:val="24"/>
              </w:rPr>
              <w:t>2022年我局部门预算基本支出</w:t>
            </w:r>
            <w:r>
              <w:rPr>
                <w:rFonts w:hint="eastAsia" w:ascii="仿宋" w:hAnsi="仿宋" w:eastAsia="仿宋" w:cs="仿宋"/>
                <w:color w:val="000000" w:themeColor="text1"/>
                <w:kern w:val="0"/>
                <w:sz w:val="24"/>
              </w:rPr>
              <w:t>722.76万</w:t>
            </w:r>
            <w:r>
              <w:rPr>
                <w:rFonts w:ascii="仿宋" w:hAnsi="仿宋" w:eastAsia="仿宋" w:cs="仿宋"/>
                <w:color w:val="000000" w:themeColor="text1"/>
                <w:kern w:val="0"/>
                <w:sz w:val="24"/>
              </w:rPr>
              <w:t>元</w:t>
            </w:r>
            <w:r>
              <w:rPr>
                <w:rFonts w:hint="eastAsia" w:ascii="仿宋" w:hAnsi="仿宋" w:eastAsia="仿宋" w:cs="仿宋"/>
                <w:color w:val="000000" w:themeColor="text1"/>
                <w:kern w:val="0"/>
                <w:sz w:val="24"/>
              </w:rPr>
              <w:t>,</w:t>
            </w:r>
            <w:r>
              <w:rPr>
                <w:rFonts w:hint="eastAsia" w:ascii="仿宋" w:hAnsi="仿宋" w:eastAsia="仿宋" w:cs="仿宋"/>
                <w:color w:val="000000" w:themeColor="text1"/>
                <w:sz w:val="24"/>
              </w:rPr>
              <w:t>用于工资福利支出541.03万元，商品服务支出 93.17万元，对个人及家庭补助支出87.6元。</w:t>
            </w:r>
            <w:r>
              <w:rPr>
                <w:rFonts w:hint="eastAsia" w:ascii="仿宋" w:hAnsi="仿宋" w:eastAsia="仿宋" w:cs="方正小标宋简体"/>
                <w:color w:val="000000" w:themeColor="text1"/>
                <w:sz w:val="24"/>
              </w:rPr>
              <w:t>项目支出686.97万元，用于商品与服务支出及对企事业单位补贴等。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pPr>
              <w:spacing w:line="576" w:lineRule="exact"/>
              <w:ind w:right="879" w:rightChars="419"/>
              <w:jc w:val="center"/>
              <w:rPr>
                <w:rFonts w:ascii="仿宋" w:hAnsi="仿宋" w:eastAsia="仿宋" w:cs="方正小标宋简体"/>
                <w:sz w:val="24"/>
              </w:rPr>
            </w:pPr>
          </w:p>
        </w:tc>
        <w:tc>
          <w:tcPr>
            <w:tcW w:w="1985" w:type="dxa"/>
            <w:vAlign w:val="center"/>
          </w:tcPr>
          <w:p>
            <w:pPr>
              <w:spacing w:line="576" w:lineRule="exact"/>
              <w:ind w:right="879" w:rightChars="419"/>
              <w:jc w:val="center"/>
              <w:rPr>
                <w:rFonts w:ascii="仿宋" w:hAnsi="仿宋" w:eastAsia="仿宋" w:cs="方正小标宋简体"/>
                <w:sz w:val="24"/>
              </w:rPr>
            </w:pPr>
            <w:r>
              <w:rPr>
                <w:rFonts w:hint="eastAsia" w:ascii="仿宋" w:hAnsi="仿宋" w:eastAsia="仿宋" w:cs="方正小标宋简体"/>
                <w:sz w:val="24"/>
              </w:rPr>
              <w:t>绩效目标完成情况</w:t>
            </w:r>
          </w:p>
        </w:tc>
        <w:tc>
          <w:tcPr>
            <w:tcW w:w="5670" w:type="dxa"/>
            <w:vAlign w:val="center"/>
          </w:tcPr>
          <w:p>
            <w:pPr>
              <w:spacing w:line="576" w:lineRule="exact"/>
              <w:ind w:right="879" w:rightChars="419"/>
              <w:rPr>
                <w:rFonts w:ascii="仿宋" w:hAnsi="仿宋" w:eastAsia="仿宋" w:cs="方正小标宋简体"/>
                <w:sz w:val="24"/>
              </w:rPr>
            </w:pPr>
            <w:r>
              <w:rPr>
                <w:rFonts w:hint="eastAsia" w:ascii="仿宋" w:hAnsi="仿宋" w:eastAsia="仿宋" w:cs="方正小标宋简体"/>
                <w:sz w:val="24"/>
              </w:rPr>
              <w:t>一、部门整体绩效成果</w:t>
            </w:r>
          </w:p>
          <w:p>
            <w:pPr>
              <w:spacing w:line="560" w:lineRule="exact"/>
              <w:ind w:firstLine="480" w:firstLineChars="200"/>
              <w:rPr>
                <w:rFonts w:ascii="仿宋" w:hAnsi="仿宋" w:eastAsia="仿宋" w:cs="仿宋"/>
                <w:color w:val="000000" w:themeColor="text1"/>
                <w:sz w:val="24"/>
              </w:rPr>
            </w:pPr>
            <w:r>
              <w:rPr>
                <w:rFonts w:hint="eastAsia" w:ascii="仿宋" w:hAnsi="仿宋" w:eastAsia="仿宋" w:cs="仿宋"/>
                <w:color w:val="000000" w:themeColor="text1"/>
                <w:sz w:val="24"/>
              </w:rPr>
              <w:t>2022</w:t>
            </w:r>
            <w:r>
              <w:rPr>
                <w:rFonts w:ascii="仿宋" w:hAnsi="仿宋" w:eastAsia="仿宋" w:cs="仿宋"/>
                <w:color w:val="000000" w:themeColor="text1"/>
                <w:sz w:val="24"/>
              </w:rPr>
              <w:t>年</w:t>
            </w:r>
            <w:r>
              <w:rPr>
                <w:rFonts w:hint="eastAsia" w:ascii="仿宋" w:hAnsi="仿宋" w:eastAsia="仿宋" w:cs="仿宋"/>
                <w:color w:val="000000" w:themeColor="text1"/>
                <w:sz w:val="24"/>
              </w:rPr>
              <w:t>，我局根据县委、县政府</w:t>
            </w:r>
            <w:r>
              <w:rPr>
                <w:rFonts w:ascii="仿宋" w:hAnsi="仿宋" w:eastAsia="仿宋" w:cs="仿宋"/>
                <w:color w:val="000000" w:themeColor="text1"/>
                <w:sz w:val="24"/>
              </w:rPr>
              <w:t>工作任务指标的要求，对照</w:t>
            </w:r>
            <w:r>
              <w:rPr>
                <w:rFonts w:hint="eastAsia" w:ascii="仿宋" w:hAnsi="仿宋" w:eastAsia="仿宋" w:cs="仿宋"/>
                <w:color w:val="000000" w:themeColor="text1"/>
                <w:sz w:val="24"/>
              </w:rPr>
              <w:t>年度</w:t>
            </w:r>
            <w:r>
              <w:rPr>
                <w:rFonts w:ascii="仿宋" w:hAnsi="仿宋" w:eastAsia="仿宋" w:cs="仿宋"/>
                <w:color w:val="000000" w:themeColor="text1"/>
                <w:sz w:val="24"/>
              </w:rPr>
              <w:t>绩效目标开展绩效自评</w:t>
            </w:r>
            <w:r>
              <w:rPr>
                <w:rFonts w:hint="eastAsia" w:ascii="仿宋" w:hAnsi="仿宋" w:eastAsia="仿宋" w:cs="仿宋"/>
                <w:color w:val="000000" w:themeColor="text1"/>
                <w:sz w:val="24"/>
              </w:rPr>
              <w:t>，</w:t>
            </w:r>
            <w:r>
              <w:rPr>
                <w:rFonts w:ascii="仿宋" w:hAnsi="仿宋" w:eastAsia="仿宋" w:cs="仿宋"/>
                <w:color w:val="000000" w:themeColor="text1"/>
                <w:sz w:val="24"/>
              </w:rPr>
              <w:t>20</w:t>
            </w:r>
            <w:r>
              <w:rPr>
                <w:rFonts w:hint="eastAsia" w:ascii="仿宋" w:hAnsi="仿宋" w:eastAsia="仿宋" w:cs="仿宋"/>
                <w:color w:val="000000" w:themeColor="text1"/>
                <w:sz w:val="24"/>
              </w:rPr>
              <w:t>22</w:t>
            </w:r>
            <w:r>
              <w:rPr>
                <w:rFonts w:ascii="仿宋" w:hAnsi="仿宋" w:eastAsia="仿宋" w:cs="仿宋"/>
                <w:color w:val="000000" w:themeColor="text1"/>
                <w:sz w:val="24"/>
              </w:rPr>
              <w:t>年绩效指标完成情况</w:t>
            </w:r>
            <w:r>
              <w:rPr>
                <w:rFonts w:hint="eastAsia" w:ascii="仿宋" w:hAnsi="仿宋" w:eastAsia="仿宋" w:cs="仿宋"/>
                <w:color w:val="000000" w:themeColor="text1"/>
                <w:sz w:val="24"/>
              </w:rPr>
              <w:t>如下</w:t>
            </w:r>
            <w:r>
              <w:rPr>
                <w:rFonts w:ascii="仿宋" w:hAnsi="仿宋" w:eastAsia="仿宋" w:cs="仿宋"/>
                <w:color w:val="000000" w:themeColor="text1"/>
                <w:sz w:val="24"/>
              </w:rPr>
              <w:t>：产出指标任务完成率100%</w:t>
            </w:r>
            <w:r>
              <w:rPr>
                <w:rFonts w:hint="eastAsia" w:ascii="仿宋" w:hAnsi="仿宋" w:eastAsia="仿宋" w:cs="仿宋"/>
                <w:color w:val="000000" w:themeColor="text1"/>
                <w:sz w:val="24"/>
              </w:rPr>
              <w:t>，</w:t>
            </w:r>
            <w:r>
              <w:rPr>
                <w:rFonts w:ascii="仿宋" w:hAnsi="仿宋" w:eastAsia="仿宋" w:cs="仿宋"/>
                <w:color w:val="000000" w:themeColor="text1"/>
                <w:sz w:val="24"/>
              </w:rPr>
              <w:t>效益指标按时完成</w:t>
            </w:r>
            <w:r>
              <w:rPr>
                <w:rFonts w:hint="eastAsia" w:ascii="仿宋" w:hAnsi="仿宋" w:eastAsia="仿宋" w:cs="仿宋"/>
                <w:color w:val="000000" w:themeColor="text1"/>
                <w:sz w:val="24"/>
              </w:rPr>
              <w:t>，</w:t>
            </w:r>
            <w:r>
              <w:rPr>
                <w:rFonts w:ascii="仿宋" w:hAnsi="仿宋" w:eastAsia="仿宋" w:cs="仿宋"/>
                <w:color w:val="000000" w:themeColor="text1"/>
                <w:sz w:val="24"/>
              </w:rPr>
              <w:t>满意度指标达到预期效果</w:t>
            </w:r>
            <w:r>
              <w:rPr>
                <w:rFonts w:hint="eastAsia" w:ascii="仿宋" w:hAnsi="仿宋" w:eastAsia="仿宋" w:cs="仿宋"/>
                <w:color w:val="000000" w:themeColor="text1"/>
                <w:sz w:val="24"/>
              </w:rPr>
              <w:t>。</w:t>
            </w:r>
            <w:r>
              <w:rPr>
                <w:rFonts w:ascii="仿宋" w:hAnsi="仿宋" w:eastAsia="仿宋" w:cs="仿宋"/>
                <w:color w:val="000000" w:themeColor="text1"/>
                <w:sz w:val="24"/>
              </w:rPr>
              <w:t>预算安排资金在本年度内达到了预期的产出和效果工作目标，较好的完成了年初确定的各项工作任务：</w:t>
            </w:r>
          </w:p>
          <w:p>
            <w:pPr>
              <w:spacing w:line="560" w:lineRule="exact"/>
              <w:rPr>
                <w:rFonts w:ascii="仿宋" w:hAnsi="仿宋" w:eastAsia="仿宋" w:cs="仿宋"/>
                <w:color w:val="000000" w:themeColor="text1"/>
                <w:sz w:val="24"/>
              </w:rPr>
            </w:pPr>
            <w:r>
              <w:rPr>
                <w:rFonts w:hint="eastAsia" w:ascii="仿宋" w:hAnsi="仿宋" w:eastAsia="仿宋" w:cs="仿宋"/>
                <w:bCs/>
                <w:color w:val="000000"/>
                <w:sz w:val="24"/>
              </w:rPr>
              <w:t>（一</w:t>
            </w:r>
            <w:r>
              <w:rPr>
                <w:rFonts w:hint="eastAsia" w:ascii="仿宋" w:hAnsi="仿宋" w:eastAsia="仿宋" w:cs="仿宋"/>
                <w:color w:val="000000" w:themeColor="text1"/>
                <w:sz w:val="24"/>
              </w:rPr>
              <w:t>）外贸方面</w:t>
            </w:r>
          </w:p>
          <w:p>
            <w:pPr>
              <w:spacing w:line="560" w:lineRule="exact"/>
              <w:ind w:firstLine="480" w:firstLineChars="200"/>
              <w:jc w:val="left"/>
              <w:rPr>
                <w:rFonts w:ascii="仿宋" w:hAnsi="仿宋" w:eastAsia="仿宋" w:cs="仿宋"/>
                <w:color w:val="000000"/>
                <w:sz w:val="24"/>
              </w:rPr>
            </w:pPr>
            <w:r>
              <w:rPr>
                <w:rFonts w:hint="eastAsia" w:ascii="仿宋" w:hAnsi="仿宋" w:eastAsia="仿宋" w:cs="仿宋"/>
                <w:color w:val="000000" w:themeColor="text1"/>
                <w:sz w:val="24"/>
              </w:rPr>
              <w:t>2022年</w:t>
            </w:r>
            <w:r>
              <w:rPr>
                <w:rFonts w:ascii="仿宋" w:hAnsi="仿宋" w:eastAsia="仿宋" w:cs="仿宋"/>
                <w:color w:val="000000" w:themeColor="text1"/>
                <w:sz w:val="24"/>
              </w:rPr>
              <w:t>，</w:t>
            </w:r>
            <w:r>
              <w:rPr>
                <w:rFonts w:ascii="仿宋" w:hAnsi="仿宋" w:eastAsia="仿宋" w:cs="仿宋"/>
                <w:color w:val="000000"/>
                <w:sz w:val="24"/>
              </w:rPr>
              <w:t>签订外贸综合服务协议20余份，协助11家企业办理好进出口资质，</w:t>
            </w:r>
            <w:r>
              <w:rPr>
                <w:rFonts w:hint="eastAsia" w:ascii="仿宋" w:hAnsi="仿宋" w:eastAsia="仿宋" w:cs="仿宋"/>
                <w:color w:val="000000"/>
                <w:sz w:val="24"/>
              </w:rPr>
              <w:t>全面摸清</w:t>
            </w:r>
            <w:r>
              <w:rPr>
                <w:rFonts w:ascii="仿宋" w:hAnsi="仿宋" w:eastAsia="仿宋" w:cs="仿宋"/>
                <w:color w:val="000000"/>
                <w:sz w:val="24"/>
              </w:rPr>
              <w:t>疫情影响下外贸发展的困难</w:t>
            </w:r>
            <w:r>
              <w:rPr>
                <w:rFonts w:hint="eastAsia" w:ascii="仿宋" w:hAnsi="仿宋" w:eastAsia="仿宋" w:cs="仿宋"/>
                <w:color w:val="000000"/>
                <w:sz w:val="24"/>
              </w:rPr>
              <w:t>，收集办理</w:t>
            </w:r>
            <w:r>
              <w:rPr>
                <w:rFonts w:ascii="仿宋" w:hAnsi="仿宋" w:eastAsia="仿宋" w:cs="仿宋"/>
                <w:color w:val="000000"/>
                <w:sz w:val="24"/>
              </w:rPr>
              <w:t>意见建议</w:t>
            </w:r>
            <w:r>
              <w:rPr>
                <w:rFonts w:hint="eastAsia" w:ascii="仿宋" w:hAnsi="仿宋" w:eastAsia="仿宋" w:cs="仿宋"/>
                <w:color w:val="000000"/>
                <w:sz w:val="24"/>
              </w:rPr>
              <w:t>10余个。</w:t>
            </w:r>
            <w:r>
              <w:rPr>
                <w:rFonts w:ascii="仿宋" w:hAnsi="仿宋" w:eastAsia="仿宋" w:cs="仿宋"/>
                <w:color w:val="000000"/>
                <w:sz w:val="24"/>
              </w:rPr>
              <w:t>组织</w:t>
            </w:r>
            <w:r>
              <w:rPr>
                <w:rFonts w:hint="eastAsia" w:ascii="仿宋" w:hAnsi="仿宋" w:eastAsia="仿宋" w:cs="仿宋"/>
                <w:color w:val="000000"/>
                <w:sz w:val="24"/>
              </w:rPr>
              <w:t>30家</w:t>
            </w:r>
            <w:r>
              <w:rPr>
                <w:rFonts w:ascii="仿宋" w:hAnsi="仿宋" w:eastAsia="仿宋" w:cs="仿宋"/>
                <w:color w:val="000000"/>
                <w:sz w:val="24"/>
              </w:rPr>
              <w:t>企业参加各类展会</w:t>
            </w:r>
            <w:r>
              <w:rPr>
                <w:rFonts w:hint="eastAsia" w:ascii="仿宋" w:hAnsi="仿宋" w:eastAsia="仿宋" w:cs="仿宋"/>
                <w:color w:val="000000"/>
                <w:sz w:val="24"/>
              </w:rPr>
              <w:t>，助推</w:t>
            </w:r>
            <w:r>
              <w:rPr>
                <w:rFonts w:ascii="仿宋" w:hAnsi="仿宋" w:eastAsia="仿宋" w:cs="仿宋"/>
                <w:color w:val="000000"/>
                <w:sz w:val="24"/>
              </w:rPr>
              <w:t>企业“走出去”</w:t>
            </w:r>
            <w:r>
              <w:rPr>
                <w:rFonts w:hint="eastAsia" w:ascii="仿宋" w:hAnsi="仿宋" w:eastAsia="仿宋" w:cs="仿宋"/>
                <w:color w:val="000000"/>
                <w:sz w:val="24"/>
              </w:rPr>
              <w:t>。今年</w:t>
            </w:r>
            <w:r>
              <w:rPr>
                <w:rFonts w:ascii="仿宋" w:hAnsi="仿宋" w:eastAsia="仿宋" w:cs="仿宋"/>
                <w:color w:val="000000"/>
                <w:sz w:val="24"/>
              </w:rPr>
              <w:t>，做好了2022年第五届中国国际进口博览会采购商召集工作，组织企业参加了第五届进博会，完成采购成交额413万美元</w:t>
            </w:r>
            <w:r>
              <w:rPr>
                <w:rFonts w:hint="eastAsia" w:ascii="仿宋" w:hAnsi="仿宋" w:eastAsia="仿宋" w:cs="仿宋"/>
                <w:color w:val="000000"/>
                <w:sz w:val="24"/>
              </w:rPr>
              <w:t>。</w:t>
            </w:r>
            <w:r>
              <w:rPr>
                <w:rFonts w:ascii="仿宋" w:hAnsi="仿宋" w:eastAsia="仿宋" w:cs="仿宋"/>
                <w:color w:val="000000"/>
                <w:sz w:val="24"/>
              </w:rPr>
              <w:t>组织</w:t>
            </w:r>
            <w:r>
              <w:rPr>
                <w:rFonts w:hint="eastAsia" w:ascii="仿宋" w:hAnsi="仿宋" w:eastAsia="仿宋" w:cs="仿宋"/>
                <w:color w:val="000000"/>
                <w:sz w:val="24"/>
              </w:rPr>
              <w:t>15家</w:t>
            </w:r>
            <w:r>
              <w:rPr>
                <w:rFonts w:ascii="仿宋" w:hAnsi="仿宋" w:eastAsia="仿宋" w:cs="仿宋"/>
                <w:color w:val="000000"/>
                <w:sz w:val="24"/>
              </w:rPr>
              <w:t>企业参加全市优化外贸企业跨境服务贸易便利提升政企恳谈会</w:t>
            </w:r>
            <w:r>
              <w:rPr>
                <w:rFonts w:hint="eastAsia" w:ascii="仿宋" w:hAnsi="仿宋" w:eastAsia="仿宋" w:cs="仿宋"/>
                <w:color w:val="000000"/>
                <w:sz w:val="24"/>
              </w:rPr>
              <w:t>，</w:t>
            </w:r>
            <w:r>
              <w:rPr>
                <w:rFonts w:ascii="仿宋" w:hAnsi="仿宋" w:eastAsia="仿宋" w:cs="仿宋"/>
                <w:color w:val="000000"/>
                <w:sz w:val="24"/>
              </w:rPr>
              <w:t>市贸促会举办</w:t>
            </w:r>
            <w:r>
              <w:rPr>
                <w:rFonts w:hint="eastAsia" w:ascii="仿宋" w:hAnsi="仿宋" w:eastAsia="仿宋" w:cs="仿宋"/>
                <w:color w:val="000000"/>
                <w:sz w:val="24"/>
              </w:rPr>
              <w:t>的</w:t>
            </w:r>
            <w:r>
              <w:rPr>
                <w:rFonts w:ascii="仿宋" w:hAnsi="仿宋" w:eastAsia="仿宋" w:cs="仿宋"/>
                <w:color w:val="000000"/>
                <w:sz w:val="24"/>
              </w:rPr>
              <w:t>区域全面经济伙伴关系协定专题培训班，驻外之家、湘企出海平台机构对接交流会等培训交流会议，协调解决企业在生产经营中遇到的困难和问题。</w:t>
            </w:r>
          </w:p>
          <w:p>
            <w:pPr>
              <w:spacing w:line="560" w:lineRule="exact"/>
              <w:rPr>
                <w:rFonts w:ascii="仿宋" w:hAnsi="仿宋" w:eastAsia="仿宋" w:cs="仿宋"/>
                <w:color w:val="000000" w:themeColor="text1"/>
                <w:sz w:val="24"/>
              </w:rPr>
            </w:pPr>
            <w:r>
              <w:rPr>
                <w:rFonts w:hint="eastAsia" w:ascii="仿宋" w:hAnsi="仿宋" w:eastAsia="仿宋" w:cs="仿宋"/>
                <w:color w:val="000000" w:themeColor="text1"/>
                <w:sz w:val="24"/>
              </w:rPr>
              <w:t>（二）招商引资方面</w:t>
            </w:r>
          </w:p>
          <w:p>
            <w:pPr>
              <w:spacing w:line="560" w:lineRule="exact"/>
              <w:ind w:firstLine="640"/>
              <w:jc w:val="left"/>
              <w:rPr>
                <w:rFonts w:ascii="仿宋" w:hAnsi="仿宋" w:eastAsia="仿宋" w:cs="仿宋"/>
                <w:color w:val="000000"/>
                <w:sz w:val="24"/>
              </w:rPr>
            </w:pPr>
            <w:r>
              <w:rPr>
                <w:rFonts w:hint="eastAsia" w:ascii="仿宋" w:hAnsi="仿宋" w:eastAsia="仿宋" w:cs="仿宋"/>
                <w:color w:val="000000"/>
                <w:sz w:val="24"/>
              </w:rPr>
              <w:t>聚焦产业，招商引资成效明显。今年引进的157个项目中，10亿元以上项目3</w:t>
            </w:r>
            <w:r>
              <w:rPr>
                <w:rFonts w:ascii="仿宋" w:hAnsi="仿宋" w:eastAsia="仿宋" w:cs="仿宋"/>
                <w:color w:val="000000"/>
                <w:sz w:val="24"/>
              </w:rPr>
              <w:t>个</w:t>
            </w:r>
            <w:r>
              <w:rPr>
                <w:rFonts w:hint="eastAsia" w:ascii="仿宋" w:hAnsi="仿宋" w:eastAsia="仿宋" w:cs="仿宋"/>
                <w:color w:val="000000"/>
                <w:sz w:val="24"/>
              </w:rPr>
              <w:t>、</w:t>
            </w:r>
            <w:r>
              <w:rPr>
                <w:rFonts w:ascii="仿宋" w:hAnsi="仿宋" w:eastAsia="仿宋" w:cs="仿宋"/>
                <w:color w:val="000000"/>
                <w:sz w:val="24"/>
              </w:rPr>
              <w:t>亿元以上项目</w:t>
            </w:r>
            <w:r>
              <w:rPr>
                <w:rFonts w:hint="eastAsia" w:ascii="仿宋" w:hAnsi="仿宋" w:eastAsia="仿宋" w:cs="仿宋"/>
                <w:color w:val="000000"/>
                <w:sz w:val="24"/>
              </w:rPr>
              <w:t>20</w:t>
            </w:r>
            <w:r>
              <w:rPr>
                <w:rFonts w:ascii="仿宋" w:hAnsi="仿宋" w:eastAsia="仿宋" w:cs="仿宋"/>
                <w:color w:val="000000"/>
                <w:sz w:val="24"/>
              </w:rPr>
              <w:t>个（制造业项目</w:t>
            </w:r>
            <w:r>
              <w:rPr>
                <w:rFonts w:hint="eastAsia" w:ascii="仿宋" w:hAnsi="仿宋" w:eastAsia="仿宋" w:cs="仿宋"/>
                <w:color w:val="000000"/>
                <w:sz w:val="24"/>
              </w:rPr>
              <w:t>14</w:t>
            </w:r>
            <w:r>
              <w:rPr>
                <w:rFonts w:ascii="仿宋" w:hAnsi="仿宋" w:eastAsia="仿宋" w:cs="仿宋"/>
                <w:color w:val="000000"/>
                <w:sz w:val="24"/>
              </w:rPr>
              <w:t>个)</w:t>
            </w:r>
            <w:r>
              <w:rPr>
                <w:rFonts w:hint="eastAsia" w:ascii="仿宋" w:hAnsi="仿宋" w:eastAsia="仿宋" w:cs="仿宋"/>
                <w:color w:val="000000"/>
                <w:sz w:val="24"/>
              </w:rPr>
              <w:t>、</w:t>
            </w:r>
            <w:r>
              <w:rPr>
                <w:rFonts w:ascii="仿宋" w:hAnsi="仿宋" w:eastAsia="仿宋" w:cs="仿宋"/>
                <w:color w:val="000000"/>
                <w:sz w:val="24"/>
              </w:rPr>
              <w:t>“三类500强”项目4个（制造业项目3个）</w:t>
            </w:r>
            <w:r>
              <w:rPr>
                <w:rFonts w:hint="eastAsia" w:ascii="仿宋" w:hAnsi="仿宋" w:eastAsia="仿宋" w:cs="仿宋"/>
                <w:color w:val="000000"/>
                <w:sz w:val="24"/>
              </w:rPr>
              <w:t>、</w:t>
            </w:r>
            <w:r>
              <w:rPr>
                <w:rFonts w:ascii="仿宋" w:hAnsi="仿宋" w:eastAsia="仿宋" w:cs="仿宋"/>
                <w:color w:val="000000"/>
                <w:sz w:val="24"/>
              </w:rPr>
              <w:t>省级重大项目9个</w:t>
            </w:r>
            <w:r>
              <w:rPr>
                <w:rFonts w:hint="eastAsia" w:ascii="仿宋" w:hAnsi="仿宋" w:eastAsia="仿宋" w:cs="仿宋"/>
                <w:color w:val="000000"/>
                <w:sz w:val="24"/>
              </w:rPr>
              <w:t>、</w:t>
            </w:r>
            <w:r>
              <w:rPr>
                <w:rFonts w:ascii="仿宋" w:hAnsi="仿宋" w:eastAsia="仿宋" w:cs="仿宋"/>
                <w:color w:val="000000"/>
                <w:sz w:val="24"/>
              </w:rPr>
              <w:t>“湘商回归”项目20个</w:t>
            </w:r>
            <w:r>
              <w:rPr>
                <w:rFonts w:hint="eastAsia" w:ascii="仿宋" w:hAnsi="仿宋" w:eastAsia="仿宋" w:cs="仿宋"/>
                <w:color w:val="000000"/>
                <w:sz w:val="24"/>
              </w:rPr>
              <w:t>、</w:t>
            </w:r>
            <w:r>
              <w:rPr>
                <w:rFonts w:ascii="仿宋" w:hAnsi="仿宋" w:eastAsia="仿宋" w:cs="仿宋"/>
                <w:color w:val="000000"/>
                <w:sz w:val="24"/>
              </w:rPr>
              <w:t>外资企业2个</w:t>
            </w:r>
            <w:r>
              <w:rPr>
                <w:rFonts w:hint="eastAsia" w:ascii="仿宋" w:hAnsi="仿宋" w:eastAsia="仿宋" w:cs="仿宋"/>
                <w:color w:val="000000"/>
                <w:sz w:val="24"/>
              </w:rPr>
              <w:t>、</w:t>
            </w:r>
            <w:r>
              <w:rPr>
                <w:rFonts w:ascii="仿宋" w:hAnsi="仿宋" w:eastAsia="仿宋" w:cs="仿宋"/>
                <w:color w:val="000000"/>
                <w:sz w:val="24"/>
              </w:rPr>
              <w:t>外向型产贸企业2个</w:t>
            </w:r>
            <w:r>
              <w:rPr>
                <w:rFonts w:hint="eastAsia" w:ascii="仿宋" w:hAnsi="仿宋" w:eastAsia="仿宋" w:cs="仿宋"/>
                <w:color w:val="000000"/>
                <w:sz w:val="24"/>
              </w:rPr>
              <w:t>、</w:t>
            </w:r>
            <w:r>
              <w:rPr>
                <w:rFonts w:ascii="仿宋" w:hAnsi="仿宋" w:eastAsia="仿宋" w:cs="仿宋"/>
                <w:color w:val="000000"/>
                <w:sz w:val="24"/>
              </w:rPr>
              <w:t>总部经济项目6个。一是出台</w:t>
            </w:r>
            <w:r>
              <w:rPr>
                <w:rFonts w:hint="eastAsia" w:ascii="仿宋" w:hAnsi="仿宋" w:eastAsia="仿宋" w:cs="仿宋"/>
                <w:color w:val="000000"/>
                <w:sz w:val="24"/>
              </w:rPr>
              <w:t>优商</w:t>
            </w:r>
            <w:r>
              <w:rPr>
                <w:rFonts w:ascii="仿宋" w:hAnsi="仿宋" w:eastAsia="仿宋" w:cs="仿宋"/>
                <w:color w:val="000000"/>
                <w:sz w:val="24"/>
              </w:rPr>
              <w:t>政策。突出8条优势产业链和9大重点领域出台《关于进一步加强招商引资工作组织领导的通知》</w:t>
            </w:r>
            <w:r>
              <w:rPr>
                <w:rFonts w:hint="eastAsia" w:ascii="仿宋" w:hAnsi="仿宋" w:eastAsia="仿宋" w:cs="仿宋"/>
                <w:color w:val="000000"/>
                <w:sz w:val="24"/>
              </w:rPr>
              <w:t>等政策文件3份</w:t>
            </w:r>
            <w:r>
              <w:rPr>
                <w:rFonts w:ascii="仿宋" w:hAnsi="仿宋" w:eastAsia="仿宋" w:cs="仿宋"/>
                <w:color w:val="000000"/>
                <w:sz w:val="24"/>
              </w:rPr>
              <w:t>，对引进项目的企事业单位和个人给予重点奖励，激发了</w:t>
            </w:r>
            <w:r>
              <w:rPr>
                <w:rFonts w:hint="eastAsia" w:ascii="仿宋" w:hAnsi="仿宋" w:eastAsia="仿宋" w:cs="仿宋"/>
                <w:color w:val="000000"/>
                <w:sz w:val="24"/>
              </w:rPr>
              <w:t>招商</w:t>
            </w:r>
            <w:r>
              <w:rPr>
                <w:rFonts w:ascii="仿宋" w:hAnsi="仿宋" w:eastAsia="仿宋" w:cs="仿宋"/>
                <w:color w:val="000000"/>
                <w:sz w:val="24"/>
              </w:rPr>
              <w:t>活力，营造了全民招商的良好氛围。二是</w:t>
            </w:r>
            <w:r>
              <w:rPr>
                <w:rFonts w:hint="eastAsia" w:ascii="仿宋" w:hAnsi="仿宋" w:eastAsia="仿宋" w:cs="仿宋"/>
                <w:color w:val="000000"/>
                <w:sz w:val="24"/>
              </w:rPr>
              <w:t>强化项目包装</w:t>
            </w:r>
            <w:r>
              <w:rPr>
                <w:rFonts w:ascii="仿宋" w:hAnsi="仿宋" w:eastAsia="仿宋" w:cs="仿宋"/>
                <w:color w:val="000000"/>
                <w:sz w:val="24"/>
              </w:rPr>
              <w:t>。全年，围绕先进装备制造业、食品医药、新材料三大主导产业和节能环保等战略新兴产业，策划包装了35个有市场潜力、技术含量高、效益回报快、吸引力较强的招商引资项目，其中20个项目列入了湘潭市2022年产业发展招商引资项目库，助推全县打造“3+X”产业体系。三是</w:t>
            </w:r>
            <w:r>
              <w:rPr>
                <w:rFonts w:hint="eastAsia" w:ascii="仿宋" w:hAnsi="仿宋" w:eastAsia="仿宋" w:cs="仿宋"/>
                <w:color w:val="000000"/>
                <w:sz w:val="24"/>
              </w:rPr>
              <w:t>发展乡镇园区</w:t>
            </w:r>
            <w:r>
              <w:rPr>
                <w:rFonts w:ascii="仿宋" w:hAnsi="仿宋" w:eastAsia="仿宋" w:cs="仿宋"/>
                <w:color w:val="000000"/>
                <w:sz w:val="24"/>
              </w:rPr>
              <w:t>。依托杨河工业园、青山桥皮鞋工业园、茶恩竹木工业园和湘莲产业园等4个乡镇产业园区，积极对接浙江“腾笼换鸟”政策、温岭制鞋业产业转移的机会，充分借鉴“中国第一竹乡”浙江安吉的先进经验，加快推进青山桥皮鞋皮具和茶恩竹木产业园发展壮大。</w:t>
            </w:r>
          </w:p>
          <w:p>
            <w:pPr>
              <w:spacing w:line="560" w:lineRule="exact"/>
              <w:rPr>
                <w:rFonts w:ascii="仿宋" w:hAnsi="仿宋" w:eastAsia="仿宋" w:cs="仿宋"/>
                <w:color w:val="000000" w:themeColor="text1"/>
                <w:sz w:val="24"/>
              </w:rPr>
            </w:pPr>
            <w:r>
              <w:rPr>
                <w:rFonts w:hint="eastAsia" w:ascii="仿宋" w:hAnsi="仿宋" w:eastAsia="仿宋" w:cs="仿宋"/>
                <w:color w:val="000000" w:themeColor="text1"/>
                <w:sz w:val="24"/>
              </w:rPr>
              <w:t>（三）内贸方面</w:t>
            </w:r>
          </w:p>
          <w:p>
            <w:pPr>
              <w:spacing w:line="560" w:lineRule="exact"/>
              <w:ind w:firstLine="480" w:firstLineChars="200"/>
              <w:rPr>
                <w:rFonts w:ascii="仿宋" w:hAnsi="仿宋" w:eastAsia="仿宋" w:cs="仿宋"/>
                <w:color w:val="000000"/>
                <w:sz w:val="24"/>
              </w:rPr>
            </w:pPr>
            <w:r>
              <w:rPr>
                <w:rFonts w:hint="eastAsia" w:ascii="仿宋" w:hAnsi="仿宋" w:eastAsia="仿宋" w:cs="仿宋"/>
                <w:color w:val="000000" w:themeColor="text1"/>
                <w:sz w:val="24"/>
              </w:rPr>
              <w:t>2022年</w:t>
            </w:r>
            <w:r>
              <w:rPr>
                <w:rFonts w:hint="eastAsia" w:ascii="仿宋" w:hAnsi="仿宋" w:eastAsia="仿宋" w:cs="仿宋"/>
                <w:color w:val="000000"/>
                <w:sz w:val="24"/>
              </w:rPr>
              <w:t>实现</w:t>
            </w:r>
            <w:r>
              <w:rPr>
                <w:rFonts w:ascii="仿宋" w:hAnsi="仿宋" w:eastAsia="仿宋" w:cs="仿宋"/>
                <w:color w:val="000000"/>
                <w:sz w:val="24"/>
              </w:rPr>
              <w:t>新增限上商贸企业17家</w:t>
            </w:r>
            <w:r>
              <w:rPr>
                <w:rFonts w:hint="eastAsia" w:ascii="仿宋" w:hAnsi="仿宋" w:eastAsia="仿宋" w:cs="仿宋"/>
                <w:color w:val="000000"/>
                <w:sz w:val="24"/>
              </w:rPr>
              <w:t>。</w:t>
            </w:r>
            <w:r>
              <w:rPr>
                <w:rFonts w:ascii="仿宋" w:hAnsi="仿宋" w:eastAsia="仿宋" w:cs="仿宋"/>
                <w:color w:val="000000"/>
                <w:sz w:val="24"/>
              </w:rPr>
              <w:t>引导支持乡镇商贸综合体建设，有</w:t>
            </w:r>
            <w:r>
              <w:rPr>
                <w:rFonts w:hint="eastAsia" w:ascii="仿宋" w:hAnsi="仿宋" w:eastAsia="仿宋" w:cs="仿宋"/>
                <w:color w:val="000000"/>
                <w:sz w:val="24"/>
              </w:rPr>
              <w:t>效</w:t>
            </w:r>
            <w:r>
              <w:rPr>
                <w:rFonts w:ascii="仿宋" w:hAnsi="仿宋" w:eastAsia="仿宋" w:cs="仿宋"/>
                <w:color w:val="000000"/>
                <w:sz w:val="24"/>
              </w:rPr>
              <w:t>破解乡镇流通市场不繁荣困局。</w:t>
            </w:r>
            <w:r>
              <w:rPr>
                <w:rFonts w:hint="eastAsia" w:ascii="仿宋" w:hAnsi="仿宋" w:eastAsia="仿宋" w:cs="仿宋"/>
                <w:color w:val="000000"/>
                <w:sz w:val="24"/>
              </w:rPr>
              <w:t>开展“</w:t>
            </w:r>
            <w:r>
              <w:rPr>
                <w:rFonts w:ascii="仿宋" w:hAnsi="仿宋" w:eastAsia="仿宋" w:cs="仿宋"/>
                <w:color w:val="000000"/>
                <w:sz w:val="24"/>
              </w:rPr>
              <w:t>多彩四季消费</w:t>
            </w:r>
            <w:r>
              <w:rPr>
                <w:rFonts w:hint="eastAsia" w:ascii="仿宋" w:hAnsi="仿宋" w:eastAsia="仿宋" w:cs="仿宋"/>
                <w:color w:val="000000"/>
                <w:sz w:val="24"/>
              </w:rPr>
              <w:t>”</w:t>
            </w:r>
            <w:r>
              <w:rPr>
                <w:rFonts w:ascii="仿宋" w:hAnsi="仿宋" w:eastAsia="仿宋" w:cs="仿宋"/>
                <w:color w:val="000000"/>
                <w:sz w:val="24"/>
              </w:rPr>
              <w:t>主题活动，指导商贸企业</w:t>
            </w:r>
            <w:r>
              <w:rPr>
                <w:rFonts w:hint="eastAsia" w:ascii="仿宋" w:hAnsi="仿宋" w:eastAsia="仿宋" w:cs="仿宋"/>
                <w:color w:val="000000"/>
                <w:sz w:val="24"/>
              </w:rPr>
              <w:t>巧借</w:t>
            </w:r>
            <w:r>
              <w:rPr>
                <w:rFonts w:ascii="仿宋" w:hAnsi="仿宋" w:eastAsia="仿宋" w:cs="仿宋"/>
                <w:color w:val="000000"/>
                <w:sz w:val="24"/>
              </w:rPr>
              <w:t>“湘莲文化节”“一桌莲香饭”“潭商大会”等</w:t>
            </w:r>
            <w:r>
              <w:rPr>
                <w:rFonts w:hint="eastAsia" w:ascii="仿宋" w:hAnsi="仿宋" w:eastAsia="仿宋" w:cs="仿宋"/>
                <w:color w:val="000000"/>
                <w:sz w:val="24"/>
              </w:rPr>
              <w:t>促消</w:t>
            </w:r>
            <w:r>
              <w:rPr>
                <w:rFonts w:ascii="仿宋" w:hAnsi="仿宋" w:eastAsia="仿宋" w:cs="仿宋"/>
                <w:color w:val="000000"/>
                <w:sz w:val="24"/>
              </w:rPr>
              <w:t>活动契机大力开展优惠活动。以创建夜市经济特色街区和夜市经济品牌活动为抓手，引导企业开展系列夜市经济活动，不断活跃夜间消费氛围。启动网红店、网红点打造工作，加大特色美食宣传，不断挖掘餐饮文化和家乡故事。</w:t>
            </w:r>
            <w:r>
              <w:rPr>
                <w:rFonts w:hint="eastAsia" w:ascii="仿宋" w:hAnsi="仿宋" w:eastAsia="仿宋" w:cs="仿宋"/>
                <w:color w:val="000000"/>
                <w:sz w:val="24"/>
              </w:rPr>
              <w:t>组织</w:t>
            </w:r>
            <w:r>
              <w:rPr>
                <w:rFonts w:ascii="仿宋" w:hAnsi="仿宋" w:eastAsia="仿宋" w:cs="仿宋"/>
                <w:color w:val="000000"/>
                <w:sz w:val="24"/>
              </w:rPr>
              <w:t>餐饮协会精选我县获奖知名菜品积极参加2022“味道湖南”餐饮博览会系列活动，</w:t>
            </w:r>
            <w:r>
              <w:rPr>
                <w:rFonts w:hint="eastAsia" w:ascii="仿宋" w:hAnsi="仿宋" w:eastAsia="仿宋" w:cs="仿宋"/>
                <w:color w:val="000000"/>
                <w:sz w:val="24"/>
              </w:rPr>
              <w:t>大力</w:t>
            </w:r>
            <w:r>
              <w:rPr>
                <w:rFonts w:ascii="仿宋" w:hAnsi="仿宋" w:eastAsia="仿宋" w:cs="仿宋"/>
                <w:color w:val="000000"/>
                <w:sz w:val="24"/>
              </w:rPr>
              <w:t>提升知名度。</w:t>
            </w:r>
            <w:r>
              <w:rPr>
                <w:rFonts w:hint="eastAsia" w:ascii="仿宋" w:hAnsi="仿宋" w:eastAsia="仿宋" w:cs="仿宋"/>
                <w:color w:val="000000"/>
                <w:sz w:val="24"/>
              </w:rPr>
              <w:t>发挥</w:t>
            </w:r>
            <w:r>
              <w:rPr>
                <w:rFonts w:ascii="仿宋" w:hAnsi="仿宋" w:eastAsia="仿宋" w:cs="仿宋"/>
                <w:color w:val="000000"/>
                <w:sz w:val="24"/>
              </w:rPr>
              <w:t>财政资金</w:t>
            </w:r>
            <w:r>
              <w:rPr>
                <w:rFonts w:hint="eastAsia" w:ascii="仿宋" w:hAnsi="仿宋" w:eastAsia="仿宋" w:cs="仿宋"/>
                <w:color w:val="000000"/>
                <w:sz w:val="24"/>
              </w:rPr>
              <w:t>的</w:t>
            </w:r>
            <w:r>
              <w:rPr>
                <w:rFonts w:ascii="仿宋" w:hAnsi="仿宋" w:eastAsia="仿宋" w:cs="仿宋"/>
                <w:color w:val="000000"/>
                <w:sz w:val="24"/>
              </w:rPr>
              <w:t>拉动作用，广泛发动餐饮、零售、住宿、成品油、房产、汽车等领域的110余家商家参与</w:t>
            </w:r>
            <w:r>
              <w:rPr>
                <w:rFonts w:hint="eastAsia" w:ascii="仿宋" w:hAnsi="仿宋" w:eastAsia="仿宋" w:cs="仿宋"/>
                <w:color w:val="000000"/>
                <w:sz w:val="24"/>
              </w:rPr>
              <w:t>，持续扩大</w:t>
            </w:r>
            <w:r>
              <w:rPr>
                <w:rFonts w:ascii="仿宋" w:hAnsi="仿宋" w:eastAsia="仿宋" w:cs="仿宋"/>
                <w:color w:val="000000"/>
                <w:sz w:val="24"/>
              </w:rPr>
              <w:t>消费券影响力。</w:t>
            </w:r>
          </w:p>
          <w:p>
            <w:pPr>
              <w:spacing w:line="560" w:lineRule="exact"/>
              <w:outlineLvl w:val="1"/>
              <w:rPr>
                <w:rFonts w:ascii="仿宋" w:hAnsi="仿宋" w:eastAsia="仿宋" w:cs="仿宋"/>
                <w:color w:val="000000" w:themeColor="text1"/>
                <w:sz w:val="24"/>
              </w:rPr>
            </w:pPr>
            <w:r>
              <w:rPr>
                <w:rFonts w:hint="eastAsia" w:ascii="仿宋" w:hAnsi="仿宋" w:eastAsia="仿宋" w:cs="仿宋"/>
                <w:color w:val="000000" w:themeColor="text1"/>
                <w:sz w:val="24"/>
              </w:rPr>
              <w:t>（四）电子商务方面</w:t>
            </w:r>
          </w:p>
          <w:p>
            <w:pPr>
              <w:spacing w:line="560" w:lineRule="exact"/>
              <w:ind w:firstLine="480" w:firstLineChars="200"/>
              <w:rPr>
                <w:rFonts w:ascii="仿宋" w:hAnsi="仿宋" w:eastAsia="仿宋" w:cs="仿宋"/>
                <w:color w:val="000000"/>
                <w:sz w:val="24"/>
              </w:rPr>
            </w:pPr>
            <w:r>
              <w:rPr>
                <w:rFonts w:hint="eastAsia" w:ascii="仿宋" w:hAnsi="仿宋" w:eastAsia="仿宋" w:cs="仿宋"/>
                <w:color w:val="000000"/>
                <w:sz w:val="24"/>
              </w:rPr>
              <w:t>重点着力，</w:t>
            </w:r>
            <w:r>
              <w:rPr>
                <w:rFonts w:ascii="仿宋" w:hAnsi="仿宋" w:eastAsia="仿宋" w:cs="仿宋"/>
                <w:color w:val="000000"/>
                <w:sz w:val="24"/>
              </w:rPr>
              <w:t>电子商务</w:t>
            </w:r>
            <w:r>
              <w:rPr>
                <w:rFonts w:hint="eastAsia" w:ascii="仿宋" w:hAnsi="仿宋" w:eastAsia="仿宋" w:cs="仿宋"/>
                <w:color w:val="000000"/>
                <w:sz w:val="24"/>
              </w:rPr>
              <w:t>不断壮大</w:t>
            </w:r>
            <w:r>
              <w:rPr>
                <w:rFonts w:ascii="仿宋" w:hAnsi="仿宋" w:eastAsia="仿宋" w:cs="仿宋"/>
                <w:color w:val="000000"/>
                <w:sz w:val="24"/>
              </w:rPr>
              <w:t>。紧跟电商发展趋势，积极培育“直播经济”，先后举办了莲乡土货帮帮团专场活动</w:t>
            </w:r>
            <w:r>
              <w:rPr>
                <w:rFonts w:hint="eastAsia" w:ascii="仿宋" w:hAnsi="仿宋" w:eastAsia="仿宋" w:cs="仿宋"/>
                <w:color w:val="000000"/>
                <w:sz w:val="24"/>
              </w:rPr>
              <w:t>3</w:t>
            </w:r>
            <w:r>
              <w:rPr>
                <w:rFonts w:ascii="仿宋" w:hAnsi="仿宋" w:eastAsia="仿宋" w:cs="仿宋"/>
                <w:color w:val="000000"/>
                <w:sz w:val="24"/>
              </w:rPr>
              <w:t>场，“云赏鸢尾、醉美排头”排头线上鸢尾花节，湘潭第八届湘莲文化节暨首届旅发大会乡村特色农产品博览会，“繁荣夜经济 嗨购莲乡城”直播带货活动，大力宣传推介湘潭县特色农产品，</w:t>
            </w:r>
            <w:r>
              <w:rPr>
                <w:rFonts w:hint="eastAsia" w:ascii="仿宋" w:hAnsi="仿宋" w:eastAsia="仿宋" w:cs="仿宋"/>
                <w:color w:val="000000"/>
                <w:sz w:val="24"/>
              </w:rPr>
              <w:t>拓宽</w:t>
            </w:r>
            <w:r>
              <w:rPr>
                <w:rFonts w:ascii="仿宋" w:hAnsi="仿宋" w:eastAsia="仿宋" w:cs="仿宋"/>
                <w:color w:val="000000"/>
                <w:sz w:val="24"/>
              </w:rPr>
              <w:t>农产品上行渠道，助推农村电商提质增效，全年助力农产品零销售额</w:t>
            </w:r>
            <w:r>
              <w:rPr>
                <w:rFonts w:hint="eastAsia" w:ascii="仿宋" w:hAnsi="仿宋" w:eastAsia="仿宋" w:cs="仿宋"/>
                <w:color w:val="000000"/>
                <w:sz w:val="24"/>
              </w:rPr>
              <w:t>4.9</w:t>
            </w:r>
            <w:r>
              <w:rPr>
                <w:rFonts w:ascii="仿宋" w:hAnsi="仿宋" w:eastAsia="仿宋" w:cs="仿宋"/>
                <w:color w:val="000000"/>
                <w:sz w:val="24"/>
              </w:rPr>
              <w:t>亿元。依托湘潭县商务局办公大楼二楼场地，改造约500平方米的电子商务公共服务中心，建成“一馆二区三中心”。</w:t>
            </w:r>
            <w:r>
              <w:rPr>
                <w:rFonts w:hint="eastAsia" w:ascii="仿宋" w:hAnsi="仿宋" w:eastAsia="仿宋" w:cs="仿宋"/>
                <w:color w:val="000000"/>
                <w:sz w:val="24"/>
              </w:rPr>
              <w:t>持续</w:t>
            </w:r>
            <w:r>
              <w:rPr>
                <w:rFonts w:ascii="仿宋" w:hAnsi="仿宋" w:eastAsia="仿宋" w:cs="仿宋"/>
                <w:color w:val="000000"/>
                <w:sz w:val="24"/>
              </w:rPr>
              <w:t>推进村级服务站点升级改造工作</w:t>
            </w:r>
            <w:r>
              <w:rPr>
                <w:rFonts w:hint="eastAsia" w:ascii="仿宋" w:hAnsi="仿宋" w:eastAsia="仿宋" w:cs="仿宋"/>
                <w:color w:val="000000"/>
                <w:sz w:val="24"/>
              </w:rPr>
              <w:t>，全年完成</w:t>
            </w:r>
            <w:r>
              <w:rPr>
                <w:rFonts w:ascii="仿宋" w:hAnsi="仿宋" w:eastAsia="仿宋" w:cs="仿宋"/>
                <w:color w:val="000000"/>
                <w:sz w:val="24"/>
              </w:rPr>
              <w:t>50个站点</w:t>
            </w:r>
            <w:r>
              <w:rPr>
                <w:rFonts w:hint="eastAsia" w:ascii="仿宋" w:hAnsi="仿宋" w:eastAsia="仿宋" w:cs="仿宋"/>
                <w:color w:val="000000"/>
                <w:sz w:val="24"/>
              </w:rPr>
              <w:t>提</w:t>
            </w:r>
            <w:r>
              <w:rPr>
                <w:rFonts w:ascii="仿宋" w:hAnsi="仿宋" w:eastAsia="仿宋" w:cs="仿宋"/>
                <w:color w:val="000000"/>
                <w:sz w:val="24"/>
              </w:rPr>
              <w:t>质改造。注重龙头示范，培育电商农业龙头企业。</w:t>
            </w:r>
            <w:r>
              <w:rPr>
                <w:rFonts w:hint="eastAsia" w:ascii="仿宋" w:hAnsi="仿宋" w:eastAsia="仿宋" w:cs="仿宋"/>
                <w:color w:val="000000"/>
                <w:sz w:val="24"/>
              </w:rPr>
              <w:t>积极</w:t>
            </w:r>
            <w:r>
              <w:rPr>
                <w:rFonts w:ascii="仿宋" w:hAnsi="仿宋" w:eastAsia="仿宋" w:cs="仿宋"/>
                <w:color w:val="000000"/>
                <w:sz w:val="24"/>
              </w:rPr>
              <w:t>构建“一园三镇多点”全域电子商务集聚布局，我县老农派湘莲食品有限公司通过网络销售迅速壮大</w:t>
            </w:r>
            <w:r>
              <w:rPr>
                <w:rFonts w:hint="eastAsia" w:ascii="仿宋" w:hAnsi="仿宋" w:eastAsia="仿宋" w:cs="仿宋"/>
                <w:color w:val="000000"/>
                <w:sz w:val="24"/>
              </w:rPr>
              <w:t>的实践被</w:t>
            </w:r>
            <w:r>
              <w:rPr>
                <w:rFonts w:ascii="仿宋" w:hAnsi="仿宋" w:eastAsia="仿宋" w:cs="仿宋"/>
                <w:color w:val="000000"/>
                <w:sz w:val="24"/>
              </w:rPr>
              <w:t>《人民日报》9月30日</w:t>
            </w:r>
            <w:r>
              <w:rPr>
                <w:rFonts w:hint="eastAsia" w:ascii="仿宋" w:hAnsi="仿宋" w:eastAsia="仿宋" w:cs="仿宋"/>
                <w:color w:val="000000"/>
                <w:sz w:val="24"/>
              </w:rPr>
              <w:t>以</w:t>
            </w:r>
            <w:r>
              <w:rPr>
                <w:rFonts w:ascii="仿宋" w:hAnsi="仿宋" w:eastAsia="仿宋" w:cs="仿宋"/>
                <w:color w:val="000000"/>
                <w:sz w:val="24"/>
              </w:rPr>
              <w:t>《乡村产业搭上“电商”快车》</w:t>
            </w:r>
            <w:r>
              <w:rPr>
                <w:rFonts w:hint="eastAsia" w:ascii="仿宋" w:hAnsi="仿宋" w:eastAsia="仿宋" w:cs="仿宋"/>
                <w:color w:val="000000"/>
                <w:sz w:val="24"/>
              </w:rPr>
              <w:t>为题</w:t>
            </w:r>
            <w:r>
              <w:rPr>
                <w:rFonts w:ascii="仿宋" w:hAnsi="仿宋" w:eastAsia="仿宋" w:cs="仿宋"/>
                <w:color w:val="000000"/>
                <w:sz w:val="24"/>
              </w:rPr>
              <w:t>报道。</w:t>
            </w:r>
          </w:p>
          <w:p>
            <w:pPr>
              <w:spacing w:line="560" w:lineRule="exact"/>
              <w:rPr>
                <w:rFonts w:ascii="仿宋" w:hAnsi="仿宋" w:eastAsia="仿宋" w:cs="仿宋"/>
                <w:color w:val="000000" w:themeColor="text1"/>
                <w:sz w:val="24"/>
              </w:rPr>
            </w:pPr>
            <w:r>
              <w:rPr>
                <w:rFonts w:hint="eastAsia" w:ascii="仿宋" w:hAnsi="仿宋" w:eastAsia="仿宋" w:cs="仿宋"/>
                <w:color w:val="000000" w:themeColor="text1"/>
                <w:sz w:val="24"/>
              </w:rPr>
              <w:t xml:space="preserve"> (五)疫情防控方面</w:t>
            </w:r>
          </w:p>
          <w:p>
            <w:pPr>
              <w:spacing w:line="560" w:lineRule="exact"/>
              <w:ind w:firstLine="480" w:firstLineChars="200"/>
              <w:rPr>
                <w:rFonts w:ascii="仿宋" w:hAnsi="仿宋" w:eastAsia="仿宋" w:cs="仿宋"/>
                <w:color w:val="000000"/>
                <w:sz w:val="24"/>
              </w:rPr>
            </w:pPr>
            <w:r>
              <w:rPr>
                <w:rFonts w:ascii="仿宋" w:hAnsi="仿宋" w:eastAsia="仿宋" w:cs="仿宋"/>
                <w:color w:val="000000"/>
                <w:sz w:val="24"/>
              </w:rPr>
              <w:t>督促商超等单位搞好常态化疫情防控工作，推进场所码的设置和应用，协助企业落实各项防疫措施及二十条措施，及时解决企业在防疫过程遇到的困难和问题。推进商贸领域风险职业人员和重点场所人员核酸检测工作</w:t>
            </w:r>
            <w:r>
              <w:rPr>
                <w:rFonts w:hint="eastAsia" w:ascii="仿宋" w:hAnsi="仿宋" w:eastAsia="仿宋" w:cs="仿宋"/>
                <w:color w:val="000000"/>
                <w:sz w:val="24"/>
              </w:rPr>
              <w:t>，</w:t>
            </w:r>
            <w:r>
              <w:rPr>
                <w:rFonts w:ascii="仿宋" w:hAnsi="仿宋" w:eastAsia="仿宋" w:cs="仿宋"/>
                <w:color w:val="000000"/>
                <w:sz w:val="24"/>
              </w:rPr>
              <w:t>形成一周一检制度和特护期的两天一检制度</w:t>
            </w:r>
            <w:r>
              <w:rPr>
                <w:rFonts w:hint="eastAsia" w:ascii="仿宋" w:hAnsi="仿宋" w:eastAsia="仿宋" w:cs="仿宋"/>
                <w:color w:val="000000"/>
                <w:sz w:val="24"/>
              </w:rPr>
              <w:t>；</w:t>
            </w:r>
            <w:r>
              <w:rPr>
                <w:rFonts w:ascii="仿宋" w:hAnsi="仿宋" w:eastAsia="仿宋" w:cs="仿宋"/>
                <w:color w:val="000000"/>
                <w:sz w:val="24"/>
              </w:rPr>
              <w:t>督促乡镇抓好乡镇集贸市场有关工作人员常态化核酸检测工作，及时更新湖南省新型冠状病毒的肺炎防控信息系统。做好集中隔离医学场所规范设置工作，</w:t>
            </w:r>
            <w:r>
              <w:rPr>
                <w:rFonts w:hint="eastAsia" w:ascii="仿宋" w:hAnsi="仿宋" w:eastAsia="仿宋" w:cs="仿宋"/>
                <w:color w:val="000000"/>
                <w:sz w:val="24"/>
              </w:rPr>
              <w:t>完成</w:t>
            </w:r>
            <w:r>
              <w:rPr>
                <w:rFonts w:ascii="仿宋" w:hAnsi="仿宋" w:eastAsia="仿宋" w:cs="仿宋"/>
                <w:color w:val="000000"/>
                <w:sz w:val="24"/>
              </w:rPr>
              <w:t>我县隔离医学观察场所储备工作</w:t>
            </w:r>
            <w:r>
              <w:rPr>
                <w:rFonts w:hint="eastAsia" w:ascii="仿宋" w:hAnsi="仿宋" w:eastAsia="仿宋" w:cs="仿宋"/>
                <w:color w:val="000000"/>
                <w:sz w:val="24"/>
              </w:rPr>
              <w:t>，</w:t>
            </w:r>
            <w:r>
              <w:rPr>
                <w:rFonts w:ascii="仿宋" w:hAnsi="仿宋" w:eastAsia="仿宋" w:cs="仿宋"/>
                <w:color w:val="000000"/>
                <w:sz w:val="24"/>
              </w:rPr>
              <w:t>逐步完善各储备隔离点的“三案一议”</w:t>
            </w:r>
            <w:r>
              <w:rPr>
                <w:rFonts w:hint="eastAsia" w:ascii="仿宋" w:hAnsi="仿宋" w:eastAsia="仿宋" w:cs="仿宋"/>
                <w:color w:val="000000"/>
                <w:sz w:val="24"/>
              </w:rPr>
              <w:t>，全县</w:t>
            </w:r>
            <w:r>
              <w:rPr>
                <w:rFonts w:ascii="仿宋" w:hAnsi="仿宋" w:eastAsia="仿宋" w:cs="仿宋"/>
                <w:color w:val="000000"/>
                <w:sz w:val="24"/>
              </w:rPr>
              <w:t>隔离储备场所达到34个4806间；多次在短时间内完成鑫田</w:t>
            </w:r>
            <w:r>
              <w:rPr>
                <w:rFonts w:hint="eastAsia" w:ascii="仿宋" w:hAnsi="仿宋" w:eastAsia="仿宋" w:cs="仿宋"/>
                <w:color w:val="000000"/>
                <w:sz w:val="24"/>
              </w:rPr>
              <w:t>、</w:t>
            </w:r>
            <w:r>
              <w:rPr>
                <w:rFonts w:ascii="仿宋" w:hAnsi="仿宋" w:eastAsia="仿宋" w:cs="仿宋"/>
                <w:color w:val="000000"/>
                <w:sz w:val="24"/>
              </w:rPr>
              <w:t>润玉、县委党校</w:t>
            </w:r>
            <w:r>
              <w:rPr>
                <w:rFonts w:hint="eastAsia" w:ascii="仿宋" w:hAnsi="仿宋" w:eastAsia="仿宋" w:cs="仿宋"/>
                <w:color w:val="000000"/>
                <w:sz w:val="24"/>
              </w:rPr>
              <w:t>隔离场所的</w:t>
            </w:r>
            <w:r>
              <w:rPr>
                <w:rFonts w:ascii="仿宋" w:hAnsi="仿宋" w:eastAsia="仿宋" w:cs="仿宋"/>
                <w:color w:val="000000"/>
                <w:sz w:val="24"/>
              </w:rPr>
              <w:t>改造和设置工作，有</w:t>
            </w:r>
            <w:r>
              <w:rPr>
                <w:rFonts w:hint="eastAsia" w:ascii="仿宋" w:hAnsi="仿宋" w:eastAsia="仿宋" w:cs="仿宋"/>
                <w:color w:val="000000"/>
                <w:sz w:val="24"/>
              </w:rPr>
              <w:t>力</w:t>
            </w:r>
            <w:r>
              <w:rPr>
                <w:rFonts w:ascii="仿宋" w:hAnsi="仿宋" w:eastAsia="仿宋" w:cs="仿宋"/>
                <w:color w:val="000000"/>
                <w:sz w:val="24"/>
              </w:rPr>
              <w:t>保障了我县疫情防控的</w:t>
            </w:r>
            <w:r>
              <w:rPr>
                <w:rFonts w:hint="eastAsia" w:ascii="仿宋" w:hAnsi="仿宋" w:eastAsia="仿宋" w:cs="仿宋"/>
                <w:color w:val="000000"/>
                <w:sz w:val="24"/>
              </w:rPr>
              <w:t>隔离场所需求</w:t>
            </w:r>
            <w:r>
              <w:rPr>
                <w:rFonts w:ascii="仿宋" w:hAnsi="仿宋" w:eastAsia="仿宋" w:cs="仿宋"/>
                <w:color w:val="000000"/>
                <w:sz w:val="24"/>
              </w:rPr>
              <w:t>。</w:t>
            </w:r>
          </w:p>
          <w:p>
            <w:pPr>
              <w:spacing w:line="576" w:lineRule="exact"/>
              <w:ind w:right="879" w:rightChars="419"/>
              <w:rPr>
                <w:rFonts w:ascii="仿宋" w:hAnsi="仿宋" w:eastAsia="仿宋" w:cs="方正小标宋简体"/>
                <w:sz w:val="24"/>
              </w:rPr>
            </w:pPr>
            <w:r>
              <w:rPr>
                <w:rFonts w:hint="eastAsia" w:ascii="仿宋" w:hAnsi="仿宋" w:eastAsia="仿宋" w:cs="方正小标宋简体"/>
                <w:sz w:val="24"/>
              </w:rPr>
              <w:t>二、部门效益情况分析</w:t>
            </w:r>
          </w:p>
          <w:p>
            <w:pPr>
              <w:spacing w:line="576" w:lineRule="exact"/>
              <w:ind w:right="879" w:rightChars="419"/>
              <w:rPr>
                <w:rFonts w:ascii="仿宋" w:hAnsi="仿宋" w:eastAsia="仿宋" w:cs="方正小标宋简体"/>
                <w:sz w:val="24"/>
              </w:rPr>
            </w:pPr>
            <w:r>
              <w:rPr>
                <w:rFonts w:hint="eastAsia" w:ascii="仿宋" w:hAnsi="仿宋" w:eastAsia="仿宋" w:cs="方正小标宋简体"/>
                <w:sz w:val="24"/>
              </w:rPr>
              <w:t>（一）经济性分析</w:t>
            </w:r>
          </w:p>
          <w:p>
            <w:pPr>
              <w:pStyle w:val="15"/>
              <w:spacing w:line="560" w:lineRule="exact"/>
              <w:ind w:firstLine="480" w:firstLineChars="200"/>
              <w:rPr>
                <w:rFonts w:ascii="仿宋" w:hAnsi="仿宋" w:eastAsia="仿宋" w:cs="仿宋"/>
                <w:color w:val="000000" w:themeColor="text1"/>
                <w:kern w:val="2"/>
                <w:sz w:val="24"/>
                <w:szCs w:val="24"/>
              </w:rPr>
            </w:pPr>
            <w:r>
              <w:rPr>
                <w:rFonts w:hint="eastAsia" w:ascii="仿宋" w:hAnsi="仿宋" w:eastAsia="仿宋" w:cs="仿宋"/>
                <w:color w:val="000000" w:themeColor="text1"/>
                <w:kern w:val="2"/>
                <w:sz w:val="24"/>
                <w:szCs w:val="24"/>
              </w:rPr>
              <w:t>我局始终认真贯彻执行《会计法》、《预算法》、《行政单位会计制度》等法律法规，各项经费支出严格按照政府采购、国库集中支付及预算管理等有关规定执行。同时我局先后制订了《湘潭商务局财务管理办法》、《湘潭县专项资金管理办法》、《湘潭县商务局差旅费管理办法》等相关制度，明确了经费审批权限及程序，经费预算、核算管理、资产购置与处置、财务监督等。特别是在“三公”经费管理方面，规范了公务接待和公务用车的审批管理，较好地控制了行政运行成本。</w:t>
            </w:r>
          </w:p>
          <w:p>
            <w:pPr>
              <w:spacing w:line="576" w:lineRule="exact"/>
              <w:ind w:right="879" w:rightChars="419"/>
              <w:rPr>
                <w:rFonts w:ascii="仿宋" w:hAnsi="仿宋" w:eastAsia="仿宋" w:cs="方正小标宋简体"/>
                <w:sz w:val="24"/>
              </w:rPr>
            </w:pPr>
            <w:r>
              <w:rPr>
                <w:rFonts w:hint="eastAsia" w:ascii="仿宋" w:hAnsi="仿宋" w:eastAsia="仿宋" w:cs="方正小标宋简体"/>
                <w:sz w:val="24"/>
              </w:rPr>
              <w:t>（二）效率性分析</w:t>
            </w:r>
          </w:p>
          <w:p>
            <w:pPr>
              <w:pStyle w:val="15"/>
              <w:spacing w:line="560" w:lineRule="exact"/>
              <w:ind w:firstLine="480" w:firstLineChars="200"/>
              <w:rPr>
                <w:rFonts w:ascii="仿宋" w:hAnsi="仿宋" w:eastAsia="仿宋" w:cs="仿宋"/>
                <w:color w:val="000000" w:themeColor="text1"/>
                <w:kern w:val="2"/>
                <w:sz w:val="24"/>
                <w:szCs w:val="24"/>
              </w:rPr>
            </w:pPr>
            <w:r>
              <w:rPr>
                <w:rFonts w:hint="eastAsia" w:ascii="仿宋" w:hAnsi="仿宋" w:eastAsia="仿宋" w:cs="仿宋"/>
                <w:color w:val="000000" w:themeColor="text1"/>
                <w:kern w:val="2"/>
                <w:sz w:val="24"/>
                <w:szCs w:val="24"/>
              </w:rPr>
              <w:t>根据实际需求，按时支付各项支出。保证了局机关各项工作的正常运转和相关人员的福利待遇，完成质量基本达到绩效目标。</w:t>
            </w:r>
          </w:p>
          <w:p>
            <w:pPr>
              <w:spacing w:line="576" w:lineRule="exact"/>
              <w:ind w:right="879" w:rightChars="419"/>
              <w:rPr>
                <w:rFonts w:ascii="仿宋" w:hAnsi="仿宋" w:eastAsia="仿宋" w:cs="方正小标宋简体"/>
                <w:sz w:val="24"/>
              </w:rPr>
            </w:pPr>
            <w:r>
              <w:rPr>
                <w:rFonts w:hint="eastAsia" w:ascii="仿宋" w:hAnsi="仿宋" w:eastAsia="仿宋" w:cs="方正小标宋简体"/>
                <w:sz w:val="24"/>
              </w:rPr>
              <w:t>（三）可持续性分析</w:t>
            </w:r>
          </w:p>
          <w:p>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 xml:space="preserve">    2022年度我单位圆满完成预期目标，取得了较好的经济和社会评价，企业和群众满意度高。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pPr>
              <w:spacing w:line="576" w:lineRule="exact"/>
              <w:ind w:right="879" w:rightChars="419"/>
              <w:jc w:val="center"/>
              <w:rPr>
                <w:rFonts w:ascii="仿宋" w:hAnsi="仿宋" w:eastAsia="仿宋" w:cs="方正小标宋简体"/>
                <w:sz w:val="24"/>
              </w:rPr>
            </w:pPr>
            <w:r>
              <w:rPr>
                <w:rFonts w:hint="eastAsia" w:ascii="仿宋" w:hAnsi="仿宋" w:eastAsia="仿宋" w:cs="方正小标宋简体"/>
                <w:sz w:val="24"/>
              </w:rPr>
              <w:t>存在的问题分析及改进措施</w:t>
            </w:r>
          </w:p>
        </w:tc>
        <w:tc>
          <w:tcPr>
            <w:tcW w:w="1985" w:type="dxa"/>
            <w:vAlign w:val="center"/>
          </w:tcPr>
          <w:p>
            <w:pPr>
              <w:spacing w:line="576" w:lineRule="exact"/>
              <w:ind w:right="879" w:rightChars="419"/>
              <w:jc w:val="center"/>
              <w:rPr>
                <w:rFonts w:ascii="仿宋" w:hAnsi="仿宋" w:eastAsia="仿宋" w:cs="方正小标宋简体"/>
                <w:sz w:val="24"/>
              </w:rPr>
            </w:pPr>
            <w:r>
              <w:rPr>
                <w:rFonts w:hint="eastAsia" w:ascii="仿宋" w:hAnsi="仿宋" w:eastAsia="仿宋" w:cs="方正小标宋简体"/>
                <w:sz w:val="24"/>
              </w:rPr>
              <w:t>存在的问题</w:t>
            </w:r>
          </w:p>
        </w:tc>
        <w:tc>
          <w:tcPr>
            <w:tcW w:w="5670" w:type="dxa"/>
            <w:vAlign w:val="center"/>
          </w:tcPr>
          <w:p>
            <w:pPr>
              <w:pStyle w:val="14"/>
              <w:spacing w:line="560" w:lineRule="exact"/>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（一）预算执行存在偏差。年度中心工作存在不确定性，专项资金难以预计，导致预算编制与实际执行有差异。公用经费的控制和核算还有待进一步加强，预算资金安排中，行政经费安排不足。</w:t>
            </w:r>
          </w:p>
          <w:p>
            <w:pPr>
              <w:spacing w:line="560" w:lineRule="exact"/>
              <w:rPr>
                <w:rFonts w:ascii="仿宋" w:hAnsi="仿宋" w:eastAsia="仿宋" w:cs="仿宋"/>
                <w:color w:val="000000" w:themeColor="text1"/>
                <w:sz w:val="24"/>
              </w:rPr>
            </w:pPr>
            <w:r>
              <w:rPr>
                <w:rFonts w:hint="eastAsia" w:ascii="仿宋" w:hAnsi="仿宋" w:eastAsia="仿宋" w:cs="仿宋"/>
                <w:color w:val="000000" w:themeColor="text1"/>
                <w:sz w:val="24"/>
              </w:rPr>
              <w:t>（二）财务</w:t>
            </w:r>
            <w:r>
              <w:rPr>
                <w:rFonts w:ascii="仿宋" w:hAnsi="仿宋" w:eastAsia="仿宋" w:cs="仿宋"/>
                <w:color w:val="000000" w:themeColor="text1"/>
                <w:sz w:val="24"/>
              </w:rPr>
              <w:t>政策学习</w:t>
            </w:r>
            <w:r>
              <w:rPr>
                <w:rFonts w:hint="eastAsia" w:ascii="仿宋" w:hAnsi="仿宋" w:eastAsia="仿宋" w:cs="仿宋"/>
                <w:color w:val="000000" w:themeColor="text1"/>
                <w:sz w:val="24"/>
              </w:rPr>
              <w:t>及培训力度不够。</w:t>
            </w:r>
            <w:r>
              <w:rPr>
                <w:rFonts w:ascii="仿宋" w:hAnsi="仿宋" w:eastAsia="仿宋" w:cs="仿宋"/>
                <w:color w:val="000000" w:themeColor="text1"/>
                <w:sz w:val="24"/>
              </w:rPr>
              <w:t>财务人员素质</w:t>
            </w:r>
            <w:r>
              <w:rPr>
                <w:rFonts w:hint="eastAsia" w:ascii="仿宋" w:hAnsi="仿宋" w:eastAsia="仿宋" w:cs="仿宋"/>
                <w:color w:val="000000" w:themeColor="text1"/>
                <w:sz w:val="24"/>
              </w:rPr>
              <w:t>以及</w:t>
            </w:r>
            <w:r>
              <w:rPr>
                <w:rFonts w:ascii="仿宋" w:hAnsi="仿宋" w:eastAsia="仿宋" w:cs="仿宋"/>
                <w:color w:val="000000" w:themeColor="text1"/>
                <w:sz w:val="24"/>
              </w:rPr>
              <w:t>财务核算</w:t>
            </w:r>
            <w:r>
              <w:rPr>
                <w:rFonts w:hint="eastAsia" w:ascii="仿宋" w:hAnsi="仿宋" w:eastAsia="仿宋" w:cs="仿宋"/>
                <w:color w:val="000000" w:themeColor="text1"/>
                <w:sz w:val="24"/>
              </w:rPr>
              <w:t>能力仍需提高</w:t>
            </w:r>
            <w:r>
              <w:rPr>
                <w:rFonts w:ascii="仿宋" w:hAnsi="仿宋" w:eastAsia="仿宋" w:cs="仿宋"/>
                <w:color w:val="000000" w:themeColor="text1"/>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pPr>
              <w:spacing w:line="576" w:lineRule="exact"/>
              <w:ind w:right="879" w:rightChars="419"/>
              <w:jc w:val="center"/>
              <w:rPr>
                <w:rFonts w:ascii="仿宋" w:hAnsi="仿宋" w:eastAsia="仿宋" w:cs="方正小标宋简体"/>
                <w:sz w:val="24"/>
              </w:rPr>
            </w:pPr>
          </w:p>
        </w:tc>
        <w:tc>
          <w:tcPr>
            <w:tcW w:w="1985" w:type="dxa"/>
            <w:vAlign w:val="center"/>
          </w:tcPr>
          <w:p>
            <w:pPr>
              <w:spacing w:line="576" w:lineRule="exact"/>
              <w:ind w:right="879" w:rightChars="419"/>
              <w:jc w:val="center"/>
              <w:rPr>
                <w:rFonts w:ascii="仿宋" w:hAnsi="仿宋" w:eastAsia="仿宋" w:cs="方正小标宋简体"/>
                <w:sz w:val="24"/>
              </w:rPr>
            </w:pPr>
            <w:r>
              <w:rPr>
                <w:rFonts w:hint="eastAsia" w:ascii="仿宋" w:hAnsi="仿宋" w:eastAsia="仿宋" w:cs="方正小标宋简体"/>
                <w:sz w:val="24"/>
              </w:rPr>
              <w:t>改进措施</w:t>
            </w:r>
          </w:p>
        </w:tc>
        <w:tc>
          <w:tcPr>
            <w:tcW w:w="5670" w:type="dxa"/>
            <w:vAlign w:val="center"/>
          </w:tcPr>
          <w:p>
            <w:pPr>
              <w:pStyle w:val="14"/>
              <w:spacing w:line="560" w:lineRule="exact"/>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一）规范账务处理，提高财务信息质量。严格按照《会计法》、《行政单位会计制度》、《行政单位财务规则》等规定执行财务核算，并结合实际情况，完整、准确地披露相关信息，尽可能地做到决算与预算相衔接。</w:t>
            </w:r>
          </w:p>
          <w:p>
            <w:pPr>
              <w:spacing w:line="560" w:lineRule="exact"/>
              <w:rPr>
                <w:rFonts w:ascii="仿宋" w:hAnsi="仿宋" w:eastAsia="仿宋" w:cs="仿宋"/>
                <w:color w:val="000000" w:themeColor="text1"/>
                <w:sz w:val="24"/>
              </w:rPr>
            </w:pPr>
            <w:r>
              <w:rPr>
                <w:rFonts w:hint="eastAsia" w:ascii="仿宋" w:hAnsi="仿宋" w:eastAsia="仿宋" w:cs="仿宋"/>
                <w:color w:val="000000" w:themeColor="text1"/>
                <w:sz w:val="24"/>
              </w:rPr>
              <w:t>（二）进一步贯彻落实中央八项规定和省委九条规定。建立本部门“三公经费”等公务支出管理制度及厉行节约制度，加强经费审批和控制，规范支出标准与范围，并严格执行。</w:t>
            </w:r>
          </w:p>
          <w:p>
            <w:pPr>
              <w:pStyle w:val="14"/>
              <w:spacing w:line="560" w:lineRule="exact"/>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 xml:space="preserve">（三）加强岗位实务学习与培训工作。加强新政策新规定等业务学习培训，让财务人员通过学习能够准确地根据年度内单位可预见的工作任务细化预算目标，科学合理地编制部门预算。规范部门预算收支核算，及时了解预算执行差异，合理调整、纠正预算执行偏差，财务人员应根据实际情况，定期做好预算执行分析，掌握预算执行进度，及时找出预算实际执行情况与预算目标之间存在的差距，切实提高部门预算收支管理水平。  </w:t>
            </w:r>
          </w:p>
          <w:p>
            <w:pPr>
              <w:spacing w:line="576" w:lineRule="exact"/>
              <w:ind w:right="879" w:rightChars="419"/>
              <w:jc w:val="center"/>
              <w:rPr>
                <w:rFonts w:ascii="仿宋" w:hAnsi="仿宋" w:eastAsia="仿宋" w:cs="方正小标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pPr>
              <w:spacing w:line="576" w:lineRule="exact"/>
              <w:ind w:right="879" w:rightChars="419"/>
              <w:jc w:val="center"/>
              <w:rPr>
                <w:rFonts w:ascii="仿宋" w:hAnsi="仿宋" w:eastAsia="仿宋" w:cs="方正小标宋简体"/>
                <w:sz w:val="24"/>
              </w:rPr>
            </w:pPr>
          </w:p>
        </w:tc>
        <w:tc>
          <w:tcPr>
            <w:tcW w:w="1985" w:type="dxa"/>
            <w:vAlign w:val="center"/>
          </w:tcPr>
          <w:p>
            <w:pPr>
              <w:spacing w:line="576" w:lineRule="exact"/>
              <w:ind w:right="879" w:rightChars="419"/>
              <w:jc w:val="center"/>
              <w:rPr>
                <w:rFonts w:ascii="仿宋" w:hAnsi="仿宋" w:eastAsia="仿宋" w:cs="方正小标宋简体"/>
                <w:sz w:val="24"/>
              </w:rPr>
            </w:pPr>
            <w:r>
              <w:rPr>
                <w:rFonts w:hint="eastAsia" w:ascii="仿宋" w:hAnsi="仿宋" w:eastAsia="仿宋" w:cs="方正小标宋简体"/>
                <w:sz w:val="24"/>
              </w:rPr>
              <w:t>其他需要说明问题</w:t>
            </w:r>
          </w:p>
        </w:tc>
        <w:tc>
          <w:tcPr>
            <w:tcW w:w="5670" w:type="dxa"/>
            <w:vAlign w:val="center"/>
          </w:tcPr>
          <w:p>
            <w:pPr>
              <w:spacing w:line="576" w:lineRule="exact"/>
              <w:ind w:right="879" w:rightChars="419"/>
              <w:jc w:val="center"/>
              <w:rPr>
                <w:rFonts w:ascii="仿宋" w:hAnsi="仿宋" w:eastAsia="仿宋" w:cs="方正小标宋简体"/>
                <w:sz w:val="24"/>
              </w:rPr>
            </w:pPr>
            <w:r>
              <w:rPr>
                <w:rFonts w:hint="eastAsia" w:ascii="仿宋" w:hAnsi="仿宋" w:eastAsia="仿宋" w:cs="方正小标宋简体"/>
                <w:sz w:val="24"/>
              </w:rPr>
              <w:t>无</w:t>
            </w:r>
          </w:p>
        </w:tc>
      </w:tr>
    </w:tbl>
    <w:p>
      <w:pPr>
        <w:ind w:firstLine="640" w:firstLineChars="200"/>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2000000000000000000"/>
    <w:charset w:val="86"/>
    <w:family w:val="script"/>
    <w:pitch w:val="default"/>
    <w:sig w:usb0="00000000" w:usb1="00000000" w:usb2="00082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NotTrackMoves/>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DQ1YTAxOTU2NmJkMzUzYTlkNjJhODNhOWVhNDg3NjMifQ=="/>
  </w:docVars>
  <w:rsids>
    <w:rsidRoot w:val="004506F9"/>
    <w:rsid w:val="0002229B"/>
    <w:rsid w:val="000273BD"/>
    <w:rsid w:val="000415B7"/>
    <w:rsid w:val="00041E3F"/>
    <w:rsid w:val="00046988"/>
    <w:rsid w:val="00055DAA"/>
    <w:rsid w:val="00061F7B"/>
    <w:rsid w:val="000658A3"/>
    <w:rsid w:val="00074155"/>
    <w:rsid w:val="000969EB"/>
    <w:rsid w:val="000A3F69"/>
    <w:rsid w:val="000D283F"/>
    <w:rsid w:val="000E72C7"/>
    <w:rsid w:val="000E7D52"/>
    <w:rsid w:val="00103957"/>
    <w:rsid w:val="001204F3"/>
    <w:rsid w:val="00125843"/>
    <w:rsid w:val="00145340"/>
    <w:rsid w:val="00152C6D"/>
    <w:rsid w:val="00161642"/>
    <w:rsid w:val="00162D39"/>
    <w:rsid w:val="001678BD"/>
    <w:rsid w:val="001A67DB"/>
    <w:rsid w:val="001B5480"/>
    <w:rsid w:val="001C3C29"/>
    <w:rsid w:val="001D51E5"/>
    <w:rsid w:val="001E080D"/>
    <w:rsid w:val="001E53D0"/>
    <w:rsid w:val="001E6AE1"/>
    <w:rsid w:val="001F0C3B"/>
    <w:rsid w:val="001F5B81"/>
    <w:rsid w:val="00202C82"/>
    <w:rsid w:val="00214427"/>
    <w:rsid w:val="00222FCB"/>
    <w:rsid w:val="002257A5"/>
    <w:rsid w:val="00226CB7"/>
    <w:rsid w:val="00264552"/>
    <w:rsid w:val="00264EF9"/>
    <w:rsid w:val="00265724"/>
    <w:rsid w:val="00272E5C"/>
    <w:rsid w:val="0027426B"/>
    <w:rsid w:val="00290F03"/>
    <w:rsid w:val="002A4A33"/>
    <w:rsid w:val="002E0A30"/>
    <w:rsid w:val="003035B5"/>
    <w:rsid w:val="003130C4"/>
    <w:rsid w:val="00316C4B"/>
    <w:rsid w:val="0032192B"/>
    <w:rsid w:val="003324AF"/>
    <w:rsid w:val="00335EA4"/>
    <w:rsid w:val="003479BD"/>
    <w:rsid w:val="0037197D"/>
    <w:rsid w:val="0037637D"/>
    <w:rsid w:val="003768D5"/>
    <w:rsid w:val="003A484D"/>
    <w:rsid w:val="003B3DA4"/>
    <w:rsid w:val="003C47E6"/>
    <w:rsid w:val="003C4FC2"/>
    <w:rsid w:val="003D2BB2"/>
    <w:rsid w:val="00416696"/>
    <w:rsid w:val="00416E61"/>
    <w:rsid w:val="0042790C"/>
    <w:rsid w:val="00437160"/>
    <w:rsid w:val="004506F9"/>
    <w:rsid w:val="004717A2"/>
    <w:rsid w:val="00473CA2"/>
    <w:rsid w:val="00473DF3"/>
    <w:rsid w:val="00487911"/>
    <w:rsid w:val="00491741"/>
    <w:rsid w:val="0049506D"/>
    <w:rsid w:val="004E0E6E"/>
    <w:rsid w:val="004E72D6"/>
    <w:rsid w:val="004F713B"/>
    <w:rsid w:val="00500E5F"/>
    <w:rsid w:val="00502842"/>
    <w:rsid w:val="00507E16"/>
    <w:rsid w:val="005122EF"/>
    <w:rsid w:val="0051441A"/>
    <w:rsid w:val="00517C33"/>
    <w:rsid w:val="005224E1"/>
    <w:rsid w:val="00523644"/>
    <w:rsid w:val="00525CD1"/>
    <w:rsid w:val="0054069E"/>
    <w:rsid w:val="00544866"/>
    <w:rsid w:val="005767CC"/>
    <w:rsid w:val="005774F7"/>
    <w:rsid w:val="00577969"/>
    <w:rsid w:val="00590D9F"/>
    <w:rsid w:val="00595D26"/>
    <w:rsid w:val="005A74E6"/>
    <w:rsid w:val="005B404E"/>
    <w:rsid w:val="005C36EC"/>
    <w:rsid w:val="005D4D55"/>
    <w:rsid w:val="005E2CFB"/>
    <w:rsid w:val="005E4DDD"/>
    <w:rsid w:val="005F3D1C"/>
    <w:rsid w:val="0061247A"/>
    <w:rsid w:val="0062378F"/>
    <w:rsid w:val="00625431"/>
    <w:rsid w:val="00641842"/>
    <w:rsid w:val="00644EA5"/>
    <w:rsid w:val="00651EEC"/>
    <w:rsid w:val="00665D17"/>
    <w:rsid w:val="00691E8C"/>
    <w:rsid w:val="006A22C4"/>
    <w:rsid w:val="006A351B"/>
    <w:rsid w:val="006B0422"/>
    <w:rsid w:val="006B3188"/>
    <w:rsid w:val="006C1B53"/>
    <w:rsid w:val="006D7730"/>
    <w:rsid w:val="006E5284"/>
    <w:rsid w:val="006F10EB"/>
    <w:rsid w:val="006F3EB5"/>
    <w:rsid w:val="00700044"/>
    <w:rsid w:val="00702E34"/>
    <w:rsid w:val="00704395"/>
    <w:rsid w:val="00717621"/>
    <w:rsid w:val="00720FF1"/>
    <w:rsid w:val="00727A53"/>
    <w:rsid w:val="0073736E"/>
    <w:rsid w:val="007460D6"/>
    <w:rsid w:val="00765009"/>
    <w:rsid w:val="00787B42"/>
    <w:rsid w:val="007B269C"/>
    <w:rsid w:val="007C4539"/>
    <w:rsid w:val="007F3657"/>
    <w:rsid w:val="00803B69"/>
    <w:rsid w:val="00807D25"/>
    <w:rsid w:val="00812ED5"/>
    <w:rsid w:val="008204F3"/>
    <w:rsid w:val="008277D9"/>
    <w:rsid w:val="0084478C"/>
    <w:rsid w:val="0086638C"/>
    <w:rsid w:val="008A3E8D"/>
    <w:rsid w:val="008E7A0E"/>
    <w:rsid w:val="008F1DE1"/>
    <w:rsid w:val="008F1F24"/>
    <w:rsid w:val="009237C4"/>
    <w:rsid w:val="00944C48"/>
    <w:rsid w:val="00950252"/>
    <w:rsid w:val="00967318"/>
    <w:rsid w:val="00967F5D"/>
    <w:rsid w:val="009829F2"/>
    <w:rsid w:val="00997D7A"/>
    <w:rsid w:val="009A0475"/>
    <w:rsid w:val="009A0F95"/>
    <w:rsid w:val="009B17EB"/>
    <w:rsid w:val="009B3ADF"/>
    <w:rsid w:val="009C0FB2"/>
    <w:rsid w:val="009C3B52"/>
    <w:rsid w:val="009D09F6"/>
    <w:rsid w:val="009D2977"/>
    <w:rsid w:val="009E6817"/>
    <w:rsid w:val="009E6E9A"/>
    <w:rsid w:val="00A01D2B"/>
    <w:rsid w:val="00A12825"/>
    <w:rsid w:val="00A369DF"/>
    <w:rsid w:val="00A42218"/>
    <w:rsid w:val="00A70249"/>
    <w:rsid w:val="00A70B02"/>
    <w:rsid w:val="00A71D9F"/>
    <w:rsid w:val="00A92E9F"/>
    <w:rsid w:val="00AA7392"/>
    <w:rsid w:val="00AC771E"/>
    <w:rsid w:val="00B00AC1"/>
    <w:rsid w:val="00B07E5E"/>
    <w:rsid w:val="00B13502"/>
    <w:rsid w:val="00B312B3"/>
    <w:rsid w:val="00B33BEA"/>
    <w:rsid w:val="00B36887"/>
    <w:rsid w:val="00B57C9F"/>
    <w:rsid w:val="00B63572"/>
    <w:rsid w:val="00B83EE0"/>
    <w:rsid w:val="00B845B3"/>
    <w:rsid w:val="00B85D8B"/>
    <w:rsid w:val="00BB4A40"/>
    <w:rsid w:val="00BD6C3E"/>
    <w:rsid w:val="00BE3674"/>
    <w:rsid w:val="00BF14F7"/>
    <w:rsid w:val="00C06D10"/>
    <w:rsid w:val="00C10681"/>
    <w:rsid w:val="00C3049A"/>
    <w:rsid w:val="00C31B1E"/>
    <w:rsid w:val="00C525E1"/>
    <w:rsid w:val="00C77645"/>
    <w:rsid w:val="00CC61BD"/>
    <w:rsid w:val="00CD3F11"/>
    <w:rsid w:val="00CE04C3"/>
    <w:rsid w:val="00CE76A0"/>
    <w:rsid w:val="00D148C6"/>
    <w:rsid w:val="00D17A8A"/>
    <w:rsid w:val="00D36D78"/>
    <w:rsid w:val="00D415BA"/>
    <w:rsid w:val="00D4194D"/>
    <w:rsid w:val="00D50016"/>
    <w:rsid w:val="00D5650E"/>
    <w:rsid w:val="00D5679D"/>
    <w:rsid w:val="00D644EE"/>
    <w:rsid w:val="00DD06FF"/>
    <w:rsid w:val="00DD5FE9"/>
    <w:rsid w:val="00E00C7A"/>
    <w:rsid w:val="00E37D6C"/>
    <w:rsid w:val="00E41853"/>
    <w:rsid w:val="00E425C2"/>
    <w:rsid w:val="00E55B68"/>
    <w:rsid w:val="00E67BE6"/>
    <w:rsid w:val="00E8683C"/>
    <w:rsid w:val="00EA2B72"/>
    <w:rsid w:val="00EB088B"/>
    <w:rsid w:val="00EB0FB6"/>
    <w:rsid w:val="00EB6C0C"/>
    <w:rsid w:val="00EF7888"/>
    <w:rsid w:val="00F25650"/>
    <w:rsid w:val="00F74360"/>
    <w:rsid w:val="00FB462F"/>
    <w:rsid w:val="00FE16FA"/>
    <w:rsid w:val="00FE328A"/>
    <w:rsid w:val="00FE6269"/>
    <w:rsid w:val="012A2737"/>
    <w:rsid w:val="01EA0118"/>
    <w:rsid w:val="03653EFA"/>
    <w:rsid w:val="0636392C"/>
    <w:rsid w:val="07A30606"/>
    <w:rsid w:val="09170399"/>
    <w:rsid w:val="09D718B7"/>
    <w:rsid w:val="0A0F018B"/>
    <w:rsid w:val="0C120997"/>
    <w:rsid w:val="0C503E37"/>
    <w:rsid w:val="0CD143AE"/>
    <w:rsid w:val="0DAA3634"/>
    <w:rsid w:val="0E880E03"/>
    <w:rsid w:val="0F2509E1"/>
    <w:rsid w:val="0FBF4992"/>
    <w:rsid w:val="10014FAA"/>
    <w:rsid w:val="116C43F6"/>
    <w:rsid w:val="12635AA8"/>
    <w:rsid w:val="12AD766B"/>
    <w:rsid w:val="148748B0"/>
    <w:rsid w:val="16C3745D"/>
    <w:rsid w:val="1C58724B"/>
    <w:rsid w:val="1D8A2A83"/>
    <w:rsid w:val="1D98497E"/>
    <w:rsid w:val="1DE81558"/>
    <w:rsid w:val="1E1803FE"/>
    <w:rsid w:val="1EAA1F74"/>
    <w:rsid w:val="20AA4157"/>
    <w:rsid w:val="2130347A"/>
    <w:rsid w:val="2130749E"/>
    <w:rsid w:val="214473ED"/>
    <w:rsid w:val="236253DA"/>
    <w:rsid w:val="25A62E5F"/>
    <w:rsid w:val="26105AEF"/>
    <w:rsid w:val="284E65ED"/>
    <w:rsid w:val="289B35E7"/>
    <w:rsid w:val="29E654E5"/>
    <w:rsid w:val="2A845CA8"/>
    <w:rsid w:val="2B4324C3"/>
    <w:rsid w:val="2F372FC5"/>
    <w:rsid w:val="31E56082"/>
    <w:rsid w:val="32233830"/>
    <w:rsid w:val="322A1CE7"/>
    <w:rsid w:val="328D12A4"/>
    <w:rsid w:val="32DD31FD"/>
    <w:rsid w:val="335D7E9A"/>
    <w:rsid w:val="349A2ECA"/>
    <w:rsid w:val="3821593A"/>
    <w:rsid w:val="38DA1D94"/>
    <w:rsid w:val="3D510A70"/>
    <w:rsid w:val="42354ACF"/>
    <w:rsid w:val="43E33C63"/>
    <w:rsid w:val="474B2221"/>
    <w:rsid w:val="49724248"/>
    <w:rsid w:val="4E8A3DE2"/>
    <w:rsid w:val="4ECD1F20"/>
    <w:rsid w:val="52BC6C7F"/>
    <w:rsid w:val="53144422"/>
    <w:rsid w:val="53E82F40"/>
    <w:rsid w:val="5D5A2019"/>
    <w:rsid w:val="611D0A6B"/>
    <w:rsid w:val="611D2893"/>
    <w:rsid w:val="6825536A"/>
    <w:rsid w:val="69005E74"/>
    <w:rsid w:val="694C640B"/>
    <w:rsid w:val="6F1E6B9B"/>
    <w:rsid w:val="6FD35191"/>
    <w:rsid w:val="70BB79D3"/>
    <w:rsid w:val="70FA04FB"/>
    <w:rsid w:val="71E85A49"/>
    <w:rsid w:val="72741D5E"/>
    <w:rsid w:val="73937BFF"/>
    <w:rsid w:val="754C2D14"/>
    <w:rsid w:val="77A565A9"/>
    <w:rsid w:val="78484242"/>
    <w:rsid w:val="7CA37C99"/>
    <w:rsid w:val="7E8E6727"/>
    <w:rsid w:val="7F947D6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8"/>
    <w:autoRedefine/>
    <w:semiHidden/>
    <w:qFormat/>
    <w:uiPriority w:val="99"/>
    <w:rPr>
      <w:sz w:val="18"/>
      <w:szCs w:val="18"/>
    </w:rPr>
  </w:style>
  <w:style w:type="paragraph" w:styleId="3">
    <w:name w:val="footer"/>
    <w:basedOn w:val="1"/>
    <w:link w:val="9"/>
    <w:autoRedefine/>
    <w:qFormat/>
    <w:uiPriority w:val="99"/>
    <w:pPr>
      <w:tabs>
        <w:tab w:val="center" w:pos="4153"/>
        <w:tab w:val="right" w:pos="8306"/>
      </w:tabs>
      <w:snapToGrid w:val="0"/>
      <w:jc w:val="left"/>
    </w:pPr>
    <w:rPr>
      <w:sz w:val="18"/>
      <w:szCs w:val="18"/>
    </w:rPr>
  </w:style>
  <w:style w:type="paragraph" w:styleId="4">
    <w:name w:val="header"/>
    <w:basedOn w:val="1"/>
    <w:link w:val="10"/>
    <w:autoRedefine/>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批注框文本 Char"/>
    <w:basedOn w:val="7"/>
    <w:link w:val="2"/>
    <w:autoRedefine/>
    <w:semiHidden/>
    <w:qFormat/>
    <w:locked/>
    <w:uiPriority w:val="99"/>
    <w:rPr>
      <w:sz w:val="18"/>
      <w:szCs w:val="18"/>
    </w:rPr>
  </w:style>
  <w:style w:type="character" w:customStyle="1" w:styleId="9">
    <w:name w:val="页脚 Char"/>
    <w:basedOn w:val="7"/>
    <w:link w:val="3"/>
    <w:autoRedefine/>
    <w:qFormat/>
    <w:locked/>
    <w:uiPriority w:val="99"/>
    <w:rPr>
      <w:sz w:val="18"/>
      <w:szCs w:val="18"/>
    </w:rPr>
  </w:style>
  <w:style w:type="character" w:customStyle="1" w:styleId="10">
    <w:name w:val="页眉 Char"/>
    <w:basedOn w:val="7"/>
    <w:link w:val="4"/>
    <w:autoRedefine/>
    <w:qFormat/>
    <w:locked/>
    <w:uiPriority w:val="99"/>
    <w:rPr>
      <w:sz w:val="18"/>
      <w:szCs w:val="18"/>
    </w:rPr>
  </w:style>
  <w:style w:type="paragraph" w:customStyle="1" w:styleId="11">
    <w:name w:val="Default"/>
    <w:autoRedefine/>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2">
    <w:name w:val="List Paragraph"/>
    <w:basedOn w:val="1"/>
    <w:autoRedefine/>
    <w:qFormat/>
    <w:uiPriority w:val="99"/>
    <w:pPr>
      <w:ind w:firstLine="420" w:firstLineChars="200"/>
    </w:pPr>
  </w:style>
  <w:style w:type="paragraph" w:customStyle="1" w:styleId="13">
    <w:name w:val="List Paragraph1"/>
    <w:basedOn w:val="1"/>
    <w:autoRedefine/>
    <w:qFormat/>
    <w:uiPriority w:val="99"/>
    <w:pPr>
      <w:ind w:firstLine="420" w:firstLineChars="200"/>
    </w:pPr>
  </w:style>
  <w:style w:type="paragraph" w:styleId="14">
    <w:name w:val="No Spacing"/>
    <w:autoRedefine/>
    <w:qFormat/>
    <w:uiPriority w:val="1"/>
    <w:pPr>
      <w:widowControl w:val="0"/>
      <w:jc w:val="both"/>
    </w:pPr>
    <w:rPr>
      <w:rFonts w:ascii="Calibri" w:hAnsi="Calibri" w:eastAsia="宋体" w:cs="Times New Roman"/>
      <w:kern w:val="2"/>
      <w:sz w:val="21"/>
      <w:szCs w:val="22"/>
      <w:lang w:val="en-US" w:eastAsia="zh-CN" w:bidi="ar-SA"/>
    </w:rPr>
  </w:style>
  <w:style w:type="paragraph" w:customStyle="1" w:styleId="15">
    <w:name w:val="p0"/>
    <w:basedOn w:val="1"/>
    <w:autoRedefine/>
    <w:qFormat/>
    <w:uiPriority w:val="0"/>
    <w:pPr>
      <w:widowControl/>
    </w:pPr>
    <w:rPr>
      <w:rFonts w:cs="Times New Roman"/>
      <w:kern w:val="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41</Pages>
  <Words>3423</Words>
  <Characters>19512</Characters>
  <Lines>162</Lines>
  <Paragraphs>45</Paragraphs>
  <TotalTime>0</TotalTime>
  <ScaleCrop>false</ScaleCrop>
  <LinksUpToDate>false</LinksUpToDate>
  <CharactersWithSpaces>22890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WPS_1641776830</cp:lastModifiedBy>
  <cp:lastPrinted>2021-07-28T00:12:00Z</cp:lastPrinted>
  <dcterms:modified xsi:type="dcterms:W3CDTF">2024-08-28T11:36:11Z</dcterms:modified>
  <cp:revision>105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2052-12.1.0.16399</vt:lpwstr>
  </property>
  <property fmtid="{D5CDD505-2E9C-101B-9397-08002B2CF9AE}" pid="4" name="ICV">
    <vt:lpwstr>A657EFB301FC4D5FB16B55F61293875A</vt:lpwstr>
  </property>
</Properties>
</file>