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8BFA3">
      <w:pPr>
        <w:spacing w:line="520" w:lineRule="exact"/>
        <w:rPr>
          <w:rFonts w:ascii="仿宋" w:hAnsi="仿宋" w:eastAsia="仿宋" w:cs="仿宋"/>
          <w:b/>
          <w:bCs/>
          <w:color w:val="000000"/>
          <w:kern w:val="0"/>
          <w:sz w:val="32"/>
          <w:szCs w:val="32"/>
        </w:rPr>
      </w:pPr>
    </w:p>
    <w:p w14:paraId="04DA0809">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湘潭县商务局202</w:t>
      </w:r>
      <w:r>
        <w:rPr>
          <w:rFonts w:hint="eastAsia" w:ascii="宋体" w:hAnsi="宋体" w:cs="方正小标宋_GBK"/>
          <w:b/>
          <w:sz w:val="36"/>
          <w:szCs w:val="36"/>
          <w:lang w:val="en-US" w:eastAsia="zh-CN"/>
        </w:rPr>
        <w:t>3</w:t>
      </w:r>
      <w:r>
        <w:rPr>
          <w:rFonts w:hint="eastAsia" w:ascii="宋体" w:hAnsi="宋体" w:cs="方正小标宋_GBK"/>
          <w:b/>
          <w:sz w:val="36"/>
          <w:szCs w:val="36"/>
        </w:rPr>
        <w:t>年</w:t>
      </w:r>
      <w:r>
        <w:rPr>
          <w:rFonts w:hint="eastAsia" w:ascii="宋体" w:hAnsi="宋体" w:cs="方正小标宋_GBK"/>
          <w:b/>
          <w:bCs/>
          <w:sz w:val="36"/>
          <w:szCs w:val="36"/>
        </w:rPr>
        <w:t>部门整体支出绩效评价报告</w:t>
      </w:r>
    </w:p>
    <w:tbl>
      <w:tblPr>
        <w:tblStyle w:val="5"/>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1BBA3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0470C337">
            <w:pPr>
              <w:spacing w:line="576" w:lineRule="exact"/>
              <w:jc w:val="center"/>
              <w:rPr>
                <w:rFonts w:ascii="仿宋" w:hAnsi="仿宋" w:eastAsia="仿宋" w:cs="宋体"/>
                <w:sz w:val="24"/>
              </w:rPr>
            </w:pPr>
            <w:r>
              <w:rPr>
                <w:rFonts w:hint="eastAsia" w:ascii="仿宋" w:hAnsi="仿宋" w:eastAsia="仿宋" w:cs="宋体"/>
                <w:sz w:val="24"/>
              </w:rPr>
              <w:t>部门概况</w:t>
            </w:r>
          </w:p>
        </w:tc>
        <w:tc>
          <w:tcPr>
            <w:tcW w:w="1985" w:type="dxa"/>
            <w:vAlign w:val="center"/>
          </w:tcPr>
          <w:p w14:paraId="1EFC7EC6">
            <w:pPr>
              <w:spacing w:line="576" w:lineRule="exact"/>
              <w:jc w:val="center"/>
              <w:rPr>
                <w:rFonts w:ascii="仿宋" w:hAnsi="仿宋" w:eastAsia="仿宋" w:cs="宋体"/>
                <w:sz w:val="24"/>
              </w:rPr>
            </w:pPr>
            <w:r>
              <w:rPr>
                <w:rFonts w:hint="eastAsia" w:ascii="仿宋" w:hAnsi="仿宋" w:eastAsia="仿宋" w:cs="宋体"/>
                <w:sz w:val="24"/>
              </w:rPr>
              <w:t>单位名称</w:t>
            </w:r>
          </w:p>
        </w:tc>
        <w:tc>
          <w:tcPr>
            <w:tcW w:w="5670" w:type="dxa"/>
            <w:vAlign w:val="center"/>
          </w:tcPr>
          <w:p w14:paraId="4D5CE5F2">
            <w:pPr>
              <w:spacing w:line="576" w:lineRule="exact"/>
              <w:ind w:right="880" w:rightChars="419"/>
              <w:jc w:val="center"/>
              <w:rPr>
                <w:rFonts w:ascii="仿宋" w:hAnsi="仿宋" w:eastAsia="仿宋" w:cs="宋体"/>
                <w:sz w:val="24"/>
              </w:rPr>
            </w:pPr>
            <w:r>
              <w:rPr>
                <w:rFonts w:hint="eastAsia" w:ascii="仿宋" w:hAnsi="仿宋" w:eastAsia="仿宋" w:cs="方正小标宋简体"/>
                <w:sz w:val="24"/>
              </w:rPr>
              <w:t>湘潭县商务局</w:t>
            </w:r>
          </w:p>
        </w:tc>
      </w:tr>
      <w:tr w14:paraId="1486D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70B6578B">
            <w:pPr>
              <w:spacing w:line="576" w:lineRule="exact"/>
              <w:jc w:val="center"/>
              <w:rPr>
                <w:rFonts w:ascii="仿宋" w:hAnsi="仿宋" w:eastAsia="仿宋" w:cs="宋体"/>
                <w:sz w:val="24"/>
              </w:rPr>
            </w:pPr>
          </w:p>
        </w:tc>
        <w:tc>
          <w:tcPr>
            <w:tcW w:w="1985" w:type="dxa"/>
            <w:vAlign w:val="center"/>
          </w:tcPr>
          <w:p w14:paraId="562B2E81">
            <w:pPr>
              <w:spacing w:line="576" w:lineRule="exact"/>
              <w:jc w:val="center"/>
              <w:rPr>
                <w:rFonts w:ascii="仿宋" w:hAnsi="仿宋" w:eastAsia="仿宋" w:cs="宋体"/>
                <w:sz w:val="24"/>
              </w:rPr>
            </w:pPr>
            <w:r>
              <w:rPr>
                <w:rFonts w:hint="eastAsia" w:ascii="仿宋" w:hAnsi="仿宋" w:eastAsia="仿宋" w:cs="宋体"/>
                <w:sz w:val="24"/>
              </w:rPr>
              <w:t>年度预算金额</w:t>
            </w:r>
          </w:p>
        </w:tc>
        <w:tc>
          <w:tcPr>
            <w:tcW w:w="5670" w:type="dxa"/>
            <w:vAlign w:val="center"/>
          </w:tcPr>
          <w:p w14:paraId="72DFDFF2">
            <w:pPr>
              <w:spacing w:line="576" w:lineRule="exact"/>
              <w:ind w:right="880" w:rightChars="419"/>
              <w:jc w:val="center"/>
              <w:rPr>
                <w:rFonts w:hint="default" w:ascii="仿宋" w:hAnsi="仿宋" w:eastAsia="仿宋" w:cs="宋体"/>
                <w:sz w:val="24"/>
                <w:lang w:val="en-US" w:eastAsia="zh-CN"/>
              </w:rPr>
            </w:pPr>
            <w:r>
              <w:rPr>
                <w:rFonts w:hint="eastAsia" w:ascii="仿宋" w:hAnsi="仿宋" w:eastAsia="仿宋" w:cs="宋体"/>
                <w:sz w:val="24"/>
                <w:lang w:val="en-US" w:eastAsia="zh-CN"/>
              </w:rPr>
              <w:t>5999.23（万元）</w:t>
            </w:r>
          </w:p>
        </w:tc>
      </w:tr>
      <w:tr w14:paraId="09193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C41B73F">
            <w:pPr>
              <w:spacing w:line="576" w:lineRule="exact"/>
              <w:jc w:val="center"/>
              <w:rPr>
                <w:rFonts w:ascii="仿宋" w:hAnsi="仿宋" w:eastAsia="仿宋" w:cs="宋体"/>
                <w:sz w:val="24"/>
              </w:rPr>
            </w:pPr>
          </w:p>
        </w:tc>
        <w:tc>
          <w:tcPr>
            <w:tcW w:w="1985" w:type="dxa"/>
            <w:vAlign w:val="center"/>
          </w:tcPr>
          <w:p w14:paraId="16CBC3C1">
            <w:pPr>
              <w:spacing w:line="576" w:lineRule="exact"/>
              <w:jc w:val="center"/>
              <w:rPr>
                <w:rFonts w:ascii="仿宋" w:hAnsi="仿宋" w:eastAsia="仿宋" w:cs="宋体"/>
                <w:sz w:val="24"/>
              </w:rPr>
            </w:pPr>
            <w:r>
              <w:rPr>
                <w:rFonts w:hint="eastAsia" w:ascii="仿宋" w:hAnsi="仿宋" w:eastAsia="仿宋" w:cs="宋体"/>
                <w:sz w:val="24"/>
              </w:rPr>
              <w:t>主管部门</w:t>
            </w:r>
          </w:p>
        </w:tc>
        <w:tc>
          <w:tcPr>
            <w:tcW w:w="5670" w:type="dxa"/>
            <w:vAlign w:val="center"/>
          </w:tcPr>
          <w:p w14:paraId="234A4083">
            <w:pPr>
              <w:spacing w:line="576" w:lineRule="exact"/>
              <w:ind w:right="880" w:rightChars="419"/>
              <w:jc w:val="center"/>
              <w:rPr>
                <w:rFonts w:hint="eastAsia" w:ascii="仿宋" w:hAnsi="仿宋" w:eastAsia="仿宋" w:cs="宋体"/>
                <w:sz w:val="24"/>
                <w:lang w:eastAsia="zh-CN"/>
              </w:rPr>
            </w:pPr>
            <w:r>
              <w:rPr>
                <w:rFonts w:hint="eastAsia" w:ascii="仿宋" w:hAnsi="仿宋" w:eastAsia="仿宋" w:cs="方正小标宋简体"/>
                <w:sz w:val="24"/>
              </w:rPr>
              <w:t>企财</w:t>
            </w:r>
            <w:r>
              <w:rPr>
                <w:rFonts w:hint="eastAsia" w:ascii="仿宋" w:hAnsi="仿宋" w:eastAsia="仿宋" w:cs="方正小标宋简体"/>
                <w:sz w:val="24"/>
                <w:lang w:eastAsia="zh-CN"/>
              </w:rPr>
              <w:t>股</w:t>
            </w:r>
          </w:p>
        </w:tc>
      </w:tr>
      <w:tr w14:paraId="6646F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EECE390">
            <w:pPr>
              <w:spacing w:line="576" w:lineRule="exact"/>
              <w:ind w:right="880" w:rightChars="419"/>
              <w:jc w:val="center"/>
              <w:rPr>
                <w:rFonts w:ascii="仿宋" w:hAnsi="仿宋" w:eastAsia="仿宋" w:cs="方正小标宋简体"/>
                <w:sz w:val="24"/>
              </w:rPr>
            </w:pPr>
          </w:p>
        </w:tc>
        <w:tc>
          <w:tcPr>
            <w:tcW w:w="1985" w:type="dxa"/>
            <w:vAlign w:val="center"/>
          </w:tcPr>
          <w:p w14:paraId="3A48727C">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单位基本职能</w:t>
            </w:r>
          </w:p>
        </w:tc>
        <w:tc>
          <w:tcPr>
            <w:tcW w:w="5670" w:type="dxa"/>
            <w:vAlign w:val="center"/>
          </w:tcPr>
          <w:p w14:paraId="11809353">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一.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14:paraId="4DEB565A">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二.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14:paraId="6DE4C08C">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三.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571A4AC3">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四.拟订全县贸易发展规划，提出引导国内外资金投向市场体系建设的政策建议，指导城市商业网点、大宗产品批发市场（不含农贸市场）规划，推进全县商业体系建设，组织实施农村现代流通网络工程。</w:t>
            </w:r>
          </w:p>
          <w:p w14:paraId="1DCF01D5">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五.承担组织实施重要消费品市场调控和重要生产资料流通管理的责任。负责建立健全生活必需品市场供应应急管理机制，监测分析市场运行、商品供求状况，调查分析商品价格信息进行预测、预警和信息引导。</w:t>
            </w:r>
          </w:p>
          <w:p w14:paraId="310A8B9A">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六.贯彻执行国家制定的进出口商品、加工贸易管理办法和进出口管理商品、技术目录，拟定促进外贸增长方式转变的政策措施，指导贸易促进活动和外贸促进体系建设。</w:t>
            </w:r>
          </w:p>
          <w:p w14:paraId="085EB69C">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七.贯彻执行国家对外技术贸易、出口管制以及鼓励技术和成套设备进出口的政策，推进进出口贸易标准化工作。依法监督技术引进、设备进口、国家限制出口技术的工作。</w:t>
            </w:r>
          </w:p>
          <w:p w14:paraId="5B56E532">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八.牵头拟定服务贸易发展和服务外包规划并开展相关工作，推动服务外包平台建设。</w:t>
            </w:r>
          </w:p>
          <w:p w14:paraId="08CD1BDD">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九.指导全县对外经济技术合作，指导和监督管理全县对外承包工程、劳务合作等业务。牵头外派劳务和境外就业人员的权益保护工作。</w:t>
            </w:r>
          </w:p>
          <w:p w14:paraId="2D501C1D">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贯彻执行我国多双边（含区域、自由贸易区）经贸合作战略和政策，推进我县与其他国家（地区）的经贸往来与投资贸易合作。牵头承担全县商务领域涉及世界贸易组织事务的相关工作，负责对外经济贸易协调工作。</w:t>
            </w:r>
          </w:p>
          <w:p w14:paraId="4F09B114">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十一.配合省、市商务部门做好反倾销、反补贴、保障措施和其他与进出口公平贸易相关的工作，协助开展对外贸易调查和产业损害调查、产业安全应对等工作。</w:t>
            </w:r>
          </w:p>
          <w:p w14:paraId="4E8AE6FC">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十二.指导、协调、组织参与以湘潭县名义在境内外举办的各种内外贸交易会、展览会、展销会等活动。</w:t>
            </w:r>
          </w:p>
          <w:p w14:paraId="4621350A">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三.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14:paraId="195726BB">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四.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4791265F">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十五.监督检查外来投资企业执行有关法律法规规章、合同、章程的情况并协调解决有关问题。</w:t>
            </w:r>
          </w:p>
          <w:p w14:paraId="7C1F3AB4">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十六.承担全县商务系统统计及信息发布工作。</w:t>
            </w:r>
          </w:p>
          <w:p w14:paraId="7206775E">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十七.负责全县商务系统企业改制遗留问题的处理。</w:t>
            </w:r>
          </w:p>
          <w:p w14:paraId="1A7515FF">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十八.完成县委、县人民政府交办的其他任务。</w:t>
            </w:r>
          </w:p>
          <w:p w14:paraId="44EA7461">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十九.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竟争、有序的市场体系。</w:t>
            </w:r>
          </w:p>
          <w:p w14:paraId="2904A53D">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二十.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tc>
      </w:tr>
      <w:tr w14:paraId="513C6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14:paraId="79FADB9C">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绩效完成情况</w:t>
            </w:r>
          </w:p>
        </w:tc>
        <w:tc>
          <w:tcPr>
            <w:tcW w:w="1985" w:type="dxa"/>
            <w:vAlign w:val="center"/>
          </w:tcPr>
          <w:p w14:paraId="12628AE1">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部门整体支出管理和使用基本情况</w:t>
            </w:r>
          </w:p>
        </w:tc>
        <w:tc>
          <w:tcPr>
            <w:tcW w:w="5670" w:type="dxa"/>
            <w:vAlign w:val="center"/>
          </w:tcPr>
          <w:p w14:paraId="31797661">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一、内设机构</w:t>
            </w:r>
          </w:p>
          <w:p w14:paraId="03B838D0">
            <w:pPr>
              <w:pStyle w:val="4"/>
              <w:widowControl/>
              <w:shd w:val="clear" w:color="auto" w:fill="FFFFFF"/>
              <w:spacing w:line="560" w:lineRule="exact"/>
              <w:ind w:firstLine="480" w:firstLineChars="200"/>
              <w:rPr>
                <w:rFonts w:ascii="仿宋" w:hAnsi="仿宋" w:eastAsia="仿宋" w:cs="方正小标宋简体"/>
                <w:kern w:val="2"/>
              </w:rPr>
            </w:pPr>
            <w:r>
              <w:rPr>
                <w:rFonts w:hint="eastAsia" w:ascii="仿宋" w:hAnsi="仿宋" w:eastAsia="仿宋" w:cs="方正小标宋简体"/>
                <w:kern w:val="2"/>
              </w:rPr>
              <w:t>湘潭县商务局内设股室8个，下辖4个二级机构，分别是湘潭县投资促进服务中心、湘潭县电商公共服务中心、湘潭县槟榔产业服务中心、湘潭县对外劳务服务中心，以上内设股室和二级机构均为无独立经费核算机构，是我单位预算编制范围。</w:t>
            </w:r>
          </w:p>
          <w:p w14:paraId="1D99BE59">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二、人员编制</w:t>
            </w:r>
          </w:p>
          <w:p w14:paraId="6D73F951">
            <w:pPr>
              <w:pStyle w:val="4"/>
              <w:widowControl/>
              <w:shd w:val="clear" w:color="auto" w:fill="FFFFFF"/>
              <w:spacing w:line="560" w:lineRule="exact"/>
              <w:ind w:firstLine="480" w:firstLineChars="200"/>
              <w:rPr>
                <w:rFonts w:ascii="仿宋" w:hAnsi="仿宋" w:eastAsia="仿宋" w:cs="方正小标宋简体"/>
              </w:rPr>
            </w:pPr>
            <w:r>
              <w:rPr>
                <w:rFonts w:hint="eastAsia" w:ascii="仿宋" w:hAnsi="仿宋" w:eastAsia="仿宋" w:cs="方正小标宋简体"/>
                <w:kern w:val="2"/>
              </w:rPr>
              <w:t>202</w:t>
            </w:r>
            <w:r>
              <w:rPr>
                <w:rFonts w:hint="eastAsia" w:ascii="仿宋" w:hAnsi="仿宋" w:eastAsia="仿宋" w:cs="方正小标宋简体"/>
                <w:kern w:val="2"/>
                <w:lang w:val="en-US" w:eastAsia="zh-CN"/>
              </w:rPr>
              <w:t>3</w:t>
            </w:r>
            <w:r>
              <w:rPr>
                <w:rFonts w:hint="eastAsia" w:ascii="仿宋" w:hAnsi="仿宋" w:eastAsia="仿宋" w:cs="方正小标宋简体"/>
                <w:kern w:val="2"/>
              </w:rPr>
              <w:t>年机构改革后我局编制人数41人，实有在岗人员</w:t>
            </w:r>
            <w:r>
              <w:rPr>
                <w:rFonts w:hint="eastAsia" w:ascii="仿宋" w:hAnsi="仿宋" w:eastAsia="仿宋" w:cs="方正小标宋简体"/>
                <w:kern w:val="2"/>
                <w:lang w:val="en-US" w:eastAsia="zh-CN"/>
              </w:rPr>
              <w:t>40</w:t>
            </w:r>
            <w:r>
              <w:rPr>
                <w:rFonts w:hint="eastAsia" w:ascii="仿宋" w:hAnsi="仿宋" w:eastAsia="仿宋" w:cs="方正小标宋简体"/>
                <w:kern w:val="2"/>
              </w:rPr>
              <w:t>人,其中统发人员</w:t>
            </w:r>
            <w:r>
              <w:rPr>
                <w:rFonts w:hint="eastAsia" w:ascii="仿宋" w:hAnsi="仿宋" w:eastAsia="仿宋" w:cs="方正小标宋简体"/>
                <w:kern w:val="2"/>
                <w:lang w:val="en-US" w:eastAsia="zh-CN"/>
              </w:rPr>
              <w:t>36</w:t>
            </w:r>
            <w:r>
              <w:rPr>
                <w:rFonts w:hint="eastAsia" w:ascii="仿宋" w:hAnsi="仿宋" w:eastAsia="仿宋" w:cs="方正小标宋简体"/>
                <w:kern w:val="2"/>
              </w:rPr>
              <w:t>人，人事代理人员1人，劳务派遣人员</w:t>
            </w:r>
            <w:r>
              <w:rPr>
                <w:rFonts w:hint="eastAsia" w:ascii="仿宋" w:hAnsi="仿宋" w:eastAsia="仿宋" w:cs="方正小标宋简体"/>
                <w:kern w:val="2"/>
                <w:lang w:val="en-US" w:eastAsia="zh-CN"/>
              </w:rPr>
              <w:t>3</w:t>
            </w:r>
            <w:r>
              <w:rPr>
                <w:rFonts w:hint="eastAsia" w:ascii="仿宋" w:hAnsi="仿宋" w:eastAsia="仿宋" w:cs="方正小标宋简体"/>
                <w:kern w:val="2"/>
              </w:rPr>
              <w:t>人，退休人员2</w:t>
            </w:r>
            <w:r>
              <w:rPr>
                <w:rFonts w:hint="eastAsia" w:ascii="仿宋" w:hAnsi="仿宋" w:eastAsia="仿宋" w:cs="方正小标宋简体"/>
                <w:kern w:val="2"/>
                <w:lang w:val="en-US" w:eastAsia="zh-CN"/>
              </w:rPr>
              <w:t>4</w:t>
            </w:r>
            <w:r>
              <w:rPr>
                <w:rFonts w:hint="eastAsia" w:ascii="仿宋" w:hAnsi="仿宋" w:eastAsia="仿宋" w:cs="方正小标宋简体"/>
                <w:kern w:val="2"/>
              </w:rPr>
              <w:t>人。</w:t>
            </w:r>
          </w:p>
          <w:p w14:paraId="2065D441">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三、预算安排情况及资金用途</w:t>
            </w:r>
          </w:p>
          <w:p w14:paraId="6F1D470E">
            <w:pPr>
              <w:pStyle w:val="13"/>
              <w:spacing w:line="560" w:lineRule="exact"/>
              <w:ind w:firstLine="480" w:firstLineChars="200"/>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湘潭县商务局202</w:t>
            </w:r>
            <w:r>
              <w:rPr>
                <w:rFonts w:hint="eastAsia" w:ascii="仿宋" w:hAnsi="仿宋" w:eastAsia="仿宋" w:cs="仿宋"/>
                <w:color w:val="000000" w:themeColor="text1"/>
                <w:sz w:val="24"/>
                <w:szCs w:val="24"/>
                <w:lang w:val="en-US" w:eastAsia="zh-CN"/>
              </w:rPr>
              <w:t>3</w:t>
            </w:r>
            <w:r>
              <w:rPr>
                <w:rFonts w:hint="eastAsia" w:ascii="仿宋" w:hAnsi="仿宋" w:eastAsia="仿宋" w:cs="仿宋"/>
                <w:color w:val="000000" w:themeColor="text1"/>
                <w:sz w:val="24"/>
                <w:szCs w:val="24"/>
              </w:rPr>
              <w:t>年经人民代表大会批复的年初预算收入</w:t>
            </w:r>
            <w:r>
              <w:rPr>
                <w:rFonts w:hint="eastAsia" w:ascii="仿宋" w:hAnsi="仿宋" w:eastAsia="仿宋" w:cs="仿宋"/>
                <w:color w:val="000000" w:themeColor="text1"/>
                <w:sz w:val="24"/>
                <w:szCs w:val="24"/>
                <w:lang w:val="en-US" w:eastAsia="zh-CN"/>
              </w:rPr>
              <w:t>794.31</w:t>
            </w:r>
            <w:r>
              <w:rPr>
                <w:rFonts w:hint="eastAsia" w:ascii="仿宋" w:hAnsi="仿宋" w:eastAsia="仿宋" w:cs="仿宋"/>
                <w:color w:val="000000" w:themeColor="text1"/>
                <w:sz w:val="24"/>
                <w:szCs w:val="24"/>
              </w:rPr>
              <w:t>万元，调整后预算</w:t>
            </w:r>
            <w:r>
              <w:rPr>
                <w:rFonts w:hint="eastAsia" w:ascii="仿宋" w:hAnsi="仿宋" w:eastAsia="仿宋" w:cs="仿宋"/>
                <w:color w:val="000000" w:themeColor="text1"/>
                <w:sz w:val="24"/>
                <w:szCs w:val="24"/>
                <w:lang w:val="en-US" w:eastAsia="zh-CN"/>
              </w:rPr>
              <w:t>5999.2万</w:t>
            </w:r>
            <w:r>
              <w:rPr>
                <w:rFonts w:hint="eastAsia" w:ascii="仿宋" w:hAnsi="仿宋" w:eastAsia="仿宋" w:cs="仿宋"/>
                <w:color w:val="000000" w:themeColor="text1"/>
                <w:sz w:val="24"/>
                <w:szCs w:val="24"/>
              </w:rPr>
              <w:t>元，其中一般公共预算财政拨款收入</w:t>
            </w:r>
            <w:r>
              <w:rPr>
                <w:rFonts w:hint="eastAsia" w:ascii="仿宋" w:hAnsi="仿宋" w:eastAsia="仿宋" w:cs="仿宋"/>
                <w:color w:val="000000" w:themeColor="text1"/>
                <w:sz w:val="24"/>
                <w:szCs w:val="24"/>
                <w:lang w:val="en-US" w:eastAsia="zh-CN"/>
              </w:rPr>
              <w:t>1324.2</w:t>
            </w:r>
            <w:r>
              <w:rPr>
                <w:rFonts w:hint="eastAsia" w:ascii="仿宋" w:hAnsi="仿宋" w:eastAsia="仿宋" w:cs="仿宋"/>
                <w:color w:val="000000" w:themeColor="text1"/>
                <w:sz w:val="24"/>
                <w:szCs w:val="24"/>
              </w:rPr>
              <w:t>万元、政府性基金预算收入</w:t>
            </w:r>
            <w:r>
              <w:rPr>
                <w:rFonts w:hint="eastAsia" w:ascii="仿宋" w:hAnsi="仿宋" w:eastAsia="仿宋" w:cs="仿宋"/>
                <w:color w:val="000000" w:themeColor="text1"/>
                <w:sz w:val="24"/>
                <w:szCs w:val="24"/>
                <w:lang w:val="en-US" w:eastAsia="zh-CN"/>
              </w:rPr>
              <w:t>4675</w:t>
            </w:r>
            <w:r>
              <w:rPr>
                <w:rFonts w:hint="eastAsia" w:ascii="仿宋" w:hAnsi="仿宋" w:eastAsia="仿宋" w:cs="仿宋"/>
                <w:color w:val="000000" w:themeColor="text1"/>
                <w:sz w:val="24"/>
                <w:szCs w:val="24"/>
              </w:rPr>
              <w:t>万元；全年预算支出</w:t>
            </w:r>
            <w:r>
              <w:rPr>
                <w:rFonts w:hint="eastAsia" w:ascii="仿宋" w:hAnsi="仿宋" w:eastAsia="仿宋" w:cs="仿宋"/>
                <w:color w:val="000000" w:themeColor="text1"/>
                <w:sz w:val="24"/>
                <w:szCs w:val="24"/>
                <w:lang w:val="en-US" w:eastAsia="zh-CN"/>
              </w:rPr>
              <w:t>5999.2</w:t>
            </w:r>
            <w:r>
              <w:rPr>
                <w:rFonts w:hint="eastAsia" w:ascii="仿宋" w:hAnsi="仿宋" w:eastAsia="仿宋" w:cs="仿宋"/>
                <w:color w:val="000000" w:themeColor="text1"/>
                <w:sz w:val="24"/>
                <w:szCs w:val="24"/>
              </w:rPr>
              <w:t>万元。</w:t>
            </w:r>
          </w:p>
          <w:p w14:paraId="4508314C">
            <w:pPr>
              <w:pStyle w:val="13"/>
              <w:spacing w:line="560" w:lineRule="exact"/>
              <w:rPr>
                <w:rFonts w:ascii="仿宋" w:hAnsi="仿宋" w:eastAsia="仿宋" w:cs="方正小标宋简体"/>
                <w:sz w:val="24"/>
                <w:szCs w:val="24"/>
              </w:rPr>
            </w:pPr>
            <w:r>
              <w:rPr>
                <w:rFonts w:hint="eastAsia" w:ascii="仿宋" w:hAnsi="仿宋" w:eastAsia="仿宋" w:cs="方正小标宋简体"/>
                <w:sz w:val="24"/>
                <w:szCs w:val="24"/>
              </w:rPr>
              <w:t>（一）基本支出情况</w:t>
            </w:r>
          </w:p>
          <w:p w14:paraId="309D198D">
            <w:pPr>
              <w:pStyle w:val="13"/>
              <w:spacing w:line="560" w:lineRule="exact"/>
              <w:ind w:firstLine="480" w:firstLineChars="200"/>
              <w:rPr>
                <w:rFonts w:ascii="仿宋" w:hAnsi="仿宋" w:eastAsia="仿宋" w:cs="方正小标宋简体"/>
                <w:sz w:val="24"/>
                <w:szCs w:val="24"/>
              </w:rPr>
            </w:pPr>
            <w:r>
              <w:rPr>
                <w:rFonts w:hint="eastAsia" w:ascii="仿宋" w:hAnsi="仿宋" w:eastAsia="仿宋" w:cs="方正小标宋简体"/>
                <w:sz w:val="24"/>
                <w:szCs w:val="24"/>
              </w:rPr>
              <w:t>202</w:t>
            </w:r>
            <w:r>
              <w:rPr>
                <w:rFonts w:hint="eastAsia" w:ascii="仿宋" w:hAnsi="仿宋" w:eastAsia="仿宋" w:cs="方正小标宋简体"/>
                <w:sz w:val="24"/>
                <w:szCs w:val="24"/>
                <w:lang w:val="en-US" w:eastAsia="zh-CN"/>
              </w:rPr>
              <w:t>3</w:t>
            </w:r>
            <w:r>
              <w:rPr>
                <w:rFonts w:hint="eastAsia" w:ascii="仿宋" w:hAnsi="仿宋" w:eastAsia="仿宋" w:cs="方正小标宋简体"/>
                <w:sz w:val="24"/>
                <w:szCs w:val="24"/>
              </w:rPr>
              <w:t>年我局年初部门预算基本支出</w:t>
            </w:r>
            <w:r>
              <w:rPr>
                <w:rFonts w:hint="eastAsia" w:ascii="仿宋" w:hAnsi="仿宋" w:eastAsia="仿宋" w:cs="方正小标宋简体"/>
                <w:sz w:val="24"/>
                <w:szCs w:val="24"/>
                <w:lang w:val="en-US" w:eastAsia="zh-CN"/>
              </w:rPr>
              <w:t>598.15</w:t>
            </w:r>
            <w:r>
              <w:rPr>
                <w:rFonts w:hint="eastAsia" w:ascii="仿宋" w:hAnsi="仿宋" w:eastAsia="仿宋" w:cs="方正小标宋简体"/>
                <w:sz w:val="24"/>
                <w:szCs w:val="24"/>
              </w:rPr>
              <w:t>万元，其中</w:t>
            </w:r>
            <w:r>
              <w:rPr>
                <w:rFonts w:hint="eastAsia" w:ascii="仿宋" w:hAnsi="仿宋" w:eastAsia="仿宋" w:cs="仿宋"/>
                <w:sz w:val="24"/>
                <w:szCs w:val="24"/>
                <w:lang w:eastAsia="zh-CN"/>
              </w:rPr>
              <w:t>人员经费</w:t>
            </w:r>
            <w:r>
              <w:rPr>
                <w:rFonts w:hint="eastAsia" w:ascii="仿宋" w:hAnsi="仿宋" w:eastAsia="仿宋" w:cs="仿宋"/>
                <w:sz w:val="24"/>
                <w:szCs w:val="24"/>
                <w:lang w:val="en-US" w:eastAsia="zh-CN"/>
              </w:rPr>
              <w:t>512.76</w:t>
            </w:r>
            <w:r>
              <w:rPr>
                <w:rFonts w:hint="eastAsia" w:ascii="仿宋" w:hAnsi="仿宋" w:eastAsia="仿宋" w:cs="仿宋"/>
                <w:sz w:val="24"/>
                <w:szCs w:val="24"/>
              </w:rPr>
              <w:t>万元，</w:t>
            </w:r>
            <w:r>
              <w:rPr>
                <w:rFonts w:hint="eastAsia" w:ascii="仿宋" w:hAnsi="仿宋" w:eastAsia="仿宋" w:cs="仿宋"/>
                <w:sz w:val="24"/>
                <w:szCs w:val="24"/>
                <w:lang w:eastAsia="zh-CN"/>
              </w:rPr>
              <w:t>公用经费</w:t>
            </w:r>
            <w:r>
              <w:rPr>
                <w:rFonts w:hint="eastAsia" w:ascii="仿宋" w:hAnsi="仿宋" w:eastAsia="仿宋" w:cs="仿宋"/>
                <w:sz w:val="24"/>
                <w:szCs w:val="24"/>
                <w:lang w:val="en-US" w:eastAsia="zh-CN"/>
              </w:rPr>
              <w:t>85.39</w:t>
            </w:r>
            <w:r>
              <w:rPr>
                <w:rFonts w:hint="eastAsia" w:ascii="仿宋" w:hAnsi="仿宋" w:eastAsia="仿宋" w:cs="仿宋"/>
                <w:sz w:val="24"/>
                <w:szCs w:val="24"/>
              </w:rPr>
              <w:t>万元，年中追加</w:t>
            </w:r>
            <w:r>
              <w:rPr>
                <w:rFonts w:hint="eastAsia" w:ascii="仿宋" w:hAnsi="仿宋" w:eastAsia="仿宋" w:cs="仿宋"/>
                <w:sz w:val="24"/>
                <w:szCs w:val="24"/>
                <w:lang w:val="en-US" w:eastAsia="zh-CN"/>
              </w:rPr>
              <w:t xml:space="preserve">33.3 </w:t>
            </w:r>
            <w:r>
              <w:rPr>
                <w:rFonts w:hint="eastAsia" w:ascii="仿宋" w:hAnsi="仿宋" w:eastAsia="仿宋" w:cs="仿宋"/>
                <w:sz w:val="24"/>
                <w:szCs w:val="24"/>
              </w:rPr>
              <w:t>万元；</w:t>
            </w:r>
            <w:r>
              <w:rPr>
                <w:rFonts w:hint="eastAsia" w:ascii="仿宋" w:hAnsi="仿宋" w:eastAsia="仿宋" w:cs="仿宋"/>
                <w:color w:val="000000" w:themeColor="text1"/>
                <w:sz w:val="24"/>
                <w:szCs w:val="24"/>
              </w:rPr>
              <w:t>基本支出预算主要用于维持局机关正常行政运行人员工资支出、社会保障支出、办公费、印刷费、宣传费、机关水电费、公务接待费、差旅费等工资福利支出和商品与服务支出及退休人员死亡抚恤等。</w:t>
            </w:r>
          </w:p>
          <w:p w14:paraId="7DD4F3E7">
            <w:pPr>
              <w:pStyle w:val="13"/>
              <w:spacing w:line="560" w:lineRule="exact"/>
              <w:rPr>
                <w:rFonts w:ascii="仿宋" w:hAnsi="仿宋" w:eastAsia="仿宋" w:cs="方正小标宋简体"/>
                <w:sz w:val="24"/>
                <w:szCs w:val="24"/>
              </w:rPr>
            </w:pPr>
            <w:r>
              <w:rPr>
                <w:rFonts w:hint="eastAsia" w:ascii="仿宋" w:hAnsi="仿宋" w:eastAsia="仿宋" w:cs="方正小标宋简体"/>
                <w:sz w:val="24"/>
                <w:szCs w:val="24"/>
              </w:rPr>
              <w:t>（二）项目支出情况</w:t>
            </w:r>
          </w:p>
          <w:p w14:paraId="519600BA">
            <w:pPr>
              <w:spacing w:line="560" w:lineRule="exact"/>
              <w:ind w:firstLine="480" w:firstLineChars="200"/>
              <w:jc w:val="left"/>
              <w:rPr>
                <w:rFonts w:ascii="仿宋" w:hAnsi="仿宋" w:eastAsia="仿宋" w:cs="仿宋"/>
                <w:color w:val="000000" w:themeColor="text1"/>
                <w:sz w:val="24"/>
              </w:rPr>
            </w:pPr>
            <w:r>
              <w:rPr>
                <w:rFonts w:hint="eastAsia" w:ascii="仿宋" w:hAnsi="仿宋" w:eastAsia="仿宋" w:cs="仿宋"/>
                <w:color w:val="000000"/>
                <w:sz w:val="24"/>
              </w:rPr>
              <w:t>202</w:t>
            </w:r>
            <w:r>
              <w:rPr>
                <w:rFonts w:hint="eastAsia" w:ascii="仿宋" w:hAnsi="仿宋" w:eastAsia="仿宋" w:cs="仿宋"/>
                <w:color w:val="000000"/>
                <w:sz w:val="24"/>
                <w:lang w:val="en-US" w:eastAsia="zh-CN"/>
              </w:rPr>
              <w:t>3</w:t>
            </w:r>
            <w:r>
              <w:rPr>
                <w:rFonts w:hint="eastAsia" w:ascii="仿宋" w:hAnsi="仿宋" w:eastAsia="仿宋" w:cs="仿宋"/>
                <w:color w:val="000000"/>
                <w:sz w:val="24"/>
              </w:rPr>
              <w:t>年我局年初部门预算项目支出</w:t>
            </w:r>
            <w:r>
              <w:rPr>
                <w:rFonts w:hint="eastAsia" w:ascii="仿宋" w:hAnsi="仿宋" w:eastAsia="仿宋" w:cs="仿宋"/>
                <w:color w:val="000000"/>
                <w:sz w:val="24"/>
                <w:lang w:val="en-US" w:eastAsia="zh-CN"/>
              </w:rPr>
              <w:t>196.16</w:t>
            </w:r>
            <w:r>
              <w:rPr>
                <w:rFonts w:hint="eastAsia" w:ascii="仿宋" w:hAnsi="仿宋" w:eastAsia="仿宋" w:cs="仿宋"/>
                <w:color w:val="000000"/>
                <w:sz w:val="24"/>
              </w:rPr>
              <w:t>万元，</w:t>
            </w:r>
            <w:r>
              <w:rPr>
                <w:rFonts w:hint="eastAsia" w:ascii="仿宋" w:hAnsi="仿宋" w:eastAsia="仿宋" w:cs="仿宋"/>
                <w:color w:val="000000" w:themeColor="text1"/>
                <w:sz w:val="24"/>
              </w:rPr>
              <w:t>调整项目支出部门预算</w:t>
            </w:r>
            <w:r>
              <w:rPr>
                <w:rFonts w:hint="eastAsia" w:ascii="仿宋" w:hAnsi="仿宋" w:eastAsia="仿宋" w:cs="仿宋"/>
                <w:color w:val="000000" w:themeColor="text1"/>
                <w:sz w:val="24"/>
                <w:lang w:val="en-US" w:eastAsia="zh-CN"/>
              </w:rPr>
              <w:t>5171.54</w:t>
            </w:r>
            <w:r>
              <w:rPr>
                <w:rFonts w:hint="eastAsia" w:ascii="仿宋" w:hAnsi="仿宋" w:eastAsia="仿宋" w:cs="仿宋"/>
                <w:color w:val="000000" w:themeColor="text1"/>
                <w:sz w:val="24"/>
              </w:rPr>
              <w:t>万元（</w:t>
            </w:r>
            <w:r>
              <w:rPr>
                <w:rFonts w:hint="eastAsia" w:ascii="仿宋" w:hAnsi="仿宋" w:eastAsia="仿宋" w:cs="仿宋"/>
                <w:color w:val="000000" w:themeColor="text1"/>
                <w:sz w:val="24"/>
                <w:lang w:eastAsia="zh-CN"/>
              </w:rPr>
              <w:t>其中政府性基金项目支出</w:t>
            </w:r>
            <w:r>
              <w:rPr>
                <w:rFonts w:hint="eastAsia" w:ascii="仿宋" w:hAnsi="仿宋" w:eastAsia="仿宋" w:cs="仿宋"/>
                <w:color w:val="000000" w:themeColor="text1"/>
                <w:sz w:val="24"/>
                <w:lang w:val="en-US" w:eastAsia="zh-CN"/>
              </w:rPr>
              <w:t>4675万元</w:t>
            </w:r>
            <w:r>
              <w:rPr>
                <w:rFonts w:hint="eastAsia" w:ascii="仿宋" w:hAnsi="仿宋" w:eastAsia="仿宋" w:cs="仿宋"/>
                <w:color w:val="000000" w:themeColor="text1"/>
                <w:sz w:val="24"/>
              </w:rPr>
              <w:t>）</w:t>
            </w:r>
            <w:r>
              <w:rPr>
                <w:rFonts w:hint="eastAsia" w:ascii="仿宋" w:hAnsi="仿宋" w:eastAsia="仿宋" w:cs="仿宋"/>
                <w:color w:val="000000" w:themeColor="text1"/>
                <w:sz w:val="24"/>
                <w:lang w:eastAsia="zh-CN"/>
              </w:rPr>
              <w:t>，</w:t>
            </w:r>
            <w:r>
              <w:rPr>
                <w:rFonts w:hint="eastAsia" w:ascii="仿宋" w:hAnsi="仿宋" w:eastAsia="仿宋" w:cs="仿宋"/>
                <w:color w:val="000000" w:themeColor="text1"/>
                <w:sz w:val="24"/>
              </w:rPr>
              <w:t>202</w:t>
            </w:r>
            <w:r>
              <w:rPr>
                <w:rFonts w:hint="eastAsia" w:ascii="仿宋" w:hAnsi="仿宋" w:eastAsia="仿宋" w:cs="仿宋"/>
                <w:color w:val="000000" w:themeColor="text1"/>
                <w:sz w:val="24"/>
                <w:lang w:val="en-US" w:eastAsia="zh-CN"/>
              </w:rPr>
              <w:t>3</w:t>
            </w:r>
            <w:r>
              <w:rPr>
                <w:rFonts w:hint="eastAsia" w:ascii="仿宋" w:hAnsi="仿宋" w:eastAsia="仿宋" w:cs="仿宋"/>
                <w:color w:val="000000" w:themeColor="text1"/>
                <w:sz w:val="24"/>
              </w:rPr>
              <w:t>年项目支出合计</w:t>
            </w:r>
            <w:r>
              <w:rPr>
                <w:rFonts w:hint="eastAsia" w:ascii="仿宋" w:hAnsi="仿宋" w:eastAsia="仿宋" w:cs="仿宋"/>
                <w:color w:val="000000" w:themeColor="text1"/>
                <w:sz w:val="24"/>
                <w:lang w:val="en-US" w:eastAsia="zh-CN"/>
              </w:rPr>
              <w:t>5367.72</w:t>
            </w:r>
            <w:r>
              <w:rPr>
                <w:rFonts w:hint="eastAsia" w:ascii="仿宋" w:hAnsi="仿宋" w:eastAsia="仿宋" w:cs="仿宋"/>
                <w:color w:val="000000" w:themeColor="text1"/>
                <w:sz w:val="24"/>
              </w:rPr>
              <w:t>万元。项目性经费用于开展保障部门职能职责支出和对符合政策的企业给予的政策性补贴及财政贴息、奖励资金支出等。收支平衡，全年无结余。</w:t>
            </w:r>
          </w:p>
          <w:p w14:paraId="59A84F2C">
            <w:pPr>
              <w:spacing w:line="576" w:lineRule="exact"/>
              <w:ind w:right="880" w:rightChars="419"/>
              <w:rPr>
                <w:rFonts w:ascii="仿宋" w:hAnsi="仿宋" w:eastAsia="仿宋" w:cs="方正小标宋简体"/>
                <w:color w:val="auto"/>
                <w:sz w:val="24"/>
              </w:rPr>
            </w:pPr>
            <w:r>
              <w:rPr>
                <w:rFonts w:hint="eastAsia" w:ascii="仿宋" w:hAnsi="仿宋" w:eastAsia="仿宋" w:cs="方正小标宋简体"/>
                <w:color w:val="auto"/>
                <w:sz w:val="24"/>
              </w:rPr>
              <w:t>四、预算资金执行情况</w:t>
            </w:r>
          </w:p>
          <w:p w14:paraId="46673C71">
            <w:pPr>
              <w:spacing w:line="560" w:lineRule="exact"/>
              <w:ind w:firstLine="480" w:firstLineChars="200"/>
              <w:rPr>
                <w:rFonts w:ascii="仿宋" w:hAnsi="仿宋" w:eastAsia="仿宋" w:cs="仿宋"/>
                <w:color w:val="FF0000"/>
                <w:sz w:val="24"/>
              </w:rPr>
            </w:pPr>
            <w:r>
              <w:rPr>
                <w:rFonts w:hint="eastAsia" w:ascii="仿宋" w:hAnsi="仿宋" w:eastAsia="仿宋" w:cs="仿宋"/>
                <w:color w:val="auto"/>
                <w:sz w:val="24"/>
              </w:rPr>
              <w:t>202</w:t>
            </w:r>
            <w:r>
              <w:rPr>
                <w:rFonts w:hint="eastAsia" w:ascii="仿宋" w:hAnsi="仿宋" w:eastAsia="仿宋" w:cs="仿宋"/>
                <w:color w:val="auto"/>
                <w:sz w:val="24"/>
                <w:lang w:val="en-US" w:eastAsia="zh-CN"/>
              </w:rPr>
              <w:t>3</w:t>
            </w:r>
            <w:r>
              <w:rPr>
                <w:rFonts w:hint="eastAsia" w:ascii="仿宋" w:hAnsi="仿宋" w:eastAsia="仿宋" w:cs="仿宋"/>
                <w:color w:val="auto"/>
                <w:sz w:val="24"/>
              </w:rPr>
              <w:t>年我局部门预算支出</w:t>
            </w:r>
            <w:r>
              <w:rPr>
                <w:rFonts w:hint="eastAsia" w:ascii="仿宋" w:hAnsi="仿宋" w:eastAsia="仿宋" w:cs="仿宋"/>
                <w:color w:val="auto"/>
                <w:kern w:val="0"/>
                <w:sz w:val="24"/>
                <w:lang w:val="en-US" w:eastAsia="zh-CN"/>
              </w:rPr>
              <w:t>5999.92</w:t>
            </w:r>
            <w:r>
              <w:rPr>
                <w:rFonts w:hint="eastAsia" w:ascii="仿宋" w:hAnsi="仿宋" w:eastAsia="仿宋" w:cs="仿宋"/>
                <w:color w:val="auto"/>
                <w:kern w:val="0"/>
                <w:sz w:val="24"/>
              </w:rPr>
              <w:t>万</w:t>
            </w:r>
            <w:r>
              <w:rPr>
                <w:rFonts w:ascii="仿宋" w:hAnsi="仿宋" w:eastAsia="仿宋" w:cs="仿宋"/>
                <w:color w:val="auto"/>
                <w:kern w:val="0"/>
                <w:sz w:val="24"/>
              </w:rPr>
              <w:t>元</w:t>
            </w:r>
            <w:r>
              <w:rPr>
                <w:rFonts w:hint="eastAsia" w:ascii="仿宋" w:hAnsi="仿宋" w:eastAsia="仿宋" w:cs="仿宋"/>
                <w:color w:val="auto"/>
                <w:kern w:val="0"/>
                <w:sz w:val="24"/>
              </w:rPr>
              <w:t>,</w:t>
            </w:r>
            <w:r>
              <w:rPr>
                <w:rFonts w:hint="eastAsia" w:ascii="仿宋" w:hAnsi="仿宋" w:eastAsia="仿宋" w:cs="仿宋"/>
                <w:color w:val="auto"/>
                <w:sz w:val="24"/>
              </w:rPr>
              <w:t>用于工资福利支出</w:t>
            </w:r>
            <w:r>
              <w:rPr>
                <w:rFonts w:hint="eastAsia" w:ascii="仿宋" w:hAnsi="仿宋" w:eastAsia="仿宋" w:cs="仿宋"/>
                <w:color w:val="auto"/>
                <w:sz w:val="24"/>
                <w:lang w:val="en-US" w:eastAsia="zh-CN"/>
              </w:rPr>
              <w:t>549.9</w:t>
            </w:r>
            <w:r>
              <w:rPr>
                <w:rFonts w:hint="eastAsia" w:ascii="仿宋" w:hAnsi="仿宋" w:eastAsia="仿宋" w:cs="仿宋"/>
                <w:color w:val="auto"/>
                <w:sz w:val="24"/>
              </w:rPr>
              <w:t xml:space="preserve">万元，商品服务支出 </w:t>
            </w:r>
            <w:r>
              <w:rPr>
                <w:rFonts w:hint="eastAsia" w:ascii="仿宋" w:hAnsi="仿宋" w:eastAsia="仿宋" w:cs="仿宋"/>
                <w:color w:val="auto"/>
                <w:sz w:val="24"/>
                <w:lang w:val="en-US" w:eastAsia="zh-CN"/>
              </w:rPr>
              <w:t>244.29</w:t>
            </w:r>
            <w:r>
              <w:rPr>
                <w:rFonts w:hint="eastAsia" w:ascii="仿宋" w:hAnsi="仿宋" w:eastAsia="仿宋" w:cs="仿宋"/>
                <w:color w:val="auto"/>
                <w:sz w:val="24"/>
              </w:rPr>
              <w:t>万元，对个人及家庭补助支出</w:t>
            </w:r>
            <w:r>
              <w:rPr>
                <w:rFonts w:hint="eastAsia" w:ascii="仿宋" w:hAnsi="仿宋" w:eastAsia="仿宋" w:cs="仿宋"/>
                <w:color w:val="auto"/>
                <w:sz w:val="24"/>
                <w:lang w:val="en-US" w:eastAsia="zh-CN"/>
              </w:rPr>
              <w:t>49.65万</w:t>
            </w:r>
            <w:r>
              <w:rPr>
                <w:rFonts w:hint="eastAsia" w:ascii="仿宋" w:hAnsi="仿宋" w:eastAsia="仿宋" w:cs="仿宋"/>
                <w:color w:val="auto"/>
                <w:sz w:val="24"/>
              </w:rPr>
              <w:t>元</w:t>
            </w:r>
            <w:r>
              <w:rPr>
                <w:rFonts w:hint="eastAsia" w:ascii="仿宋" w:hAnsi="仿宋" w:eastAsia="仿宋" w:cs="仿宋"/>
                <w:color w:val="auto"/>
                <w:sz w:val="24"/>
                <w:lang w:eastAsia="zh-CN"/>
              </w:rPr>
              <w:t>，资本性支出</w:t>
            </w:r>
            <w:r>
              <w:rPr>
                <w:rFonts w:hint="eastAsia" w:ascii="仿宋" w:hAnsi="仿宋" w:eastAsia="仿宋" w:cs="仿宋"/>
                <w:color w:val="auto"/>
                <w:sz w:val="24"/>
                <w:lang w:val="en-US" w:eastAsia="zh-CN"/>
              </w:rPr>
              <w:t>1.45万元，对企业的补助</w:t>
            </w:r>
            <w:r>
              <w:rPr>
                <w:rFonts w:hint="eastAsia" w:ascii="仿宋" w:hAnsi="仿宋" w:eastAsia="仿宋" w:cs="方正小标宋简体"/>
                <w:color w:val="auto"/>
                <w:sz w:val="24"/>
              </w:rPr>
              <w:t>支出</w:t>
            </w:r>
            <w:r>
              <w:rPr>
                <w:rFonts w:hint="eastAsia" w:ascii="仿宋" w:hAnsi="仿宋" w:eastAsia="仿宋" w:cs="方正小标宋简体"/>
                <w:color w:val="auto"/>
                <w:sz w:val="24"/>
                <w:lang w:val="en-US" w:eastAsia="zh-CN"/>
              </w:rPr>
              <w:t>5153.94</w:t>
            </w:r>
            <w:r>
              <w:rPr>
                <w:rFonts w:hint="eastAsia" w:ascii="仿宋" w:hAnsi="仿宋" w:eastAsia="仿宋" w:cs="方正小标宋简体"/>
                <w:color w:val="auto"/>
                <w:sz w:val="24"/>
              </w:rPr>
              <w:t>万元。</w:t>
            </w:r>
          </w:p>
        </w:tc>
      </w:tr>
      <w:tr w14:paraId="3F173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760E48F0">
            <w:pPr>
              <w:spacing w:line="576" w:lineRule="exact"/>
              <w:ind w:right="880" w:rightChars="419"/>
              <w:jc w:val="center"/>
              <w:rPr>
                <w:rFonts w:ascii="仿宋" w:hAnsi="仿宋" w:eastAsia="仿宋" w:cs="方正小标宋简体"/>
                <w:sz w:val="24"/>
              </w:rPr>
            </w:pPr>
          </w:p>
        </w:tc>
        <w:tc>
          <w:tcPr>
            <w:tcW w:w="1985" w:type="dxa"/>
            <w:vAlign w:val="center"/>
          </w:tcPr>
          <w:p w14:paraId="413809C6">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绩效目标完成情况</w:t>
            </w:r>
          </w:p>
        </w:tc>
        <w:tc>
          <w:tcPr>
            <w:tcW w:w="5670" w:type="dxa"/>
            <w:vAlign w:val="center"/>
          </w:tcPr>
          <w:p w14:paraId="2295471B">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一、部门整体绩效成果</w:t>
            </w:r>
          </w:p>
          <w:p w14:paraId="49CBC5D0">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val="en-US" w:eastAsia="zh-CN"/>
              </w:rPr>
              <w:t>2023年我局全面贯彻习近平新时代中国特色社会主义思想和党的二十大精神，坚持稳中求进工作总基调，全面贯彻新发展理念，紧紧围绕省委“三高四新”战略定位和使命任务，市委加快建设“四区一地一圈一强”决策部署和县委“三提一领”发展目标，各项工作稳步推进、成绩显著。</w:t>
            </w:r>
            <w:r>
              <w:rPr>
                <w:rFonts w:hint="eastAsia" w:ascii="仿宋" w:hAnsi="仿宋" w:eastAsia="仿宋" w:cs="仿宋"/>
                <w:color w:val="000000"/>
                <w:sz w:val="24"/>
              </w:rPr>
              <w:t>全年引进“三类500强”项目4个、亿元以上项目</w:t>
            </w:r>
            <w:r>
              <w:rPr>
                <w:rFonts w:hint="eastAsia" w:ascii="仿宋" w:hAnsi="仿宋" w:eastAsia="仿宋" w:cs="仿宋"/>
                <w:color w:val="000000"/>
                <w:sz w:val="24"/>
                <w:lang w:val="en-US" w:eastAsia="zh-CN"/>
              </w:rPr>
              <w:t>20</w:t>
            </w:r>
            <w:r>
              <w:rPr>
                <w:rFonts w:hint="eastAsia" w:ascii="仿宋" w:hAnsi="仿宋" w:eastAsia="仿宋" w:cs="仿宋"/>
                <w:color w:val="000000"/>
                <w:sz w:val="24"/>
              </w:rPr>
              <w:t>个、10亿元以上项目1个，实现到位内资突破140亿元；完成外商直接投资425万美元；1-1</w:t>
            </w:r>
            <w:r>
              <w:rPr>
                <w:rFonts w:hint="eastAsia" w:ascii="仿宋" w:hAnsi="仿宋" w:eastAsia="仿宋" w:cs="仿宋"/>
                <w:color w:val="000000"/>
                <w:sz w:val="24"/>
                <w:lang w:val="en-US" w:eastAsia="zh-CN"/>
              </w:rPr>
              <w:t>2</w:t>
            </w:r>
            <w:r>
              <w:rPr>
                <w:rFonts w:hint="eastAsia" w:ascii="仿宋" w:hAnsi="仿宋" w:eastAsia="仿宋" w:cs="仿宋"/>
                <w:color w:val="000000"/>
                <w:sz w:val="24"/>
              </w:rPr>
              <w:t>月份，全县社会消费品零售总额实现</w:t>
            </w:r>
            <w:r>
              <w:rPr>
                <w:rFonts w:hint="eastAsia" w:ascii="仿宋" w:hAnsi="仿宋" w:eastAsia="仿宋" w:cs="仿宋"/>
                <w:color w:val="000000"/>
                <w:sz w:val="24"/>
                <w:lang w:val="en-US" w:eastAsia="zh-CN"/>
              </w:rPr>
              <w:t>141.3</w:t>
            </w:r>
            <w:r>
              <w:rPr>
                <w:rFonts w:hint="eastAsia" w:ascii="仿宋" w:hAnsi="仿宋" w:eastAsia="仿宋" w:cs="仿宋"/>
                <w:color w:val="000000"/>
                <w:sz w:val="24"/>
              </w:rPr>
              <w:t>亿元，增速9.</w:t>
            </w:r>
            <w:r>
              <w:rPr>
                <w:rFonts w:hint="eastAsia" w:ascii="仿宋" w:hAnsi="仿宋" w:eastAsia="仿宋" w:cs="仿宋"/>
                <w:color w:val="000000"/>
                <w:sz w:val="24"/>
                <w:lang w:val="en-US" w:eastAsia="zh-CN"/>
              </w:rPr>
              <w:t>1</w:t>
            </w:r>
            <w:r>
              <w:rPr>
                <w:rFonts w:hint="eastAsia" w:ascii="仿宋" w:hAnsi="仿宋" w:eastAsia="仿宋" w:cs="仿宋"/>
                <w:color w:val="000000"/>
                <w:sz w:val="24"/>
              </w:rPr>
              <w:t>%。全县商务经济指标目标任务全面完成，</w:t>
            </w:r>
            <w:r>
              <w:rPr>
                <w:rFonts w:hint="eastAsia" w:ascii="仿宋" w:hAnsi="仿宋" w:eastAsia="仿宋" w:cs="仿宋"/>
                <w:color w:val="000000"/>
                <w:sz w:val="24"/>
                <w:lang w:val="en-US" w:eastAsia="zh-CN"/>
              </w:rPr>
              <w:t>成功</w:t>
            </w:r>
            <w:r>
              <w:rPr>
                <w:rFonts w:hint="eastAsia" w:ascii="仿宋" w:hAnsi="仿宋" w:eastAsia="仿宋" w:cs="仿宋"/>
                <w:color w:val="000000"/>
                <w:sz w:val="24"/>
              </w:rPr>
              <w:t>入选全国县域商业建设“领跑县”</w:t>
            </w:r>
            <w:r>
              <w:rPr>
                <w:rFonts w:hint="eastAsia" w:ascii="仿宋" w:hAnsi="仿宋" w:eastAsia="仿宋" w:cs="仿宋"/>
                <w:color w:val="000000"/>
                <w:sz w:val="24"/>
                <w:lang w:eastAsia="zh-CN"/>
              </w:rPr>
              <w:t>、</w:t>
            </w:r>
            <w:r>
              <w:rPr>
                <w:rFonts w:hint="eastAsia" w:ascii="仿宋" w:hAnsi="仿宋" w:eastAsia="仿宋" w:cs="仿宋"/>
                <w:color w:val="000000"/>
                <w:sz w:val="24"/>
              </w:rPr>
              <w:t>成功创建县域外贸特色产业（湘莲）集群试点</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湖南省</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天易江湾广场成功创建市级夜经济聚集区</w:t>
            </w:r>
            <w:r>
              <w:rPr>
                <w:rFonts w:hint="eastAsia" w:ascii="仿宋" w:hAnsi="仿宋" w:eastAsia="仿宋" w:cs="仿宋"/>
                <w:color w:val="000000"/>
                <w:sz w:val="24"/>
                <w:lang w:eastAsia="zh-CN"/>
              </w:rPr>
              <w:t>。</w:t>
            </w:r>
            <w:r>
              <w:rPr>
                <w:rFonts w:hint="eastAsia" w:ascii="仿宋" w:hAnsi="仿宋" w:eastAsia="仿宋" w:cs="仿宋"/>
                <w:color w:val="000000"/>
                <w:sz w:val="24"/>
              </w:rPr>
              <w:t>“莲乡土货帮帮团”公益助农典型经验</w:t>
            </w:r>
            <w:r>
              <w:rPr>
                <w:rFonts w:hint="eastAsia" w:ascii="仿宋" w:hAnsi="仿宋" w:eastAsia="仿宋" w:cs="仿宋"/>
                <w:color w:val="000000"/>
                <w:sz w:val="24"/>
                <w:lang w:val="en-US" w:eastAsia="zh-CN"/>
              </w:rPr>
              <w:t>被</w:t>
            </w:r>
            <w:r>
              <w:rPr>
                <w:rFonts w:hint="eastAsia" w:ascii="仿宋" w:hAnsi="仿宋" w:eastAsia="仿宋" w:cs="仿宋"/>
                <w:color w:val="000000"/>
                <w:sz w:val="24"/>
              </w:rPr>
              <w:t>市委、市政府主办的《今日湘潭》刊载，</w:t>
            </w:r>
            <w:r>
              <w:rPr>
                <w:rFonts w:hint="eastAsia" w:ascii="仿宋" w:hAnsi="仿宋" w:eastAsia="仿宋" w:cs="仿宋"/>
                <w:color w:val="000000"/>
                <w:sz w:val="24"/>
                <w:lang w:val="en-US" w:eastAsia="zh-CN"/>
              </w:rPr>
              <w:t>并</w:t>
            </w:r>
            <w:r>
              <w:rPr>
                <w:rFonts w:hint="eastAsia" w:ascii="仿宋" w:hAnsi="仿宋" w:eastAsia="仿宋" w:cs="仿宋"/>
                <w:color w:val="000000"/>
                <w:sz w:val="24"/>
              </w:rPr>
              <w:t>在湘潭市委政策研究室主编的《领导参阅》发表，得到市委主要领导批示</w:t>
            </w:r>
            <w:r>
              <w:rPr>
                <w:rFonts w:hint="eastAsia" w:ascii="仿宋" w:hAnsi="仿宋" w:eastAsia="仿宋" w:cs="仿宋"/>
                <w:color w:val="000000"/>
                <w:sz w:val="24"/>
                <w:lang w:eastAsia="zh-CN"/>
              </w:rPr>
              <w:t>，</w:t>
            </w:r>
            <w:r>
              <w:rPr>
                <w:rFonts w:hint="eastAsia" w:ascii="仿宋" w:hAnsi="仿宋" w:eastAsia="仿宋" w:cs="仿宋"/>
                <w:color w:val="000000"/>
                <w:sz w:val="24"/>
              </w:rPr>
              <w:t>入选2023年湘潭市全面深化改革优秀创新案例</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在人民网湖南频道刊发。</w:t>
            </w:r>
          </w:p>
          <w:p w14:paraId="24D25BEC">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坚持抓重点，招商引资成绩</w:t>
            </w:r>
            <w:r>
              <w:rPr>
                <w:rFonts w:hint="eastAsia" w:ascii="仿宋" w:hAnsi="仿宋" w:eastAsia="仿宋" w:cs="仿宋"/>
                <w:color w:val="000000"/>
                <w:sz w:val="24"/>
                <w:lang w:val="en-US" w:eastAsia="zh-CN"/>
              </w:rPr>
              <w:t>喜人</w:t>
            </w:r>
            <w:r>
              <w:rPr>
                <w:rFonts w:hint="eastAsia" w:ascii="仿宋" w:hAnsi="仿宋" w:eastAsia="仿宋" w:cs="仿宋"/>
                <w:color w:val="000000"/>
                <w:sz w:val="24"/>
              </w:rPr>
              <w:t>。</w:t>
            </w:r>
          </w:p>
          <w:p w14:paraId="003109D1">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是项目招商成效明显。坚持“一把手”带队招商，发挥商协会和县一中校友会优势，举办各类座谈会，专场推介会30余场次。天易经开区获评全市招商引资工作三季度“骏马奖”。杨河循环经济产业园、青山桥皮鞋工业园、茶恩寺竹木产业园、花石湘莲产业园等乡镇园区新引进项目31个，镇域发展后劲不断增强。二是湘商回归成绩突出。通过加强与县籍知名人士联络与对接，充分发挥商协会等桥梁纽带作用，全年引进湘商回归项目19个，实现到位资金35亿元，两项成绩均列全市第一。</w:t>
            </w:r>
          </w:p>
          <w:p w14:paraId="7C78741B">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坚持展亮点，电商工作表现突出。</w:t>
            </w:r>
          </w:p>
          <w:p w14:paraId="66C9EF05">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是聚力直播电商。为助推农村电商提质增效，组织举办了10多个线上线下活动，为莲乡广大农特产品企业、经销商和消费者搭建了交易平台，促进了“网货下乡、农货进城”双向流通。全年共计线上销售达1200万元，线下销售约100万元。二是强化电商服务中心枢纽作用。为入驻企业及创业人员提供综合性电商公共服务，目前电商公共服务中心已入驻5家电商企业，涉及食品、湘莲等特色农产品推广和销售。加大电商人才培训力度，全年组织开展了4期农村电商技能培训班，共计300多人次参加。推进村级服务站点升级改造工作，全年对乡村电商公共服务站点开展了一系列巩固提升工作，对50个站点进行提质改造，打通了服务群众的“最后一公里”。三是打造“莲乡土货帮帮团”电商品牌。“莲乡土货帮帮团”公益助农典型经验分别被《人民网》《中国改革网》《今日湘潭》《领导参阅》等媒体平台报道刊载，入选2023年湘潭市全面深化改革优秀创新案例。</w:t>
            </w:r>
          </w:p>
          <w:p w14:paraId="7C454CE7">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三</w:t>
            </w:r>
            <w:r>
              <w:rPr>
                <w:rFonts w:hint="eastAsia" w:ascii="仿宋" w:hAnsi="仿宋" w:eastAsia="仿宋" w:cs="仿宋"/>
                <w:color w:val="000000"/>
                <w:sz w:val="24"/>
                <w:lang w:eastAsia="zh-CN"/>
              </w:rPr>
              <w:t>）坚持聚焦点，县域消费不断升级。</w:t>
            </w:r>
          </w:p>
          <w:p w14:paraId="59A8427D">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2023年，我县持续丰富县域经济消费业态，积极扩大内需，集聚消费点，县域消费稳步提升。一是举办了2023年“炫彩暖冬 嗨购莲乡”湘潭县网上年货节消费活动节等10多个大型线上线下活动，活动期间，湘潭县县城消费、步步高等大型商超人流量、销售额创近五年新高。二是打好促消费组合拳，开展消费券促消活动。全县共有69家商贸企业和70余个门店参加消费券活动，并举办新能源汽车下乡专场活动。三是开展了繁荣夜经济等专题系列活动，天易江湾广场已成功创建市级夜经济聚集区，繁荣夜经济聚集模式被“央广网”等中央、省、市媒体报道。</w:t>
            </w:r>
          </w:p>
          <w:p w14:paraId="4713533C">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四</w:t>
            </w:r>
            <w:r>
              <w:rPr>
                <w:rFonts w:hint="eastAsia" w:ascii="仿宋" w:hAnsi="仿宋" w:eastAsia="仿宋" w:cs="仿宋"/>
                <w:color w:val="000000"/>
                <w:sz w:val="24"/>
                <w:lang w:eastAsia="zh-CN"/>
              </w:rPr>
              <w:t>）坚持架支点，商业体系建设持续完善。</w:t>
            </w:r>
          </w:p>
          <w:p w14:paraId="28187312">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是站在城乡商贸体系一体化，推动新型城镇化建设高度，对17个乡镇的75处集贸市场走访调研，形成调研报告，并对乡镇商贸发展提出优化建议。二是建立县域商贸流通企业库，以项目为引领，培育壮大本地商贸流通企业，成功申报9个项目进入省商务厅公示的项目正式库，争取资金634万元。三是制定《湘潭县县域商业三年行动（2023-2025年）实施方案》，建立以县城为中心、乡镇为重点，村为基础的农村商业体系</w:t>
            </w:r>
            <w:r>
              <w:rPr>
                <w:rFonts w:hint="eastAsia" w:ascii="仿宋" w:hAnsi="仿宋" w:eastAsia="仿宋" w:cs="仿宋"/>
                <w:color w:val="000000"/>
                <w:sz w:val="24"/>
                <w:lang w:eastAsia="zh-CN"/>
              </w:rPr>
              <w:t>，</w:t>
            </w:r>
            <w:r>
              <w:rPr>
                <w:rFonts w:hint="eastAsia" w:ascii="仿宋" w:hAnsi="仿宋" w:eastAsia="仿宋" w:cs="仿宋"/>
                <w:color w:val="000000"/>
                <w:sz w:val="24"/>
              </w:rPr>
              <w:t>湘潭县成功入选首批全国县域商业“领跑县”。</w:t>
            </w:r>
          </w:p>
          <w:p w14:paraId="4B77A43C">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五</w:t>
            </w:r>
            <w:r>
              <w:rPr>
                <w:rFonts w:hint="eastAsia" w:ascii="仿宋" w:hAnsi="仿宋" w:eastAsia="仿宋" w:cs="仿宋"/>
                <w:color w:val="000000"/>
                <w:sz w:val="24"/>
                <w:lang w:eastAsia="zh-CN"/>
              </w:rPr>
              <w:t>）坚持攻难点，外向型经济赋能增效。</w:t>
            </w:r>
          </w:p>
          <w:p w14:paraId="1CF60165">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指导企业申报项目资金，积极争取上级政策支持，帮助企业降低成本，提升信心，做好了2023年外贸促进资金、中非经贸深度合作先行区建设促进资金、企业数字化转型资金的申报工作；多次赴青山桥皮鞋工业园、佳海食品产业园等园区和企业进行走访并召开座谈会，对产品出口进行全流程指导，现场解答企业在出口退税、国际物流等环节中所遇到的问题。积极寻找外贸突破点，与柬埔寨湖南商会对接交流，促进</w:t>
            </w:r>
            <w:r>
              <w:rPr>
                <w:rFonts w:hint="eastAsia" w:ascii="仿宋" w:hAnsi="仿宋" w:eastAsia="仿宋" w:cs="仿宋"/>
                <w:color w:val="000000"/>
                <w:sz w:val="24"/>
                <w:lang w:val="en-US" w:eastAsia="zh-CN"/>
              </w:rPr>
              <w:t>湘莲</w:t>
            </w:r>
            <w:r>
              <w:rPr>
                <w:rFonts w:hint="eastAsia" w:ascii="仿宋" w:hAnsi="仿宋" w:eastAsia="仿宋" w:cs="仿宋"/>
                <w:color w:val="000000"/>
                <w:sz w:val="24"/>
              </w:rPr>
              <w:t>进</w:t>
            </w:r>
            <w:r>
              <w:rPr>
                <w:rFonts w:hint="eastAsia" w:ascii="仿宋" w:hAnsi="仿宋" w:eastAsia="仿宋" w:cs="仿宋"/>
                <w:color w:val="000000"/>
                <w:sz w:val="24"/>
                <w:lang w:val="en-US" w:eastAsia="zh-CN"/>
              </w:rPr>
              <w:t>出</w:t>
            </w:r>
            <w:r>
              <w:rPr>
                <w:rFonts w:hint="eastAsia" w:ascii="仿宋" w:hAnsi="仿宋" w:eastAsia="仿宋" w:cs="仿宋"/>
                <w:color w:val="000000"/>
                <w:sz w:val="24"/>
              </w:rPr>
              <w:t>口的相关工作，成功创建了县域外贸特色产业（湘莲）集群试点。</w:t>
            </w:r>
          </w:p>
          <w:p w14:paraId="27F28062">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六</w:t>
            </w:r>
            <w:r>
              <w:rPr>
                <w:rFonts w:hint="eastAsia" w:ascii="仿宋" w:hAnsi="仿宋" w:eastAsia="仿宋" w:cs="仿宋"/>
                <w:color w:val="000000"/>
                <w:sz w:val="24"/>
                <w:lang w:eastAsia="zh-CN"/>
              </w:rPr>
              <w:t>）坚持夯基点，安全生产从严从实。</w:t>
            </w:r>
          </w:p>
          <w:p w14:paraId="036B8B1F">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牵头组织成品油市场“打非治违”百日行动，对全县加油站行业市场经营秩序进行了整顿规范。联合县市场监管局、县应急管理局等部门，对全县84家加油站点开展安全生产专项督查。扎实开展全县餐饮企业燃气使用安全隐患大排查大整治行动。积极配合燃气主管单位，对县城范围1608家餐饮燃气门店进行上门宣传、现场督查和问题摸排，开展商场、超市生产经营租住自建房重大火灾风险综合治理，效果明显。指导城区大型商业综合体、商超、加油站定期开展应急演练，切实提升企业安全防范能力。6月份，在中石化金霞加油站，与县</w:t>
            </w:r>
            <w:r>
              <w:rPr>
                <w:rFonts w:hint="eastAsia" w:ascii="仿宋" w:hAnsi="仿宋" w:eastAsia="仿宋" w:cs="仿宋"/>
                <w:color w:val="000000"/>
                <w:sz w:val="24"/>
                <w:lang w:val="en-US" w:eastAsia="zh-CN"/>
              </w:rPr>
              <w:t>应</w:t>
            </w:r>
            <w:bookmarkStart w:id="0" w:name="_GoBack"/>
            <w:bookmarkEnd w:id="0"/>
            <w:r>
              <w:rPr>
                <w:rFonts w:hint="eastAsia" w:ascii="仿宋" w:hAnsi="仿宋" w:eastAsia="仿宋" w:cs="仿宋"/>
                <w:color w:val="000000"/>
                <w:sz w:val="24"/>
              </w:rPr>
              <w:t>急管理局、县消防救援大队联合举办商贸流通领域消防安全应急演练观摩会，得到市县领导充分肯定。</w:t>
            </w:r>
          </w:p>
          <w:p w14:paraId="1BB4D49C">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二、部门效益情况分析</w:t>
            </w:r>
          </w:p>
          <w:p w14:paraId="60213B6E">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（一）经济性分析</w:t>
            </w:r>
          </w:p>
          <w:p w14:paraId="18759793">
            <w:pPr>
              <w:pStyle w:val="14"/>
              <w:spacing w:line="560" w:lineRule="exact"/>
              <w:ind w:firstLine="480" w:firstLineChars="200"/>
              <w:rPr>
                <w:rFonts w:ascii="仿宋" w:hAnsi="仿宋" w:eastAsia="仿宋" w:cs="仿宋"/>
                <w:color w:val="000000" w:themeColor="text1"/>
                <w:kern w:val="2"/>
                <w:sz w:val="24"/>
                <w:szCs w:val="24"/>
              </w:rPr>
            </w:pPr>
            <w:r>
              <w:rPr>
                <w:rFonts w:hint="eastAsia" w:ascii="仿宋" w:hAnsi="仿宋" w:eastAsia="仿宋" w:cs="仿宋"/>
                <w:color w:val="000000" w:themeColor="text1"/>
                <w:kern w:val="2"/>
                <w:sz w:val="24"/>
                <w:szCs w:val="24"/>
              </w:rPr>
              <w:t>我局始终认真贯彻执行《会计法》、《预算法》、《行政单位会计制度》等法律法规，各项经费支出严格按照政府采购、国库集中支付及预算管理等有关规定执行。同时我局先后制订了《湘潭商务局财务管理办法》、《湘潭县专项资金管理办法》、《湘潭县商务局差旅费管理办法》等相关制度，明确了经费审批权限及程序，经费预算、核算管理、资产购置与处置、财务监督等。特别是在“三公”经费管理方面，规范了公务接待和公务用车的审批管理，较好地控制了行政运行成本。</w:t>
            </w:r>
          </w:p>
          <w:p w14:paraId="648F6DBF">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（二）效率性分析</w:t>
            </w:r>
          </w:p>
          <w:p w14:paraId="05856E84">
            <w:pPr>
              <w:pStyle w:val="14"/>
              <w:spacing w:line="560" w:lineRule="exact"/>
              <w:ind w:firstLine="480" w:firstLineChars="200"/>
              <w:rPr>
                <w:rFonts w:ascii="仿宋" w:hAnsi="仿宋" w:eastAsia="仿宋" w:cs="仿宋"/>
                <w:color w:val="000000" w:themeColor="text1"/>
                <w:kern w:val="2"/>
                <w:sz w:val="24"/>
                <w:szCs w:val="24"/>
              </w:rPr>
            </w:pPr>
            <w:r>
              <w:rPr>
                <w:rFonts w:hint="eastAsia" w:ascii="仿宋" w:hAnsi="仿宋" w:eastAsia="仿宋" w:cs="仿宋"/>
                <w:color w:val="000000" w:themeColor="text1"/>
                <w:kern w:val="2"/>
                <w:sz w:val="24"/>
                <w:szCs w:val="24"/>
              </w:rPr>
              <w:t>根据实际需求，按时支付各项支出。保证了局机关各项工作的正常运转和相关人员的福利待遇，完成质量基本达到绩效目标。</w:t>
            </w:r>
          </w:p>
          <w:p w14:paraId="2483CA4F">
            <w:pPr>
              <w:spacing w:line="576" w:lineRule="exact"/>
              <w:ind w:right="880" w:rightChars="419"/>
              <w:rPr>
                <w:rFonts w:ascii="仿宋" w:hAnsi="仿宋" w:eastAsia="仿宋" w:cs="方正小标宋简体"/>
                <w:sz w:val="24"/>
              </w:rPr>
            </w:pPr>
            <w:r>
              <w:rPr>
                <w:rFonts w:hint="eastAsia" w:ascii="仿宋" w:hAnsi="仿宋" w:eastAsia="仿宋" w:cs="方正小标宋简体"/>
                <w:sz w:val="24"/>
              </w:rPr>
              <w:t>（三）可持续性分析</w:t>
            </w:r>
          </w:p>
          <w:p w14:paraId="212B42A1">
            <w:pPr>
              <w:spacing w:line="576" w:lineRule="exact"/>
              <w:ind w:right="880" w:rightChars="419"/>
              <w:jc w:val="left"/>
              <w:rPr>
                <w:rFonts w:ascii="仿宋" w:hAnsi="仿宋" w:eastAsia="仿宋" w:cs="方正小标宋简体"/>
                <w:sz w:val="24"/>
              </w:rPr>
            </w:pPr>
            <w:r>
              <w:rPr>
                <w:rFonts w:hint="eastAsia" w:ascii="仿宋" w:hAnsi="仿宋" w:eastAsia="仿宋" w:cs="方正小标宋简体"/>
                <w:sz w:val="24"/>
              </w:rPr>
              <w:t xml:space="preserve">    202</w:t>
            </w:r>
            <w:r>
              <w:rPr>
                <w:rFonts w:hint="eastAsia" w:ascii="仿宋" w:hAnsi="仿宋" w:eastAsia="仿宋" w:cs="方正小标宋简体"/>
                <w:sz w:val="24"/>
                <w:lang w:val="en-US" w:eastAsia="zh-CN"/>
              </w:rPr>
              <w:t>3</w:t>
            </w:r>
            <w:r>
              <w:rPr>
                <w:rFonts w:hint="eastAsia" w:ascii="仿宋" w:hAnsi="仿宋" w:eastAsia="仿宋" w:cs="方正小标宋简体"/>
                <w:sz w:val="24"/>
              </w:rPr>
              <w:t>年度我单位圆满完成预期目标，取得了较好的经济和社会评价，企业和群众满意度高。</w:t>
            </w:r>
          </w:p>
        </w:tc>
      </w:tr>
      <w:tr w14:paraId="3FFAD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698D6AD8">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存在的问题分析及改进措施</w:t>
            </w:r>
          </w:p>
        </w:tc>
        <w:tc>
          <w:tcPr>
            <w:tcW w:w="1985" w:type="dxa"/>
            <w:vAlign w:val="center"/>
          </w:tcPr>
          <w:p w14:paraId="3A4B074B">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存在的问题</w:t>
            </w:r>
          </w:p>
        </w:tc>
        <w:tc>
          <w:tcPr>
            <w:tcW w:w="5670" w:type="dxa"/>
            <w:vAlign w:val="center"/>
          </w:tcPr>
          <w:p w14:paraId="619D4933">
            <w:pPr>
              <w:pStyle w:val="13"/>
              <w:spacing w:line="56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（一）预算执行存在偏差。年度中心工作存在不确定性，专项资金难以预计，导致预算编制与实际执行有差异。公用经费的控制和核算还有待进一步加强，预算资金安排中，行政经费安排不足。</w:t>
            </w:r>
          </w:p>
          <w:p w14:paraId="2FEE0986">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（二）财务</w:t>
            </w:r>
            <w:r>
              <w:rPr>
                <w:rFonts w:ascii="仿宋" w:hAnsi="仿宋" w:eastAsia="仿宋" w:cs="仿宋"/>
                <w:color w:val="000000" w:themeColor="text1"/>
                <w:sz w:val="24"/>
              </w:rPr>
              <w:t>政策学习</w:t>
            </w:r>
            <w:r>
              <w:rPr>
                <w:rFonts w:hint="eastAsia" w:ascii="仿宋" w:hAnsi="仿宋" w:eastAsia="仿宋" w:cs="仿宋"/>
                <w:color w:val="000000" w:themeColor="text1"/>
                <w:sz w:val="24"/>
              </w:rPr>
              <w:t>及培训力度不够。</w:t>
            </w:r>
            <w:r>
              <w:rPr>
                <w:rFonts w:ascii="仿宋" w:hAnsi="仿宋" w:eastAsia="仿宋" w:cs="仿宋"/>
                <w:color w:val="000000" w:themeColor="text1"/>
                <w:sz w:val="24"/>
              </w:rPr>
              <w:t>财务人员素质</w:t>
            </w:r>
            <w:r>
              <w:rPr>
                <w:rFonts w:hint="eastAsia" w:ascii="仿宋" w:hAnsi="仿宋" w:eastAsia="仿宋" w:cs="仿宋"/>
                <w:color w:val="000000" w:themeColor="text1"/>
                <w:sz w:val="24"/>
              </w:rPr>
              <w:t>以及</w:t>
            </w:r>
            <w:r>
              <w:rPr>
                <w:rFonts w:ascii="仿宋" w:hAnsi="仿宋" w:eastAsia="仿宋" w:cs="仿宋"/>
                <w:color w:val="000000" w:themeColor="text1"/>
                <w:sz w:val="24"/>
              </w:rPr>
              <w:t>财务核算</w:t>
            </w:r>
            <w:r>
              <w:rPr>
                <w:rFonts w:hint="eastAsia" w:ascii="仿宋" w:hAnsi="仿宋" w:eastAsia="仿宋" w:cs="仿宋"/>
                <w:color w:val="000000" w:themeColor="text1"/>
                <w:sz w:val="24"/>
              </w:rPr>
              <w:t>能力仍需提高</w:t>
            </w:r>
            <w:r>
              <w:rPr>
                <w:rFonts w:ascii="仿宋" w:hAnsi="仿宋" w:eastAsia="仿宋" w:cs="仿宋"/>
                <w:color w:val="000000" w:themeColor="text1"/>
                <w:sz w:val="24"/>
              </w:rPr>
              <w:t>。</w:t>
            </w:r>
          </w:p>
        </w:tc>
      </w:tr>
      <w:tr w14:paraId="6A758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1BFF0D06">
            <w:pPr>
              <w:spacing w:line="576" w:lineRule="exact"/>
              <w:ind w:right="880" w:rightChars="419"/>
              <w:jc w:val="center"/>
              <w:rPr>
                <w:rFonts w:ascii="仿宋" w:hAnsi="仿宋" w:eastAsia="仿宋" w:cs="方正小标宋简体"/>
                <w:sz w:val="24"/>
              </w:rPr>
            </w:pPr>
          </w:p>
        </w:tc>
        <w:tc>
          <w:tcPr>
            <w:tcW w:w="1985" w:type="dxa"/>
            <w:vAlign w:val="center"/>
          </w:tcPr>
          <w:p w14:paraId="1EB9C29C">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改进措施</w:t>
            </w:r>
          </w:p>
        </w:tc>
        <w:tc>
          <w:tcPr>
            <w:tcW w:w="5670" w:type="dxa"/>
            <w:vAlign w:val="center"/>
          </w:tcPr>
          <w:p w14:paraId="0CCB1104">
            <w:pPr>
              <w:pStyle w:val="13"/>
              <w:spacing w:line="56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一）规范账务处理，提高财务信息质量。严格按照《会计法》、《行政单位会计制度》、《行政单位财务规则》等规定执行财务核算，并结合实际情况，完整、准确地披露相关信息，尽可能地做到决算与预算相衔接。</w:t>
            </w:r>
          </w:p>
          <w:p w14:paraId="4AE004AA">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（二）进一步贯彻落实中央八项规定和省委九条规定。建立本部门“三公经费”等公务支出管理制度及厉行节约制度，加强经费审批和控制，规范支出标准与范围，并严格执行。</w:t>
            </w:r>
          </w:p>
          <w:p w14:paraId="451325A6">
            <w:pPr>
              <w:pStyle w:val="13"/>
              <w:spacing w:line="56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 xml:space="preserve">（三）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  </w:t>
            </w:r>
          </w:p>
          <w:p w14:paraId="6300BB08">
            <w:pPr>
              <w:spacing w:line="576" w:lineRule="exact"/>
              <w:ind w:right="880" w:rightChars="419"/>
              <w:jc w:val="center"/>
              <w:rPr>
                <w:rFonts w:ascii="仿宋" w:hAnsi="仿宋" w:eastAsia="仿宋" w:cs="方正小标宋简体"/>
                <w:sz w:val="24"/>
              </w:rPr>
            </w:pPr>
          </w:p>
        </w:tc>
      </w:tr>
      <w:tr w14:paraId="77B59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522D63EF">
            <w:pPr>
              <w:spacing w:line="576" w:lineRule="exact"/>
              <w:ind w:right="880" w:rightChars="419"/>
              <w:jc w:val="center"/>
              <w:rPr>
                <w:rFonts w:ascii="仿宋" w:hAnsi="仿宋" w:eastAsia="仿宋" w:cs="方正小标宋简体"/>
                <w:sz w:val="24"/>
              </w:rPr>
            </w:pPr>
          </w:p>
        </w:tc>
        <w:tc>
          <w:tcPr>
            <w:tcW w:w="1985" w:type="dxa"/>
            <w:vAlign w:val="center"/>
          </w:tcPr>
          <w:p w14:paraId="28B2E4B9">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其他需要说明问题</w:t>
            </w:r>
          </w:p>
        </w:tc>
        <w:tc>
          <w:tcPr>
            <w:tcW w:w="5670" w:type="dxa"/>
            <w:vAlign w:val="center"/>
          </w:tcPr>
          <w:p w14:paraId="77ED88A5">
            <w:pPr>
              <w:spacing w:line="576" w:lineRule="exact"/>
              <w:ind w:right="880" w:rightChars="419"/>
              <w:jc w:val="center"/>
              <w:rPr>
                <w:rFonts w:ascii="仿宋" w:hAnsi="仿宋" w:eastAsia="仿宋" w:cs="方正小标宋简体"/>
                <w:sz w:val="24"/>
              </w:rPr>
            </w:pPr>
            <w:r>
              <w:rPr>
                <w:rFonts w:hint="eastAsia" w:ascii="仿宋" w:hAnsi="仿宋" w:eastAsia="仿宋" w:cs="方正小标宋简体"/>
                <w:sz w:val="24"/>
              </w:rPr>
              <w:t>无</w:t>
            </w:r>
          </w:p>
        </w:tc>
      </w:tr>
    </w:tbl>
    <w:p w14:paraId="2FA369FB">
      <w:pPr>
        <w:spacing w:line="576" w:lineRule="exact"/>
        <w:ind w:right="880" w:rightChars="419"/>
        <w:jc w:val="center"/>
        <w:rPr>
          <w:rFonts w:ascii="仿宋" w:hAnsi="仿宋" w:eastAsia="仿宋" w:cs="方正小标宋简体"/>
          <w:sz w:val="24"/>
        </w:rPr>
      </w:pPr>
    </w:p>
    <w:p w14:paraId="3C258C24">
      <w:pPr>
        <w:spacing w:line="576" w:lineRule="exact"/>
        <w:ind w:right="880" w:rightChars="419"/>
        <w:jc w:val="center"/>
        <w:rPr>
          <w:rFonts w:ascii="仿宋" w:hAnsi="仿宋" w:eastAsia="仿宋" w:cs="方正小标宋简体"/>
          <w:sz w:val="24"/>
        </w:rPr>
      </w:pPr>
    </w:p>
    <w:p w14:paraId="41CD7212">
      <w:pPr>
        <w:spacing w:line="576" w:lineRule="exact"/>
        <w:ind w:right="880" w:rightChars="419"/>
        <w:jc w:val="center"/>
        <w:rPr>
          <w:rFonts w:ascii="仿宋" w:hAnsi="仿宋" w:eastAsia="仿宋" w:cs="方正小标宋简体"/>
          <w:sz w:val="24"/>
        </w:rPr>
      </w:pPr>
    </w:p>
    <w:p w14:paraId="23073105">
      <w:pPr>
        <w:spacing w:line="576" w:lineRule="exact"/>
        <w:ind w:right="880" w:rightChars="419"/>
        <w:rPr>
          <w:rFonts w:ascii="仿宋" w:hAnsi="仿宋" w:eastAsia="仿宋" w:cs="方正小标宋简体"/>
          <w:sz w:val="24"/>
        </w:rPr>
      </w:pPr>
    </w:p>
    <w:p w14:paraId="2C9430EC">
      <w:pPr>
        <w:spacing w:line="576" w:lineRule="exact"/>
        <w:ind w:right="880" w:rightChars="419"/>
        <w:rPr>
          <w:rFonts w:ascii="仿宋" w:hAnsi="仿宋" w:eastAsia="仿宋" w:cs="方正小标宋简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M2RkMWNkMjZkOWE2MjExNDBlMWEyYTY0MjVhZjAifQ=="/>
  </w:docVars>
  <w:rsids>
    <w:rsidRoot w:val="00E847E2"/>
    <w:rsid w:val="00014489"/>
    <w:rsid w:val="000250F9"/>
    <w:rsid w:val="000471BA"/>
    <w:rsid w:val="000619FF"/>
    <w:rsid w:val="00080EE5"/>
    <w:rsid w:val="000D3456"/>
    <w:rsid w:val="000F032A"/>
    <w:rsid w:val="000F6EF1"/>
    <w:rsid w:val="0015144E"/>
    <w:rsid w:val="001905AC"/>
    <w:rsid w:val="001971CF"/>
    <w:rsid w:val="001A3B29"/>
    <w:rsid w:val="001B24C2"/>
    <w:rsid w:val="001B3A2E"/>
    <w:rsid w:val="001D3070"/>
    <w:rsid w:val="00212FC2"/>
    <w:rsid w:val="002173C8"/>
    <w:rsid w:val="00261B27"/>
    <w:rsid w:val="002A04AB"/>
    <w:rsid w:val="002A04E8"/>
    <w:rsid w:val="002A117B"/>
    <w:rsid w:val="002C105D"/>
    <w:rsid w:val="00325C36"/>
    <w:rsid w:val="00342E3E"/>
    <w:rsid w:val="003579B8"/>
    <w:rsid w:val="0043272A"/>
    <w:rsid w:val="0044726E"/>
    <w:rsid w:val="00464DC7"/>
    <w:rsid w:val="004A4A7E"/>
    <w:rsid w:val="004C616F"/>
    <w:rsid w:val="0051316A"/>
    <w:rsid w:val="0052046E"/>
    <w:rsid w:val="005604E6"/>
    <w:rsid w:val="00580C8B"/>
    <w:rsid w:val="005B5E93"/>
    <w:rsid w:val="005C226E"/>
    <w:rsid w:val="005C5A30"/>
    <w:rsid w:val="005D039A"/>
    <w:rsid w:val="005E198D"/>
    <w:rsid w:val="00617803"/>
    <w:rsid w:val="006722E6"/>
    <w:rsid w:val="006B01E3"/>
    <w:rsid w:val="00721979"/>
    <w:rsid w:val="00732E43"/>
    <w:rsid w:val="0074558F"/>
    <w:rsid w:val="0075684E"/>
    <w:rsid w:val="00757371"/>
    <w:rsid w:val="007611C8"/>
    <w:rsid w:val="00807A7D"/>
    <w:rsid w:val="00850D39"/>
    <w:rsid w:val="00854537"/>
    <w:rsid w:val="00855B66"/>
    <w:rsid w:val="008B74FA"/>
    <w:rsid w:val="00900CDB"/>
    <w:rsid w:val="00901CC4"/>
    <w:rsid w:val="009131AF"/>
    <w:rsid w:val="00920780"/>
    <w:rsid w:val="009820EE"/>
    <w:rsid w:val="00997955"/>
    <w:rsid w:val="009B4F8A"/>
    <w:rsid w:val="009F0831"/>
    <w:rsid w:val="00A51223"/>
    <w:rsid w:val="00A9317B"/>
    <w:rsid w:val="00A95383"/>
    <w:rsid w:val="00AE4C9C"/>
    <w:rsid w:val="00B4622C"/>
    <w:rsid w:val="00B97A06"/>
    <w:rsid w:val="00BC0A1C"/>
    <w:rsid w:val="00C17F32"/>
    <w:rsid w:val="00C51274"/>
    <w:rsid w:val="00C870BF"/>
    <w:rsid w:val="00CD59D0"/>
    <w:rsid w:val="00D147AF"/>
    <w:rsid w:val="00D2412F"/>
    <w:rsid w:val="00D25217"/>
    <w:rsid w:val="00D42DF3"/>
    <w:rsid w:val="00D467F4"/>
    <w:rsid w:val="00D5762D"/>
    <w:rsid w:val="00D65893"/>
    <w:rsid w:val="00D86F14"/>
    <w:rsid w:val="00D93775"/>
    <w:rsid w:val="00DC5568"/>
    <w:rsid w:val="00DF5399"/>
    <w:rsid w:val="00E32AE0"/>
    <w:rsid w:val="00E37B3B"/>
    <w:rsid w:val="00E531ED"/>
    <w:rsid w:val="00E81561"/>
    <w:rsid w:val="00E847E2"/>
    <w:rsid w:val="00E87EE5"/>
    <w:rsid w:val="00EA016C"/>
    <w:rsid w:val="00ED0EEA"/>
    <w:rsid w:val="00EE29EF"/>
    <w:rsid w:val="00F0292E"/>
    <w:rsid w:val="00F556CF"/>
    <w:rsid w:val="015D659E"/>
    <w:rsid w:val="02044B64"/>
    <w:rsid w:val="029B016E"/>
    <w:rsid w:val="039F383D"/>
    <w:rsid w:val="04A2149F"/>
    <w:rsid w:val="051F33AC"/>
    <w:rsid w:val="0561349D"/>
    <w:rsid w:val="05CF0FB7"/>
    <w:rsid w:val="070731E4"/>
    <w:rsid w:val="071A5B95"/>
    <w:rsid w:val="081769C3"/>
    <w:rsid w:val="08210F72"/>
    <w:rsid w:val="089F0D77"/>
    <w:rsid w:val="09281DC6"/>
    <w:rsid w:val="09597225"/>
    <w:rsid w:val="0B8B45EA"/>
    <w:rsid w:val="0B92211D"/>
    <w:rsid w:val="0C1C388C"/>
    <w:rsid w:val="0C3A09C7"/>
    <w:rsid w:val="0C5D3A8A"/>
    <w:rsid w:val="0C784720"/>
    <w:rsid w:val="0C8223A4"/>
    <w:rsid w:val="0D9954D1"/>
    <w:rsid w:val="0E2E3ED5"/>
    <w:rsid w:val="0E7031BB"/>
    <w:rsid w:val="0FAA13A6"/>
    <w:rsid w:val="0FE32327"/>
    <w:rsid w:val="10546F96"/>
    <w:rsid w:val="109C5640"/>
    <w:rsid w:val="12D6700D"/>
    <w:rsid w:val="149B486D"/>
    <w:rsid w:val="150338E6"/>
    <w:rsid w:val="152671E1"/>
    <w:rsid w:val="164A6D42"/>
    <w:rsid w:val="16C10C48"/>
    <w:rsid w:val="17807169"/>
    <w:rsid w:val="17A56BF3"/>
    <w:rsid w:val="191655B7"/>
    <w:rsid w:val="1944670A"/>
    <w:rsid w:val="195F62F9"/>
    <w:rsid w:val="19F563BF"/>
    <w:rsid w:val="1C0A50EE"/>
    <w:rsid w:val="1C911351"/>
    <w:rsid w:val="1CCA64DE"/>
    <w:rsid w:val="1D527163"/>
    <w:rsid w:val="1EA6597E"/>
    <w:rsid w:val="1FE33282"/>
    <w:rsid w:val="1FF676E2"/>
    <w:rsid w:val="20144604"/>
    <w:rsid w:val="206E53D3"/>
    <w:rsid w:val="21EA3B0F"/>
    <w:rsid w:val="225A171E"/>
    <w:rsid w:val="226F06AA"/>
    <w:rsid w:val="24B80E9D"/>
    <w:rsid w:val="25A05804"/>
    <w:rsid w:val="25E231F6"/>
    <w:rsid w:val="25F91055"/>
    <w:rsid w:val="265537D5"/>
    <w:rsid w:val="276705B0"/>
    <w:rsid w:val="27DB7977"/>
    <w:rsid w:val="283D66C1"/>
    <w:rsid w:val="2864073C"/>
    <w:rsid w:val="29B42C36"/>
    <w:rsid w:val="2ABB7821"/>
    <w:rsid w:val="2B0C5C6D"/>
    <w:rsid w:val="2B1F08FF"/>
    <w:rsid w:val="2C645AEC"/>
    <w:rsid w:val="2EAA6D69"/>
    <w:rsid w:val="2EAF037D"/>
    <w:rsid w:val="2F0667F3"/>
    <w:rsid w:val="2F480BD7"/>
    <w:rsid w:val="30591E02"/>
    <w:rsid w:val="310124EE"/>
    <w:rsid w:val="31336B36"/>
    <w:rsid w:val="314943AD"/>
    <w:rsid w:val="319C662C"/>
    <w:rsid w:val="31F07F9C"/>
    <w:rsid w:val="32C7674E"/>
    <w:rsid w:val="33183DEF"/>
    <w:rsid w:val="332D2614"/>
    <w:rsid w:val="33AF4D01"/>
    <w:rsid w:val="33D46E42"/>
    <w:rsid w:val="34570A59"/>
    <w:rsid w:val="3595469E"/>
    <w:rsid w:val="35D46D12"/>
    <w:rsid w:val="3629548F"/>
    <w:rsid w:val="362B36ED"/>
    <w:rsid w:val="36B1029B"/>
    <w:rsid w:val="37CD0F75"/>
    <w:rsid w:val="38A91FB3"/>
    <w:rsid w:val="39890218"/>
    <w:rsid w:val="3A832C8B"/>
    <w:rsid w:val="3ABE3CDC"/>
    <w:rsid w:val="3ACD19AE"/>
    <w:rsid w:val="3B4D6062"/>
    <w:rsid w:val="3B705519"/>
    <w:rsid w:val="3BCD0424"/>
    <w:rsid w:val="3DDE5F62"/>
    <w:rsid w:val="3EFD4A14"/>
    <w:rsid w:val="3F354C27"/>
    <w:rsid w:val="403900E6"/>
    <w:rsid w:val="405C1741"/>
    <w:rsid w:val="40DF1A16"/>
    <w:rsid w:val="415435FD"/>
    <w:rsid w:val="42967DF7"/>
    <w:rsid w:val="42984A4B"/>
    <w:rsid w:val="42C00537"/>
    <w:rsid w:val="433557AC"/>
    <w:rsid w:val="43E85325"/>
    <w:rsid w:val="44AC0906"/>
    <w:rsid w:val="45976081"/>
    <w:rsid w:val="465C3D13"/>
    <w:rsid w:val="46F95B59"/>
    <w:rsid w:val="47AD2355"/>
    <w:rsid w:val="480B1833"/>
    <w:rsid w:val="48AC5715"/>
    <w:rsid w:val="48B92F24"/>
    <w:rsid w:val="49051E5E"/>
    <w:rsid w:val="49544DBC"/>
    <w:rsid w:val="498F174F"/>
    <w:rsid w:val="49AB1EF3"/>
    <w:rsid w:val="49C00E76"/>
    <w:rsid w:val="4C7721B5"/>
    <w:rsid w:val="4CB701C3"/>
    <w:rsid w:val="4E0D14F8"/>
    <w:rsid w:val="4EF363F8"/>
    <w:rsid w:val="4FA12EFE"/>
    <w:rsid w:val="5001283D"/>
    <w:rsid w:val="501663C9"/>
    <w:rsid w:val="50C7352E"/>
    <w:rsid w:val="50F27A7B"/>
    <w:rsid w:val="51BA2CF4"/>
    <w:rsid w:val="52011405"/>
    <w:rsid w:val="535D3A7C"/>
    <w:rsid w:val="53E52168"/>
    <w:rsid w:val="555408FB"/>
    <w:rsid w:val="55685411"/>
    <w:rsid w:val="55E61A1B"/>
    <w:rsid w:val="56495F30"/>
    <w:rsid w:val="56910CB8"/>
    <w:rsid w:val="569D213A"/>
    <w:rsid w:val="56D8032C"/>
    <w:rsid w:val="57F329F0"/>
    <w:rsid w:val="58C52109"/>
    <w:rsid w:val="5961222A"/>
    <w:rsid w:val="59DA374F"/>
    <w:rsid w:val="59F306BC"/>
    <w:rsid w:val="5B7D5D39"/>
    <w:rsid w:val="5B84083B"/>
    <w:rsid w:val="5B9E022C"/>
    <w:rsid w:val="5BB07DFB"/>
    <w:rsid w:val="5C023212"/>
    <w:rsid w:val="5C414D78"/>
    <w:rsid w:val="5F8156BC"/>
    <w:rsid w:val="606A47AD"/>
    <w:rsid w:val="608577FD"/>
    <w:rsid w:val="60DF615A"/>
    <w:rsid w:val="60FE4CE0"/>
    <w:rsid w:val="61A70144"/>
    <w:rsid w:val="62F90233"/>
    <w:rsid w:val="638313F9"/>
    <w:rsid w:val="63A00180"/>
    <w:rsid w:val="65843C7F"/>
    <w:rsid w:val="66BA1D89"/>
    <w:rsid w:val="675170DC"/>
    <w:rsid w:val="679B5BFB"/>
    <w:rsid w:val="68103863"/>
    <w:rsid w:val="68235AA7"/>
    <w:rsid w:val="68357A94"/>
    <w:rsid w:val="692E6605"/>
    <w:rsid w:val="69320FEC"/>
    <w:rsid w:val="6A54589C"/>
    <w:rsid w:val="6B5B47B7"/>
    <w:rsid w:val="6BF8052B"/>
    <w:rsid w:val="6C320B14"/>
    <w:rsid w:val="6CBD7BBC"/>
    <w:rsid w:val="6D34343E"/>
    <w:rsid w:val="6D6F10B6"/>
    <w:rsid w:val="709F2725"/>
    <w:rsid w:val="70EC072D"/>
    <w:rsid w:val="70F4222A"/>
    <w:rsid w:val="72777C43"/>
    <w:rsid w:val="72B44B2F"/>
    <w:rsid w:val="72BB7E93"/>
    <w:rsid w:val="73B94177"/>
    <w:rsid w:val="756F6C68"/>
    <w:rsid w:val="75AE1351"/>
    <w:rsid w:val="75FD61CB"/>
    <w:rsid w:val="762373FC"/>
    <w:rsid w:val="78CC035C"/>
    <w:rsid w:val="79527015"/>
    <w:rsid w:val="7C312876"/>
    <w:rsid w:val="7D7029CF"/>
    <w:rsid w:val="7DD52080"/>
    <w:rsid w:val="7E376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99"/>
    <w:pPr>
      <w:jc w:val="left"/>
    </w:pPr>
    <w:rPr>
      <w:kern w:val="0"/>
      <w:sz w:val="24"/>
    </w:rPr>
  </w:style>
  <w:style w:type="character" w:styleId="7">
    <w:name w:val="FollowedHyperlink"/>
    <w:basedOn w:val="6"/>
    <w:semiHidden/>
    <w:unhideWhenUsed/>
    <w:qFormat/>
    <w:uiPriority w:val="99"/>
    <w:rPr>
      <w:color w:val="800080"/>
      <w:u w:val="none"/>
    </w:rPr>
  </w:style>
  <w:style w:type="character" w:styleId="8">
    <w:name w:val="Hyperlink"/>
    <w:basedOn w:val="6"/>
    <w:semiHidden/>
    <w:unhideWhenUsed/>
    <w:qFormat/>
    <w:uiPriority w:val="99"/>
    <w:rPr>
      <w:color w:val="333333"/>
      <w:u w:val="none"/>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hover41"/>
    <w:basedOn w:val="6"/>
    <w:qFormat/>
    <w:uiPriority w:val="0"/>
    <w:rPr>
      <w:color w:val="000000"/>
      <w:shd w:val="clear" w:color="auto" w:fill="FFFFFF"/>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p0"/>
    <w:basedOn w:val="1"/>
    <w:qFormat/>
    <w:uiPriority w:val="0"/>
    <w:pPr>
      <w:widowControl/>
    </w:pPr>
    <w:rPr>
      <w:kern w:val="0"/>
      <w:szCs w:val="21"/>
    </w:rPr>
  </w:style>
  <w:style w:type="character" w:customStyle="1" w:styleId="15">
    <w:name w:val="ca-21"/>
    <w:basedOn w:val="6"/>
    <w:unhideWhenUsed/>
    <w:qFormat/>
    <w:uiPriority w:val="99"/>
    <w:rPr>
      <w:rFonts w:hint="eastAsia" w:ascii="仿宋_GB2312" w:hAnsi="Times New Roman"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12</Pages>
  <Words>5313</Words>
  <Characters>5503</Characters>
  <Lines>51</Lines>
  <Paragraphs>14</Paragraphs>
  <TotalTime>31</TotalTime>
  <ScaleCrop>false</ScaleCrop>
  <LinksUpToDate>false</LinksUpToDate>
  <CharactersWithSpaces>5512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2017-05-24T07:34:00Z</dcterms:created>
  <dc:creator>Windows User</dc:creator>
  <cp:lastModifiedBy>月牙湾</cp:lastModifiedBy>
  <cp:lastPrinted>2022-09-01T01:07:00Z</cp:lastPrinted>
  <dcterms:modified xsi:type="dcterms:W3CDTF">2024-09-10T02:02:06Z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D000DC9C51814D85BCBCE23EC40EF37B_13</vt:lpwstr>
  </property>
</Properties>
</file>