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6480"/>
        </w:tabs>
        <w:spacing w:line="600" w:lineRule="exact"/>
        <w:jc w:val="center"/>
        <w:rPr>
          <w:rFonts w:ascii="宋体" w:hAnsi="宋体" w:cs="方正小标宋_GBK"/>
          <w:b/>
          <w:bCs/>
          <w:sz w:val="32"/>
          <w:szCs w:val="32"/>
        </w:rPr>
      </w:pPr>
      <w:r>
        <w:rPr>
          <w:rFonts w:hint="eastAsia" w:ascii="宋体" w:hAnsi="宋体" w:cs="方正小标宋_GBK"/>
          <w:b/>
          <w:bCs/>
          <w:sz w:val="32"/>
          <w:szCs w:val="32"/>
        </w:rPr>
        <w:t>湘潭县机关事务服务中心部门整体支出绩效评价报告</w:t>
      </w:r>
    </w:p>
    <w:tbl>
      <w:tblPr>
        <w:tblStyle w:val="4"/>
        <w:tblW w:w="903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93"/>
        <w:gridCol w:w="1559"/>
        <w:gridCol w:w="668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  <w:jc w:val="center"/>
        </w:trPr>
        <w:tc>
          <w:tcPr>
            <w:tcW w:w="793" w:type="dxa"/>
            <w:vMerge w:val="restart"/>
            <w:vAlign w:val="center"/>
          </w:tcPr>
          <w:p>
            <w:pPr>
              <w:spacing w:line="576" w:lineRule="exact"/>
              <w:jc w:val="center"/>
              <w:rPr>
                <w:rFonts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部门概况</w:t>
            </w:r>
          </w:p>
        </w:tc>
        <w:tc>
          <w:tcPr>
            <w:tcW w:w="1559" w:type="dxa"/>
            <w:vAlign w:val="center"/>
          </w:tcPr>
          <w:p>
            <w:pPr>
              <w:spacing w:line="576" w:lineRule="exact"/>
              <w:jc w:val="center"/>
              <w:rPr>
                <w:rFonts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单位名称</w:t>
            </w:r>
          </w:p>
        </w:tc>
        <w:tc>
          <w:tcPr>
            <w:tcW w:w="6687" w:type="dxa"/>
            <w:vAlign w:val="center"/>
          </w:tcPr>
          <w:p>
            <w:pPr>
              <w:spacing w:line="360" w:lineRule="auto"/>
              <w:ind w:firstLine="1680" w:firstLineChars="800"/>
              <w:rPr>
                <w:rFonts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湘潭县机关事务服务中心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  <w:jc w:val="center"/>
        </w:trPr>
        <w:tc>
          <w:tcPr>
            <w:tcW w:w="793" w:type="dxa"/>
            <w:vMerge w:val="continue"/>
          </w:tcPr>
          <w:p>
            <w:pPr>
              <w:spacing w:line="576" w:lineRule="exact"/>
              <w:jc w:val="center"/>
              <w:rPr>
                <w:rFonts w:ascii="仿宋_GB2312" w:hAnsi="宋体" w:eastAsia="仿宋_GB2312" w:cs="宋体"/>
                <w:szCs w:val="21"/>
              </w:rPr>
            </w:pPr>
          </w:p>
        </w:tc>
        <w:tc>
          <w:tcPr>
            <w:tcW w:w="1559" w:type="dxa"/>
            <w:vAlign w:val="center"/>
          </w:tcPr>
          <w:p>
            <w:pPr>
              <w:spacing w:line="576" w:lineRule="exact"/>
              <w:jc w:val="both"/>
              <w:rPr>
                <w:rFonts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年度预算金额</w:t>
            </w:r>
          </w:p>
        </w:tc>
        <w:tc>
          <w:tcPr>
            <w:tcW w:w="6687" w:type="dxa"/>
            <w:vAlign w:val="center"/>
          </w:tcPr>
          <w:p>
            <w:pPr>
              <w:spacing w:line="576" w:lineRule="exact"/>
              <w:ind w:right="880" w:rightChars="419"/>
              <w:jc w:val="center"/>
              <w:rPr>
                <w:rFonts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color w:val="333333"/>
                <w:szCs w:val="21"/>
                <w:lang w:val="en-US" w:eastAsia="zh-CN"/>
              </w:rPr>
              <w:t>1300.27</w:t>
            </w:r>
            <w:r>
              <w:rPr>
                <w:rFonts w:hint="eastAsia" w:ascii="仿宋_GB2312" w:hAnsi="微软雅黑" w:eastAsia="仿宋_GB2312" w:cs="微软雅黑"/>
                <w:color w:val="333333"/>
                <w:szCs w:val="21"/>
              </w:rPr>
              <w:t>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  <w:jc w:val="center"/>
        </w:trPr>
        <w:tc>
          <w:tcPr>
            <w:tcW w:w="793" w:type="dxa"/>
            <w:vMerge w:val="continue"/>
          </w:tcPr>
          <w:p>
            <w:pPr>
              <w:spacing w:line="576" w:lineRule="exact"/>
              <w:jc w:val="center"/>
              <w:rPr>
                <w:rFonts w:ascii="仿宋_GB2312" w:hAnsi="宋体" w:eastAsia="仿宋_GB2312" w:cs="宋体"/>
                <w:szCs w:val="21"/>
              </w:rPr>
            </w:pPr>
          </w:p>
        </w:tc>
        <w:tc>
          <w:tcPr>
            <w:tcW w:w="1559" w:type="dxa"/>
            <w:vAlign w:val="center"/>
          </w:tcPr>
          <w:p>
            <w:pPr>
              <w:spacing w:line="576" w:lineRule="exact"/>
              <w:jc w:val="center"/>
              <w:rPr>
                <w:rFonts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主管部门</w:t>
            </w:r>
          </w:p>
        </w:tc>
        <w:tc>
          <w:tcPr>
            <w:tcW w:w="6687" w:type="dxa"/>
            <w:vAlign w:val="center"/>
          </w:tcPr>
          <w:p>
            <w:pPr>
              <w:spacing w:line="576" w:lineRule="exact"/>
              <w:ind w:right="880" w:rightChars="419"/>
              <w:jc w:val="center"/>
              <w:rPr>
                <w:rFonts w:ascii="仿宋_GB2312" w:hAnsi="宋体" w:eastAsia="仿宋_GB2312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  <w:jc w:val="center"/>
        </w:trPr>
        <w:tc>
          <w:tcPr>
            <w:tcW w:w="793" w:type="dxa"/>
            <w:vMerge w:val="continue"/>
          </w:tcPr>
          <w:p>
            <w:pPr>
              <w:spacing w:line="576" w:lineRule="exact"/>
              <w:jc w:val="center"/>
              <w:rPr>
                <w:rFonts w:ascii="仿宋_GB2312" w:hAnsi="宋体" w:eastAsia="仿宋_GB2312" w:cs="宋体"/>
                <w:szCs w:val="21"/>
              </w:rPr>
            </w:pPr>
          </w:p>
        </w:tc>
        <w:tc>
          <w:tcPr>
            <w:tcW w:w="1559" w:type="dxa"/>
            <w:vAlign w:val="center"/>
          </w:tcPr>
          <w:p>
            <w:pPr>
              <w:spacing w:line="576" w:lineRule="exact"/>
              <w:jc w:val="center"/>
              <w:rPr>
                <w:rFonts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单位基本职能</w:t>
            </w:r>
          </w:p>
        </w:tc>
        <w:tc>
          <w:tcPr>
            <w:tcW w:w="6687" w:type="dxa"/>
            <w:vAlign w:val="center"/>
          </w:tcPr>
          <w:p>
            <w:pPr>
              <w:widowControl/>
              <w:shd w:val="clear" w:color="auto" w:fill="FFFFFF"/>
              <w:spacing w:line="360" w:lineRule="auto"/>
              <w:ind w:firstLine="420" w:firstLineChars="200"/>
              <w:rPr>
                <w:rFonts w:ascii="仿宋_GB2312" w:hAnsi="宋体" w:eastAsia="仿宋_GB2312" w:cs="宋体"/>
                <w:color w:val="333333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Cs w:val="21"/>
              </w:rPr>
              <w:t>1.负责县直机关事务的建设、管理、保障和服务工作。根据上级有关政策规定，拟订全县机关事务工作的规定、办法和规章制度，并组织实施。</w:t>
            </w:r>
          </w:p>
          <w:p>
            <w:pPr>
              <w:widowControl/>
              <w:shd w:val="clear" w:color="auto" w:fill="FFFFFF"/>
              <w:spacing w:line="360" w:lineRule="auto"/>
              <w:ind w:firstLine="420" w:firstLineChars="200"/>
              <w:rPr>
                <w:rFonts w:ascii="仿宋_GB2312" w:hAnsi="宋体" w:eastAsia="仿宋_GB2312" w:cs="宋体"/>
                <w:color w:val="333333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Cs w:val="21"/>
              </w:rPr>
              <w:t>2.负责县本级党政机关办公用房及其配套设施设备的建设（新建、改建、扩建、购置）及维修改造、调剂使用、监督管理、清查登记等工作。指导全县机关后勤保障的规划建设和监督管理等工作。负责县本级过渡性用房的建设管理和服务工作。负责县机关食堂管理服务工作。指导乡镇党政机关办公用房管理、周转房的建设管理和服务工作。</w:t>
            </w:r>
          </w:p>
          <w:p>
            <w:pPr>
              <w:widowControl/>
              <w:shd w:val="clear" w:color="auto" w:fill="FFFFFF"/>
              <w:spacing w:line="360" w:lineRule="auto"/>
              <w:ind w:firstLine="420" w:firstLineChars="200"/>
              <w:rPr>
                <w:rFonts w:ascii="仿宋_GB2312" w:hAnsi="宋体" w:eastAsia="仿宋_GB2312" w:cs="宋体"/>
                <w:color w:val="333333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Cs w:val="21"/>
              </w:rPr>
              <w:t>3.负责县本级公务用车服务监督管理平台日常工作。负责县本级党政机关公务用车管理服务工作。做好全县公务车辆司勤人员的业务指导、培训等管理工作。</w:t>
            </w:r>
          </w:p>
          <w:p>
            <w:pPr>
              <w:widowControl/>
              <w:shd w:val="clear" w:color="auto" w:fill="FFFFFF"/>
              <w:spacing w:line="360" w:lineRule="auto"/>
              <w:ind w:firstLine="420" w:firstLineChars="200"/>
              <w:rPr>
                <w:rFonts w:ascii="仿宋_GB2312" w:hAnsi="宋体" w:eastAsia="仿宋_GB2312" w:cs="宋体"/>
                <w:color w:val="333333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Cs w:val="21"/>
              </w:rPr>
              <w:t>4.负责县委</w:t>
            </w:r>
            <w:r>
              <w:rPr>
                <w:rFonts w:hint="eastAsia" w:ascii="仿宋_GB2312" w:hAnsi="宋体" w:eastAsia="仿宋_GB2312" w:cs="宋体"/>
                <w:color w:val="333333"/>
                <w:kern w:val="0"/>
                <w:szCs w:val="21"/>
                <w:lang w:val="en-US" w:eastAsia="zh-CN"/>
              </w:rPr>
              <w:t>县</w:t>
            </w:r>
            <w:r>
              <w:rPr>
                <w:rFonts w:hint="eastAsia" w:ascii="仿宋_GB2312" w:hAnsi="宋体" w:eastAsia="仿宋_GB2312" w:cs="宋体"/>
                <w:color w:val="333333"/>
                <w:kern w:val="0"/>
                <w:szCs w:val="21"/>
              </w:rPr>
              <w:t>政府机关大院和有关县直机关部门物业管理工作，指导其他县直机关物业管理工作。研究拟定县直机关物业技术服务标准并指导实施。</w:t>
            </w:r>
          </w:p>
          <w:p>
            <w:pPr>
              <w:widowControl/>
              <w:shd w:val="clear" w:color="auto" w:fill="FFFFFF"/>
              <w:spacing w:line="360" w:lineRule="auto"/>
              <w:ind w:firstLine="420" w:firstLineChars="200"/>
              <w:rPr>
                <w:rFonts w:ascii="仿宋_GB2312" w:hAnsi="宋体" w:eastAsia="仿宋_GB2312" w:cs="宋体"/>
                <w:color w:val="333333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Cs w:val="21"/>
              </w:rPr>
              <w:t>5.负责厅级（含）以上领导来县考察、调研和检查指导等公务活动的接待工作。负责来县重大招商引资活动的接待工作。指导全县各部门、各乡镇公务活动接待工作。</w:t>
            </w:r>
          </w:p>
          <w:p>
            <w:pPr>
              <w:widowControl/>
              <w:shd w:val="clear" w:color="auto" w:fill="FFFFFF"/>
              <w:spacing w:line="360" w:lineRule="auto"/>
              <w:ind w:firstLine="420" w:firstLineChars="200"/>
              <w:rPr>
                <w:rFonts w:ascii="仿宋_GB2312" w:hAnsi="宋体" w:eastAsia="仿宋_GB2312" w:cs="宋体"/>
                <w:color w:val="333333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Cs w:val="21"/>
              </w:rPr>
              <w:t>6.配合有关部门做好县直公共机构节约能源资源管理工作。配合有关部门做好有关国有资产的产权界定和处置等工作。</w:t>
            </w:r>
          </w:p>
          <w:p>
            <w:pPr>
              <w:spacing w:line="360" w:lineRule="auto"/>
              <w:ind w:firstLine="420" w:firstLineChars="200"/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Cs w:val="21"/>
              </w:rPr>
              <w:t>7.完成县委、县政府交办的其他工作任务。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  <w:jc w:val="center"/>
        </w:trPr>
        <w:tc>
          <w:tcPr>
            <w:tcW w:w="793" w:type="dxa"/>
            <w:vMerge w:val="restart"/>
            <w:vAlign w:val="center"/>
          </w:tcPr>
          <w:p>
            <w:pPr>
              <w:spacing w:line="576" w:lineRule="exact"/>
              <w:jc w:val="center"/>
              <w:rPr>
                <w:rFonts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绩效完成情况</w:t>
            </w:r>
          </w:p>
        </w:tc>
        <w:tc>
          <w:tcPr>
            <w:tcW w:w="1559" w:type="dxa"/>
            <w:vAlign w:val="center"/>
          </w:tcPr>
          <w:p>
            <w:pPr>
              <w:spacing w:line="576" w:lineRule="exact"/>
              <w:jc w:val="center"/>
              <w:rPr>
                <w:rFonts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部门整体支出管理和使用基本情况</w:t>
            </w:r>
          </w:p>
        </w:tc>
        <w:tc>
          <w:tcPr>
            <w:tcW w:w="6687" w:type="dxa"/>
            <w:vAlign w:val="center"/>
          </w:tcPr>
          <w:p>
            <w:pPr>
              <w:spacing w:line="360" w:lineRule="auto"/>
              <w:ind w:firstLine="420" w:firstLineChars="200"/>
            </w:pPr>
            <w:r>
              <w:rPr>
                <w:rFonts w:hint="eastAsia" w:ascii="仿宋_GB2312" w:hAnsi="宋体" w:eastAsia="仿宋_GB2312" w:cs="宋体"/>
                <w:b w:val="0"/>
                <w:bCs w:val="0"/>
                <w:szCs w:val="21"/>
              </w:rPr>
              <w:t>202</w:t>
            </w:r>
            <w:r>
              <w:rPr>
                <w:rFonts w:hint="eastAsia" w:ascii="仿宋_GB2312" w:hAnsi="宋体" w:eastAsia="仿宋_GB2312" w:cs="宋体"/>
                <w:b w:val="0"/>
                <w:bCs w:val="0"/>
                <w:szCs w:val="21"/>
                <w:lang w:val="en-US" w:eastAsia="zh-CN"/>
              </w:rPr>
              <w:t>3</w:t>
            </w:r>
            <w:r>
              <w:rPr>
                <w:rFonts w:hint="eastAsia" w:ascii="仿宋_GB2312" w:hAnsi="宋体" w:eastAsia="仿宋_GB2312" w:cs="宋体"/>
                <w:b w:val="0"/>
                <w:bCs w:val="0"/>
                <w:szCs w:val="21"/>
              </w:rPr>
              <w:t>年初预算</w:t>
            </w:r>
            <w:r>
              <w:rPr>
                <w:rFonts w:hint="eastAsia" w:ascii="仿宋_GB2312" w:hAnsi="宋体" w:eastAsia="仿宋_GB2312" w:cs="宋体"/>
                <w:b w:val="0"/>
                <w:bCs w:val="0"/>
                <w:szCs w:val="21"/>
                <w:lang w:val="en-US" w:eastAsia="zh-CN"/>
              </w:rPr>
              <w:t>1300.27</w:t>
            </w:r>
            <w:r>
              <w:rPr>
                <w:rFonts w:hint="eastAsia" w:ascii="仿宋_GB2312" w:hAnsi="宋体" w:eastAsia="仿宋_GB2312" w:cs="宋体"/>
                <w:b w:val="0"/>
                <w:bCs w:val="0"/>
                <w:szCs w:val="21"/>
              </w:rPr>
              <w:t>万元，其中：基本支出</w:t>
            </w:r>
            <w:r>
              <w:rPr>
                <w:rFonts w:hint="eastAsia" w:ascii="仿宋_GB2312" w:hAnsi="宋体" w:eastAsia="仿宋_GB2312" w:cs="宋体"/>
                <w:b w:val="0"/>
                <w:bCs w:val="0"/>
                <w:szCs w:val="21"/>
                <w:lang w:val="en-US" w:eastAsia="zh-CN"/>
              </w:rPr>
              <w:t>604.38</w:t>
            </w:r>
            <w:r>
              <w:rPr>
                <w:rFonts w:hint="eastAsia" w:ascii="仿宋_GB2312" w:hAnsi="宋体" w:eastAsia="仿宋_GB2312" w:cs="宋体"/>
                <w:b w:val="0"/>
                <w:bCs w:val="0"/>
                <w:szCs w:val="21"/>
              </w:rPr>
              <w:t>万元，项目支出</w:t>
            </w:r>
            <w:r>
              <w:rPr>
                <w:rFonts w:hint="eastAsia" w:ascii="仿宋_GB2312" w:hAnsi="宋体" w:eastAsia="仿宋_GB2312" w:cs="宋体"/>
                <w:b w:val="0"/>
                <w:bCs w:val="0"/>
                <w:szCs w:val="21"/>
                <w:lang w:val="en-US" w:eastAsia="zh-CN"/>
              </w:rPr>
              <w:t>695.89</w:t>
            </w:r>
            <w:r>
              <w:rPr>
                <w:rFonts w:hint="eastAsia" w:ascii="仿宋_GB2312" w:hAnsi="宋体" w:eastAsia="仿宋_GB2312" w:cs="宋体"/>
                <w:b w:val="0"/>
                <w:bCs w:val="0"/>
                <w:szCs w:val="21"/>
              </w:rPr>
              <w:t>万元。</w:t>
            </w:r>
            <w:r>
              <w:rPr>
                <w:rFonts w:hint="eastAsia" w:ascii="仿宋_GB2312" w:hAnsi="宋体" w:eastAsia="仿宋_GB2312" w:cs="宋体"/>
                <w:b w:val="0"/>
                <w:bCs w:val="0"/>
                <w:szCs w:val="21"/>
                <w:lang w:val="en-US" w:eastAsia="zh-CN"/>
              </w:rPr>
              <w:t>收入预算调整数为1397.04万元，增加96.77万元，均为财政拨款追加，</w:t>
            </w:r>
            <w:r>
              <w:rPr>
                <w:rFonts w:hint="eastAsia" w:ascii="仿宋_GB2312" w:hAnsi="宋体" w:eastAsia="仿宋_GB2312" w:cs="宋体"/>
                <w:b w:val="0"/>
                <w:bCs w:val="0"/>
                <w:szCs w:val="21"/>
              </w:rPr>
              <w:t>年度执行中</w:t>
            </w:r>
            <w:r>
              <w:rPr>
                <w:rFonts w:hint="eastAsia" w:ascii="仿宋_GB2312" w:hAnsi="微软雅黑" w:eastAsia="仿宋_GB2312" w:cs="微软雅黑"/>
                <w:b w:val="0"/>
                <w:bCs w:val="0"/>
                <w:color w:val="333333"/>
                <w:kern w:val="0"/>
                <w:szCs w:val="21"/>
              </w:rPr>
              <w:t>因落实国家政策，县委、</w:t>
            </w:r>
            <w:r>
              <w:rPr>
                <w:rFonts w:hint="eastAsia" w:ascii="仿宋_GB2312" w:hAnsi="微软雅黑" w:eastAsia="仿宋_GB2312" w:cs="微软雅黑"/>
                <w:b w:val="0"/>
                <w:bCs w:val="0"/>
                <w:color w:val="333333"/>
                <w:kern w:val="0"/>
                <w:szCs w:val="21"/>
                <w:lang w:eastAsia="zh-CN"/>
              </w:rPr>
              <w:t>县</w:t>
            </w:r>
            <w:r>
              <w:rPr>
                <w:rFonts w:hint="eastAsia" w:ascii="仿宋_GB2312" w:hAnsi="微软雅黑" w:eastAsia="仿宋_GB2312" w:cs="微软雅黑"/>
                <w:b w:val="0"/>
                <w:bCs w:val="0"/>
                <w:color w:val="333333"/>
                <w:kern w:val="0"/>
                <w:szCs w:val="21"/>
              </w:rPr>
              <w:t>政府临时安排的工作任务而产生的调整</w:t>
            </w:r>
            <w:r>
              <w:rPr>
                <w:rFonts w:hint="eastAsia" w:ascii="仿宋_GB2312" w:hAnsi="微软雅黑" w:eastAsia="仿宋_GB2312" w:cs="微软雅黑"/>
                <w:b w:val="0"/>
                <w:bCs w:val="0"/>
                <w:color w:val="333333"/>
                <w:kern w:val="0"/>
                <w:szCs w:val="21"/>
                <w:lang w:eastAsia="zh-CN"/>
              </w:rPr>
              <w:t>。</w:t>
            </w:r>
            <w:r>
              <w:rPr>
                <w:rFonts w:hint="eastAsia" w:ascii="仿宋_GB2312" w:hAnsi="宋体" w:eastAsia="仿宋_GB2312" w:cs="宋体"/>
                <w:b w:val="0"/>
                <w:bCs w:val="0"/>
                <w:szCs w:val="21"/>
              </w:rPr>
              <w:t>上年结转</w:t>
            </w:r>
            <w:r>
              <w:rPr>
                <w:rFonts w:hint="eastAsia" w:ascii="仿宋_GB2312" w:hAnsi="宋体" w:eastAsia="仿宋_GB2312" w:cs="宋体"/>
                <w:b w:val="0"/>
                <w:bCs w:val="0"/>
                <w:szCs w:val="21"/>
                <w:lang w:val="en-US" w:eastAsia="zh-CN"/>
              </w:rPr>
              <w:t>资金1125.39</w:t>
            </w:r>
            <w:r>
              <w:rPr>
                <w:rFonts w:hint="eastAsia" w:ascii="仿宋_GB2312" w:hAnsi="宋体" w:eastAsia="仿宋_GB2312" w:cs="宋体"/>
                <w:b w:val="0"/>
                <w:bCs w:val="0"/>
                <w:szCs w:val="21"/>
              </w:rPr>
              <w:t>万元；</w:t>
            </w:r>
            <w:r>
              <w:rPr>
                <w:rFonts w:hint="eastAsia" w:ascii="仿宋_GB2312" w:hAnsi="宋体" w:eastAsia="仿宋_GB2312" w:cs="宋体"/>
                <w:b w:val="0"/>
                <w:bCs w:val="0"/>
                <w:szCs w:val="21"/>
                <w:lang w:val="en-US" w:eastAsia="zh-CN"/>
              </w:rPr>
              <w:t>财政收回指标</w:t>
            </w:r>
            <w:r>
              <w:rPr>
                <w:rFonts w:hint="eastAsia" w:ascii="仿宋_GB2312" w:hAnsi="宋体" w:eastAsia="仿宋_GB2312" w:cs="宋体"/>
                <w:szCs w:val="21"/>
                <w:lang w:val="en-US" w:eastAsia="zh-CN"/>
              </w:rPr>
              <w:t>669.73万元，</w:t>
            </w:r>
            <w:r>
              <w:rPr>
                <w:rFonts w:hint="eastAsia" w:ascii="仿宋_GB2312" w:hAnsi="宋体" w:eastAsia="仿宋_GB2312" w:cs="宋体"/>
                <w:szCs w:val="21"/>
              </w:rPr>
              <w:t>202</w:t>
            </w:r>
            <w:r>
              <w:rPr>
                <w:rFonts w:hint="eastAsia" w:ascii="仿宋_GB2312" w:hAnsi="宋体" w:eastAsia="仿宋_GB2312" w:cs="宋体"/>
                <w:szCs w:val="21"/>
                <w:lang w:val="en-US" w:eastAsia="zh-CN"/>
              </w:rPr>
              <w:t>3</w:t>
            </w:r>
            <w:r>
              <w:rPr>
                <w:rFonts w:hint="eastAsia" w:ascii="仿宋_GB2312" w:hAnsi="宋体" w:eastAsia="仿宋_GB2312" w:cs="宋体"/>
                <w:szCs w:val="21"/>
              </w:rPr>
              <w:t>年度全年支出决算总额为</w:t>
            </w:r>
            <w:r>
              <w:rPr>
                <w:rFonts w:hint="eastAsia" w:ascii="仿宋_GB2312" w:hAnsi="宋体" w:eastAsia="仿宋_GB2312" w:cs="宋体"/>
                <w:szCs w:val="21"/>
                <w:lang w:val="en-US" w:eastAsia="zh-CN"/>
              </w:rPr>
              <w:t>1441.23</w:t>
            </w:r>
            <w:r>
              <w:rPr>
                <w:rFonts w:hint="eastAsia" w:ascii="仿宋_GB2312" w:hAnsi="宋体" w:eastAsia="仿宋_GB2312" w:cs="宋体"/>
                <w:szCs w:val="21"/>
              </w:rPr>
              <w:t>万元，</w:t>
            </w:r>
            <w:r>
              <w:rPr>
                <w:rFonts w:hint="eastAsia" w:ascii="仿宋_GB2312" w:hAnsi="宋体" w:eastAsia="仿宋_GB2312" w:cs="宋体"/>
                <w:szCs w:val="21"/>
                <w:lang w:val="en-US" w:eastAsia="zh-CN"/>
              </w:rPr>
              <w:t>其中一般公共预算财政拨</w:t>
            </w:r>
            <w:bookmarkStart w:id="0" w:name="_GoBack"/>
            <w:bookmarkEnd w:id="0"/>
            <w:r>
              <w:rPr>
                <w:rFonts w:hint="eastAsia" w:ascii="仿宋_GB2312" w:hAnsi="宋体" w:eastAsia="仿宋_GB2312" w:cs="宋体"/>
                <w:szCs w:val="21"/>
                <w:lang w:val="en-US" w:eastAsia="zh-CN"/>
              </w:rPr>
              <w:t>款支出1439.83万元。预算内</w:t>
            </w:r>
            <w:r>
              <w:rPr>
                <w:rFonts w:hint="eastAsia" w:ascii="仿宋_GB2312" w:hAnsi="宋体" w:eastAsia="仿宋_GB2312" w:cs="宋体"/>
                <w:szCs w:val="21"/>
              </w:rPr>
              <w:t>年末结转资金</w:t>
            </w:r>
            <w:r>
              <w:rPr>
                <w:rFonts w:hint="eastAsia" w:ascii="仿宋_GB2312" w:hAnsi="宋体" w:eastAsia="仿宋_GB2312" w:cs="宋体"/>
                <w:szCs w:val="21"/>
                <w:lang w:val="en-US" w:eastAsia="zh-CN"/>
              </w:rPr>
              <w:t>412.86</w:t>
            </w:r>
            <w:r>
              <w:rPr>
                <w:rFonts w:hint="eastAsia" w:ascii="仿宋_GB2312" w:hAnsi="宋体" w:eastAsia="仿宋_GB2312" w:cs="宋体"/>
                <w:szCs w:val="21"/>
              </w:rPr>
              <w:t>万元</w:t>
            </w:r>
            <w:r>
              <w:rPr>
                <w:rFonts w:hint="eastAsia" w:ascii="仿宋_GB2312" w:hAnsi="宋体" w:eastAsia="仿宋_GB2312" w:cs="宋体"/>
                <w:color w:val="333333"/>
                <w:kern w:val="0"/>
                <w:szCs w:val="21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0" w:hRule="atLeast"/>
          <w:jc w:val="center"/>
        </w:trPr>
        <w:tc>
          <w:tcPr>
            <w:tcW w:w="793" w:type="dxa"/>
            <w:vMerge w:val="continue"/>
          </w:tcPr>
          <w:p>
            <w:pPr>
              <w:spacing w:line="576" w:lineRule="exact"/>
              <w:jc w:val="center"/>
              <w:rPr>
                <w:rFonts w:ascii="仿宋_GB2312" w:hAnsi="宋体" w:eastAsia="仿宋_GB2312" w:cs="宋体"/>
                <w:szCs w:val="21"/>
              </w:rPr>
            </w:pPr>
          </w:p>
        </w:tc>
        <w:tc>
          <w:tcPr>
            <w:tcW w:w="1559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绩效目标</w:t>
            </w:r>
          </w:p>
          <w:p>
            <w:pPr>
              <w:spacing w:line="360" w:lineRule="auto"/>
              <w:jc w:val="center"/>
              <w:rPr>
                <w:rFonts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完成情况</w:t>
            </w:r>
          </w:p>
        </w:tc>
        <w:tc>
          <w:tcPr>
            <w:tcW w:w="6687" w:type="dxa"/>
            <w:vAlign w:val="center"/>
          </w:tcPr>
          <w:p>
            <w:pPr>
              <w:spacing w:line="360" w:lineRule="auto"/>
              <w:ind w:firstLine="420" w:firstLineChars="200"/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szCs w:val="21"/>
                <w:lang w:val="en-US" w:eastAsia="zh-CN"/>
              </w:rPr>
              <w:t>2023年</w:t>
            </w:r>
            <w:r>
              <w:rPr>
                <w:rFonts w:hint="eastAsia" w:ascii="仿宋_GB2312" w:hAnsi="宋体" w:eastAsia="仿宋_GB2312" w:cs="宋体"/>
                <w:szCs w:val="21"/>
              </w:rPr>
              <w:t>，县机关事务服务中心在县委</w:t>
            </w:r>
            <w:r>
              <w:rPr>
                <w:rFonts w:hint="eastAsia" w:ascii="仿宋_GB2312" w:hAnsi="宋体" w:eastAsia="仿宋_GB2312" w:cs="宋体"/>
                <w:szCs w:val="21"/>
                <w:lang w:eastAsia="zh-CN"/>
              </w:rPr>
              <w:t>、</w:t>
            </w:r>
            <w:r>
              <w:rPr>
                <w:rFonts w:hint="eastAsia" w:ascii="仿宋_GB2312" w:hAnsi="宋体" w:eastAsia="仿宋_GB2312" w:cs="宋体"/>
                <w:szCs w:val="21"/>
              </w:rPr>
              <w:t>县政府的正确领导下，</w:t>
            </w:r>
            <w:r>
              <w:rPr>
                <w:rFonts w:hint="eastAsia" w:ascii="仿宋_GB2312" w:hAnsi="宋体" w:eastAsia="仿宋_GB2312" w:cs="宋体"/>
                <w:szCs w:val="21"/>
                <w:lang w:eastAsia="zh-CN"/>
              </w:rPr>
              <w:t>围绕中心、服务大局，坚持党建引领，切实</w:t>
            </w:r>
            <w:r>
              <w:rPr>
                <w:rFonts w:hint="eastAsia" w:ascii="仿宋_GB2312" w:hAnsi="宋体" w:eastAsia="仿宋_GB2312" w:cs="宋体"/>
                <w:szCs w:val="21"/>
              </w:rPr>
              <w:t>履行管理、保障、服务职能，为机关单位高效运转</w:t>
            </w:r>
            <w:r>
              <w:rPr>
                <w:rFonts w:hint="eastAsia" w:ascii="仿宋_GB2312" w:hAnsi="宋体" w:eastAsia="仿宋_GB2312" w:cs="宋体"/>
                <w:szCs w:val="21"/>
                <w:lang w:eastAsia="zh-CN"/>
              </w:rPr>
              <w:t>、县委</w:t>
            </w:r>
            <w:r>
              <w:rPr>
                <w:rFonts w:hint="eastAsia" w:ascii="仿宋_GB2312" w:hAnsi="宋体" w:eastAsia="仿宋_GB2312" w:cs="宋体"/>
                <w:szCs w:val="21"/>
                <w:lang w:val="en-US" w:eastAsia="zh-CN"/>
              </w:rPr>
              <w:t>县</w:t>
            </w:r>
            <w:r>
              <w:rPr>
                <w:rFonts w:hint="eastAsia" w:ascii="仿宋_GB2312" w:hAnsi="宋体" w:eastAsia="仿宋_GB2312" w:cs="宋体"/>
                <w:szCs w:val="21"/>
                <w:lang w:eastAsia="zh-CN"/>
              </w:rPr>
              <w:t>政府中心工作开展、县域经济发展</w:t>
            </w:r>
            <w:r>
              <w:rPr>
                <w:rFonts w:hint="eastAsia" w:ascii="仿宋_GB2312" w:hAnsi="宋体" w:eastAsia="仿宋_GB2312" w:cs="宋体"/>
                <w:szCs w:val="21"/>
              </w:rPr>
              <w:t>提供了坚强</w:t>
            </w:r>
            <w:r>
              <w:rPr>
                <w:rFonts w:hint="eastAsia" w:ascii="仿宋_GB2312" w:hAnsi="宋体" w:eastAsia="仿宋_GB2312" w:cs="宋体"/>
                <w:szCs w:val="21"/>
                <w:lang w:eastAsia="zh-CN"/>
              </w:rPr>
              <w:t>后勤</w:t>
            </w:r>
            <w:r>
              <w:rPr>
                <w:rFonts w:hint="eastAsia" w:ascii="仿宋_GB2312" w:hAnsi="宋体" w:eastAsia="仿宋_GB2312" w:cs="宋体"/>
                <w:szCs w:val="21"/>
              </w:rPr>
              <w:t>保障。</w:t>
            </w:r>
            <w:r>
              <w:rPr>
                <w:rFonts w:hint="eastAsia" w:ascii="仿宋_GB2312" w:hAnsi="宋体" w:eastAsia="仿宋_GB2312" w:cs="宋体"/>
                <w:szCs w:val="21"/>
                <w:lang w:eastAsia="zh-CN"/>
              </w:rPr>
              <w:t>集中统一，细化管理，</w:t>
            </w:r>
            <w:r>
              <w:rPr>
                <w:rFonts w:hint="eastAsia" w:ascii="仿宋_GB2312" w:hAnsi="宋体" w:eastAsia="仿宋_GB2312" w:cs="宋体"/>
                <w:szCs w:val="21"/>
              </w:rPr>
              <w:t>深化国有资产体制改革</w:t>
            </w:r>
            <w:r>
              <w:rPr>
                <w:rFonts w:hint="eastAsia" w:ascii="仿宋_GB2312" w:hAnsi="宋体" w:eastAsia="仿宋_GB2312" w:cs="宋体"/>
                <w:szCs w:val="21"/>
                <w:lang w:val="en-US" w:eastAsia="zh-CN"/>
              </w:rPr>
              <w:t>；压实责任，强化监督，发挥机关事务职能作用；立足本职，敢于担当，做好疫情防控后勤保障；统筹协调，细致周到，提升管理服务保障水平，一是加强公车管理，二是提升公务接待，三是优化物业服务，四是加强食堂管理；节能增效，低碳降耗，推动公共机构能耗管理；落实责任，凝聚合力，全面促进单位党建发展。一年来，办公用房、公共机构能源资源节约等工作有声有色，所参与的清查处置盘活国有资产工作获得省财政厅通报表彰；公务用车、公务接待等工作协调有序；机关食堂、物业管理、周转房等工作保障有力；安全生产、综治信访工作稳步推进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  <w:jc w:val="center"/>
        </w:trPr>
        <w:tc>
          <w:tcPr>
            <w:tcW w:w="793" w:type="dxa"/>
            <w:vMerge w:val="restart"/>
            <w:vAlign w:val="center"/>
          </w:tcPr>
          <w:p>
            <w:pPr>
              <w:spacing w:line="576" w:lineRule="exact"/>
              <w:jc w:val="center"/>
              <w:rPr>
                <w:rFonts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存在的问题分析及改进措施</w:t>
            </w:r>
          </w:p>
        </w:tc>
        <w:tc>
          <w:tcPr>
            <w:tcW w:w="1559" w:type="dxa"/>
            <w:vAlign w:val="center"/>
          </w:tcPr>
          <w:p>
            <w:pPr>
              <w:spacing w:line="576" w:lineRule="exact"/>
              <w:jc w:val="center"/>
              <w:rPr>
                <w:rFonts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存在的问题</w:t>
            </w:r>
          </w:p>
        </w:tc>
        <w:tc>
          <w:tcPr>
            <w:tcW w:w="6687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宋体" w:eastAsia="仿宋_GB2312" w:cs="宋体"/>
                <w:szCs w:val="21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szCs w:val="21"/>
                <w:lang w:val="en-US" w:eastAsia="zh-CN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90" w:hRule="atLeast"/>
          <w:jc w:val="center"/>
        </w:trPr>
        <w:tc>
          <w:tcPr>
            <w:tcW w:w="793" w:type="dxa"/>
            <w:vMerge w:val="continue"/>
          </w:tcPr>
          <w:p>
            <w:pPr>
              <w:spacing w:line="576" w:lineRule="exact"/>
              <w:jc w:val="center"/>
              <w:rPr>
                <w:rFonts w:ascii="仿宋_GB2312" w:hAnsi="宋体" w:eastAsia="仿宋_GB2312" w:cs="宋体"/>
                <w:szCs w:val="21"/>
              </w:rPr>
            </w:pPr>
          </w:p>
        </w:tc>
        <w:tc>
          <w:tcPr>
            <w:tcW w:w="1559" w:type="dxa"/>
            <w:vAlign w:val="center"/>
          </w:tcPr>
          <w:p>
            <w:pPr>
              <w:spacing w:line="576" w:lineRule="exact"/>
              <w:jc w:val="center"/>
              <w:rPr>
                <w:rFonts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改进措施</w:t>
            </w:r>
          </w:p>
        </w:tc>
        <w:tc>
          <w:tcPr>
            <w:tcW w:w="6687" w:type="dxa"/>
            <w:vAlign w:val="center"/>
          </w:tcPr>
          <w:p>
            <w:pPr>
              <w:spacing w:line="360" w:lineRule="auto"/>
              <w:ind w:firstLine="3150" w:firstLineChars="1500"/>
              <w:jc w:val="both"/>
              <w:rPr>
                <w:rFonts w:hint="default" w:ascii="仿宋_GB2312" w:hAnsi="宋体" w:eastAsia="仿宋_GB2312" w:cs="宋体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szCs w:val="21"/>
                <w:lang w:val="en-US" w:eastAsia="zh-CN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0" w:hRule="atLeast"/>
          <w:jc w:val="center"/>
        </w:trPr>
        <w:tc>
          <w:tcPr>
            <w:tcW w:w="793" w:type="dxa"/>
            <w:vMerge w:val="continue"/>
          </w:tcPr>
          <w:p>
            <w:pPr>
              <w:spacing w:line="576" w:lineRule="exact"/>
              <w:jc w:val="center"/>
              <w:rPr>
                <w:rFonts w:ascii="仿宋_GB2312" w:hAnsi="宋体" w:eastAsia="仿宋_GB2312" w:cs="宋体"/>
                <w:szCs w:val="21"/>
              </w:rPr>
            </w:pPr>
          </w:p>
        </w:tc>
        <w:tc>
          <w:tcPr>
            <w:tcW w:w="1559" w:type="dxa"/>
            <w:vAlign w:val="center"/>
          </w:tcPr>
          <w:p>
            <w:pPr>
              <w:spacing w:line="576" w:lineRule="exact"/>
              <w:jc w:val="center"/>
              <w:rPr>
                <w:rFonts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其他需要说明问题</w:t>
            </w:r>
          </w:p>
        </w:tc>
        <w:tc>
          <w:tcPr>
            <w:tcW w:w="6687" w:type="dxa"/>
            <w:vAlign w:val="center"/>
          </w:tcPr>
          <w:p>
            <w:pPr>
              <w:spacing w:line="576" w:lineRule="exact"/>
              <w:ind w:right="880" w:rightChars="419"/>
              <w:jc w:val="center"/>
              <w:rPr>
                <w:rFonts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  <w:lang w:val="en-US" w:eastAsia="zh-CN"/>
              </w:rPr>
              <w:t xml:space="preserve">        </w:t>
            </w:r>
            <w:r>
              <w:rPr>
                <w:rFonts w:hint="eastAsia" w:ascii="仿宋_GB2312" w:hAnsi="宋体" w:eastAsia="仿宋_GB2312" w:cs="宋体"/>
                <w:szCs w:val="21"/>
              </w:rPr>
              <w:t>无</w:t>
            </w:r>
          </w:p>
        </w:tc>
      </w:tr>
    </w:tbl>
    <w:p>
      <w:pPr>
        <w:rPr>
          <w:szCs w:val="21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MathJax_Vector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MathJax_Vector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CESI仿宋-GB2312">
    <w:panose1 w:val="02000500000000000000"/>
    <w:charset w:val="86"/>
    <w:family w:val="auto"/>
    <w:pitch w:val="default"/>
    <w:sig w:usb0="800002AF" w:usb1="084F6CF8" w:usb2="00000010" w:usb3="00000000" w:csb0="0004000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CESI黑体-GB2312">
    <w:panose1 w:val="02000500000000000000"/>
    <w:charset w:val="86"/>
    <w:family w:val="auto"/>
    <w:pitch w:val="default"/>
    <w:sig w:usb0="800002BF" w:usb1="184F6CF8" w:usb2="00000012" w:usb3="00000000" w:csb0="0004000F" w:csb1="00000000"/>
  </w:font>
  <w:font w:name="方正楷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CESI楷体-GB2312">
    <w:panose1 w:val="02000500000000000000"/>
    <w:charset w:val="86"/>
    <w:family w:val="auto"/>
    <w:pitch w:val="default"/>
    <w:sig w:usb0="800002BF" w:usb1="184F6CF8" w:usb2="00000012" w:usb3="00000000" w:csb0="0004000F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_GBK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微软雅黑">
    <w:altName w:val="方正黑体_GBK"/>
    <w:panose1 w:val="020B0503020204020204"/>
    <w:charset w:val="86"/>
    <w:family w:val="auto"/>
    <w:pitch w:val="default"/>
    <w:sig w:usb0="00000000" w:usb1="00000000" w:usb2="00000016" w:usb3="00000000" w:csb0="0004001F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VkMDg5MWMyYTk2Njg5NTc5MDE4YjQ0OTI5ZTYwYTAifQ=="/>
  </w:docVars>
  <w:rsids>
    <w:rsidRoot w:val="00EF1FCE"/>
    <w:rsid w:val="00060583"/>
    <w:rsid w:val="00174908"/>
    <w:rsid w:val="001E662E"/>
    <w:rsid w:val="00253E00"/>
    <w:rsid w:val="00313492"/>
    <w:rsid w:val="00343028"/>
    <w:rsid w:val="003F56DB"/>
    <w:rsid w:val="004E3E71"/>
    <w:rsid w:val="005E72A3"/>
    <w:rsid w:val="00633BC4"/>
    <w:rsid w:val="006A6ED7"/>
    <w:rsid w:val="006D0AFF"/>
    <w:rsid w:val="006F6179"/>
    <w:rsid w:val="008E6F78"/>
    <w:rsid w:val="009A2191"/>
    <w:rsid w:val="00AA5DB7"/>
    <w:rsid w:val="00B5351C"/>
    <w:rsid w:val="00B63BAC"/>
    <w:rsid w:val="00B907FB"/>
    <w:rsid w:val="00BE2FD1"/>
    <w:rsid w:val="00C71C70"/>
    <w:rsid w:val="00C84172"/>
    <w:rsid w:val="00D003FE"/>
    <w:rsid w:val="00D368B4"/>
    <w:rsid w:val="00EB11D6"/>
    <w:rsid w:val="00EF1FCE"/>
    <w:rsid w:val="00F420B0"/>
    <w:rsid w:val="02BA3F8E"/>
    <w:rsid w:val="030A4840"/>
    <w:rsid w:val="04207E21"/>
    <w:rsid w:val="072B545A"/>
    <w:rsid w:val="08CC67C9"/>
    <w:rsid w:val="095011A8"/>
    <w:rsid w:val="0B2005A2"/>
    <w:rsid w:val="0C346B5F"/>
    <w:rsid w:val="0CB3217A"/>
    <w:rsid w:val="0E464928"/>
    <w:rsid w:val="10BB15FD"/>
    <w:rsid w:val="16175528"/>
    <w:rsid w:val="16EB64F4"/>
    <w:rsid w:val="1BD25A4D"/>
    <w:rsid w:val="1C5648D0"/>
    <w:rsid w:val="1F1A7E37"/>
    <w:rsid w:val="1F3233D2"/>
    <w:rsid w:val="1F7F7C9A"/>
    <w:rsid w:val="268F4C66"/>
    <w:rsid w:val="26B24DF9"/>
    <w:rsid w:val="26CA4F64"/>
    <w:rsid w:val="285C501C"/>
    <w:rsid w:val="2A094AF7"/>
    <w:rsid w:val="2A0B6CFA"/>
    <w:rsid w:val="2AE8733F"/>
    <w:rsid w:val="2AFE23BA"/>
    <w:rsid w:val="2B85488A"/>
    <w:rsid w:val="2C245E51"/>
    <w:rsid w:val="2D1B54A6"/>
    <w:rsid w:val="2D2B320F"/>
    <w:rsid w:val="2F5A7DDB"/>
    <w:rsid w:val="2FC33445"/>
    <w:rsid w:val="377A733E"/>
    <w:rsid w:val="39186D3D"/>
    <w:rsid w:val="398F789C"/>
    <w:rsid w:val="3AC16F61"/>
    <w:rsid w:val="3BA50630"/>
    <w:rsid w:val="3CA07775"/>
    <w:rsid w:val="3DEE62BF"/>
    <w:rsid w:val="3E04063B"/>
    <w:rsid w:val="3EA177D5"/>
    <w:rsid w:val="3EBE2135"/>
    <w:rsid w:val="3FF676AC"/>
    <w:rsid w:val="442962A2"/>
    <w:rsid w:val="44894F93"/>
    <w:rsid w:val="44D3620E"/>
    <w:rsid w:val="44FA45C5"/>
    <w:rsid w:val="45A32084"/>
    <w:rsid w:val="45C7444D"/>
    <w:rsid w:val="46164604"/>
    <w:rsid w:val="46A10565"/>
    <w:rsid w:val="46AC6D17"/>
    <w:rsid w:val="4C0F2222"/>
    <w:rsid w:val="4D1B4BF6"/>
    <w:rsid w:val="4D331F40"/>
    <w:rsid w:val="4DBC1F35"/>
    <w:rsid w:val="4DD52FF7"/>
    <w:rsid w:val="4E231FB4"/>
    <w:rsid w:val="4F5336EF"/>
    <w:rsid w:val="4F9A44F8"/>
    <w:rsid w:val="50D70E34"/>
    <w:rsid w:val="518D64C5"/>
    <w:rsid w:val="53DB6E8D"/>
    <w:rsid w:val="540C0B48"/>
    <w:rsid w:val="589E6E07"/>
    <w:rsid w:val="592B61C1"/>
    <w:rsid w:val="59837DAB"/>
    <w:rsid w:val="5A957D96"/>
    <w:rsid w:val="5B48305A"/>
    <w:rsid w:val="5B914A01"/>
    <w:rsid w:val="5B9C5154"/>
    <w:rsid w:val="5BC8419B"/>
    <w:rsid w:val="5C0056E3"/>
    <w:rsid w:val="5F182D44"/>
    <w:rsid w:val="635D166D"/>
    <w:rsid w:val="64095351"/>
    <w:rsid w:val="6558033E"/>
    <w:rsid w:val="66AD46B9"/>
    <w:rsid w:val="670E33AA"/>
    <w:rsid w:val="67915D89"/>
    <w:rsid w:val="68330BEE"/>
    <w:rsid w:val="68E63EB3"/>
    <w:rsid w:val="69935DE8"/>
    <w:rsid w:val="6A120653"/>
    <w:rsid w:val="6A4D41E9"/>
    <w:rsid w:val="6B9320D0"/>
    <w:rsid w:val="6BD31F3C"/>
    <w:rsid w:val="6C5555D7"/>
    <w:rsid w:val="6CC60283"/>
    <w:rsid w:val="6D763A57"/>
    <w:rsid w:val="6E4C784F"/>
    <w:rsid w:val="6E697118"/>
    <w:rsid w:val="703B0F88"/>
    <w:rsid w:val="721970A7"/>
    <w:rsid w:val="73697BBA"/>
    <w:rsid w:val="751F6782"/>
    <w:rsid w:val="76C23869"/>
    <w:rsid w:val="7798281C"/>
    <w:rsid w:val="781B5927"/>
    <w:rsid w:val="78686692"/>
    <w:rsid w:val="7A19336B"/>
    <w:rsid w:val="7B18439F"/>
    <w:rsid w:val="7B71585E"/>
    <w:rsid w:val="7BD77DB7"/>
    <w:rsid w:val="7BFF10BB"/>
    <w:rsid w:val="7C9712F4"/>
    <w:rsid w:val="7CAF2AE1"/>
    <w:rsid w:val="7CC540B3"/>
    <w:rsid w:val="7E843AFA"/>
    <w:rsid w:val="7EFD5C75"/>
    <w:rsid w:val="9DDE89D9"/>
    <w:rsid w:val="FFFFB6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1259</Words>
  <Characters>1329</Characters>
  <Lines>8</Lines>
  <Paragraphs>2</Paragraphs>
  <TotalTime>57</TotalTime>
  <ScaleCrop>false</ScaleCrop>
  <LinksUpToDate>false</LinksUpToDate>
  <CharactersWithSpaces>1337</CharactersWithSpaces>
  <Application>WPS Office_12.8.2.1112_F1E327BC-269C-435d-A152-05C5408002CA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2021-11-10T15:18:00Z</dcterms:created>
  <dc:creator>WDS</dc:creator>
  <cp:lastModifiedBy>Admin</cp:lastModifiedBy>
  <dcterms:modified xsi:type="dcterms:W3CDTF">2024-09-05T15:45:36Z</dcterms:modified>
  <cp:revision>43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2052-12.8.2.1112</vt:lpwstr>
  </property>
  <property fmtid="{D5CDD505-2E9C-101B-9397-08002B2CF9AE}" pid="3" name="ICV">
    <vt:lpwstr>A2BFBC1409B349F4A7E24D65E7512FC3_13</vt:lpwstr>
  </property>
</Properties>
</file>