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auto"/>
        <w:rPr>
          <w:rFonts w:ascii="宋体" w:hAnsi="宋体" w:eastAsia="宋体" w:cs="宋体"/>
          <w:color w:val="333333"/>
          <w:kern w:val="0"/>
          <w:sz w:val="27"/>
          <w:szCs w:val="27"/>
        </w:rPr>
      </w:pPr>
      <w:r>
        <w:rPr>
          <w:rFonts w:hint="eastAsia" w:ascii="宋体" w:hAnsi="宋体" w:eastAsia="宋体" w:cs="宋体"/>
          <w:color w:val="333333"/>
          <w:kern w:val="0"/>
          <w:sz w:val="27"/>
          <w:szCs w:val="27"/>
        </w:rPr>
        <w:t>第二部分：湘潭县农业农村局</w:t>
      </w:r>
      <w:r>
        <w:rPr>
          <w:rFonts w:hint="eastAsia" w:ascii="宋体" w:hAnsi="宋体" w:eastAsia="宋体" w:cs="宋体"/>
          <w:color w:val="333333"/>
          <w:kern w:val="0"/>
          <w:sz w:val="27"/>
          <w:szCs w:val="27"/>
          <w:lang w:eastAsia="zh-CN"/>
        </w:rPr>
        <w:t>2023年</w:t>
      </w:r>
      <w:r>
        <w:rPr>
          <w:rFonts w:hint="eastAsia" w:ascii="宋体" w:hAnsi="宋体" w:eastAsia="宋体" w:cs="宋体"/>
          <w:color w:val="333333"/>
          <w:kern w:val="0"/>
          <w:sz w:val="27"/>
          <w:szCs w:val="27"/>
        </w:rPr>
        <w:t>度部门预算表</w:t>
      </w: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部门预算和“三公”经费预算公开表格（表1）</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部门财政拨款收支总表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5"/>
        <w:tblW w:w="8322" w:type="dxa"/>
        <w:jc w:val="center"/>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3021"/>
        <w:gridCol w:w="1123"/>
        <w:gridCol w:w="2918"/>
        <w:gridCol w:w="126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Ex>
        <w:trPr>
          <w:trHeight w:val="411" w:hRule="atLeast"/>
          <w:jc w:val="center"/>
        </w:trPr>
        <w:tc>
          <w:tcPr>
            <w:tcW w:w="4144"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收  入</w:t>
            </w:r>
          </w:p>
        </w:tc>
        <w:tc>
          <w:tcPr>
            <w:tcW w:w="4178"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支   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374" w:hRule="atLeast"/>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38" w:hRule="atLeast"/>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一、一般公共预算拨款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3196.13</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一、本年支出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29622.11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经费拨款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3196.13</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（一）一般公共服务支出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纳入一般公共预算管理的非税收入拨款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（二）国防支出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二、政府性基金收入</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（三）公共安全支出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三、上级补助收入</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26425.98</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（四）教育支出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（五）科学技术支出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（六）文化体育与传媒支出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（七）社会保障和就业支出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（八）医疗卫生与计划生育支出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（九）节能环保支出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（十）城乡社区支出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（十一）农林水支出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29622.11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（十二）交通运输支出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（十三）资源勘探信息等支出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（十四）商业服务业等支出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（十五）金融支出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（十六）国土海洋气象等支出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（十七）住房保障支出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（十八）粮油物资储备支出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（十九）其他支出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二、结转下年</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收入总计</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29622.11</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支出总计</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29622.11</w:t>
            </w:r>
          </w:p>
        </w:tc>
      </w:tr>
    </w:tbl>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部门预算和“三公”经费预算公开表格（表2）</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一般公共预算支出表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5"/>
        <w:tblW w:w="8322" w:type="dxa"/>
        <w:jc w:val="center"/>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519"/>
        <w:gridCol w:w="517"/>
        <w:gridCol w:w="517"/>
        <w:gridCol w:w="3061"/>
        <w:gridCol w:w="1374"/>
        <w:gridCol w:w="1374"/>
        <w:gridCol w:w="96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Ex>
        <w:trPr>
          <w:trHeight w:val="393" w:hRule="atLeast"/>
          <w:jc w:val="center"/>
        </w:trPr>
        <w:tc>
          <w:tcPr>
            <w:tcW w:w="4614"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功能分类科目</w:t>
            </w:r>
          </w:p>
        </w:tc>
        <w:tc>
          <w:tcPr>
            <w:tcW w:w="3708"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00"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科目编码</w:t>
            </w:r>
          </w:p>
        </w:tc>
        <w:tc>
          <w:tcPr>
            <w:tcW w:w="306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科目名称</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基本支出</w:t>
            </w:r>
          </w:p>
        </w:tc>
        <w:tc>
          <w:tcPr>
            <w:tcW w:w="96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51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类</w:t>
            </w:r>
          </w:p>
        </w:tc>
        <w:tc>
          <w:tcPr>
            <w:tcW w:w="51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款</w:t>
            </w:r>
          </w:p>
        </w:tc>
        <w:tc>
          <w:tcPr>
            <w:tcW w:w="51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w:t>
            </w:r>
          </w:p>
        </w:tc>
        <w:tc>
          <w:tcPr>
            <w:tcW w:w="306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137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137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9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社会保障和就业支出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251.87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251.87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行政事业单位养老支出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251.87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251.87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2080505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机关事业单位基本养老保险缴费支出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251.87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251.87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卫生健康支出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145.69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145.69</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21011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行政事业单位医疗</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145.69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145.69</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2101101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行政单位医疗</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145.69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145.69</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农林水支出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29008.04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2318.73</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000000"/>
                <w:szCs w:val="21"/>
                <w:lang w:val="en-US" w:eastAsia="zh-CN"/>
              </w:rPr>
            </w:pPr>
            <w:r>
              <w:rPr>
                <w:rFonts w:hint="eastAsia" w:ascii="宋体" w:hAnsi="宋体" w:eastAsia="宋体" w:cs="宋体"/>
                <w:color w:val="333333"/>
                <w:szCs w:val="21"/>
                <w:lang w:val="en-US" w:eastAsia="zh-CN"/>
              </w:rPr>
              <w:t>26689.31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left"/>
              <w:rPr>
                <w:rFonts w:ascii="宋体" w:hAnsi="宋体" w:eastAsia="宋体" w:cs="宋体"/>
                <w:color w:val="333333"/>
                <w:kern w:val="0"/>
                <w:szCs w:val="21"/>
              </w:rPr>
            </w:pPr>
            <w:r>
              <w:rPr>
                <w:rFonts w:hint="eastAsia" w:ascii="宋体" w:hAnsi="宋体" w:eastAsia="宋体" w:cs="宋体"/>
                <w:color w:val="333333"/>
                <w:kern w:val="0"/>
                <w:szCs w:val="21"/>
              </w:rPr>
              <w:t>农业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29008.04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2318.73</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000000"/>
                <w:szCs w:val="21"/>
                <w:lang w:val="en-US" w:eastAsia="zh-CN"/>
              </w:rPr>
            </w:pPr>
            <w:r>
              <w:rPr>
                <w:rFonts w:hint="eastAsia" w:ascii="宋体" w:hAnsi="宋体" w:eastAsia="宋体" w:cs="宋体"/>
                <w:color w:val="333333"/>
                <w:szCs w:val="21"/>
                <w:lang w:val="en-US" w:eastAsia="zh-CN"/>
              </w:rPr>
              <w:t>26689.31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行政运行（农业）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2318.73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2318.73</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农垦运行</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lang w:val="en-US" w:eastAsia="zh-CN"/>
              </w:rPr>
              <w:t>172.28</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172.28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科技转化与推广服务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lang w:val="en-US" w:eastAsia="zh-CN"/>
              </w:rPr>
              <w:t>205</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205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2130108</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病虫害控制</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lang w:val="en-US" w:eastAsia="zh-CN"/>
              </w:rPr>
              <w:t>1194.48</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1194.48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农产品质量安全</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lang w:val="en-US" w:eastAsia="zh-CN"/>
              </w:rPr>
              <w:t>172.28</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172.28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2130121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农业结构调整补贴</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lang w:val="en-US" w:eastAsia="zh-CN"/>
              </w:rPr>
              <w:t>915</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915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2130122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农业生产发展</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lang w:val="en-US" w:eastAsia="zh-CN"/>
              </w:rPr>
              <w:t>19909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19909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2130126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农村社会事业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rPr>
            </w:pPr>
            <w:r>
              <w:rPr>
                <w:rFonts w:hint="eastAsia" w:ascii="宋体" w:hAnsi="宋体" w:eastAsia="宋体" w:cs="宋体"/>
                <w:color w:val="333333"/>
                <w:szCs w:val="21"/>
                <w:lang w:val="en-US" w:eastAsia="zh-CN"/>
              </w:rPr>
              <w:t>46.05</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46.05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2130135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农业资源保护修复与利用</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rPr>
            </w:pPr>
            <w:r>
              <w:rPr>
                <w:rFonts w:hint="eastAsia" w:ascii="宋体" w:hAnsi="宋体" w:eastAsia="宋体" w:cs="宋体"/>
                <w:color w:val="333333"/>
                <w:szCs w:val="21"/>
                <w:lang w:val="en-US" w:eastAsia="zh-CN"/>
              </w:rPr>
              <w:t>1175.22</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1175.22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2130199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其他农业农村支出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2900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2900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住房保障支出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216.51</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216.51</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22102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住房改革支出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216.51</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216.51</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2210201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住房公积金</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216.51</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216.51</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合  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29622.11</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2932.8</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26689.31</w:t>
            </w:r>
          </w:p>
        </w:tc>
      </w:tr>
    </w:tbl>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b/>
          <w:color w:val="333333"/>
          <w:kern w:val="0"/>
          <w:sz w:val="24"/>
          <w:szCs w:val="24"/>
        </w:rPr>
      </w:pPr>
    </w:p>
    <w:p>
      <w:pPr>
        <w:widowControl/>
        <w:shd w:val="clear" w:color="auto" w:fill="FFFFFF"/>
        <w:spacing w:before="100" w:beforeAutospacing="1"/>
        <w:rPr>
          <w:rFonts w:ascii="宋体" w:hAnsi="宋体" w:eastAsia="宋体" w:cs="宋体"/>
          <w:b/>
          <w:color w:val="333333"/>
          <w:kern w:val="0"/>
          <w:sz w:val="24"/>
          <w:szCs w:val="24"/>
        </w:rPr>
      </w:pPr>
    </w:p>
    <w:p>
      <w:pPr>
        <w:widowControl/>
        <w:shd w:val="clear" w:color="auto" w:fill="FFFFFF"/>
        <w:spacing w:before="100" w:beforeAutospacing="1"/>
        <w:rPr>
          <w:rFonts w:ascii="宋体" w:hAnsi="宋体" w:eastAsia="宋体" w:cs="宋体"/>
          <w:b/>
          <w:color w:val="333333"/>
          <w:kern w:val="0"/>
          <w:sz w:val="24"/>
          <w:szCs w:val="24"/>
        </w:rPr>
      </w:pPr>
    </w:p>
    <w:p>
      <w:pPr>
        <w:widowControl/>
        <w:shd w:val="clear" w:color="auto" w:fill="FFFFFF"/>
        <w:spacing w:before="100" w:beforeAutospacing="1"/>
        <w:rPr>
          <w:rFonts w:ascii="宋体" w:hAnsi="宋体" w:eastAsia="宋体" w:cs="宋体"/>
          <w:b/>
          <w:color w:val="333333"/>
          <w:kern w:val="0"/>
          <w:sz w:val="24"/>
          <w:szCs w:val="24"/>
        </w:rPr>
      </w:pPr>
    </w:p>
    <w:p>
      <w:pPr>
        <w:widowControl/>
        <w:shd w:val="clear" w:color="auto" w:fill="FFFFFF"/>
        <w:spacing w:before="100" w:beforeAutospacing="1"/>
        <w:rPr>
          <w:rFonts w:ascii="宋体" w:hAnsi="宋体" w:eastAsia="宋体" w:cs="宋体"/>
          <w:b/>
          <w:color w:val="333333"/>
          <w:kern w:val="0"/>
          <w:sz w:val="24"/>
          <w:szCs w:val="24"/>
        </w:rPr>
      </w:pPr>
      <w:r>
        <w:rPr>
          <w:rFonts w:ascii="宋体" w:hAnsi="宋体" w:eastAsia="宋体" w:cs="宋体"/>
          <w:b/>
          <w:color w:val="333333"/>
          <w:kern w:val="0"/>
          <w:sz w:val="24"/>
          <w:szCs w:val="24"/>
        </w:rPr>
        <w:t>部门预算和“三公”经费预算公开表格（表3）</w:t>
      </w:r>
    </w:p>
    <w:p>
      <w:pPr>
        <w:widowControl/>
        <w:shd w:val="clear" w:color="auto" w:fill="FFFFFF"/>
        <w:spacing w:before="100" w:beforeAutospacing="1"/>
        <w:jc w:val="center"/>
        <w:rPr>
          <w:rFonts w:ascii="宋体" w:hAnsi="宋体" w:eastAsia="宋体" w:cs="宋体"/>
          <w:b/>
          <w:color w:val="333333"/>
          <w:kern w:val="0"/>
          <w:sz w:val="24"/>
          <w:szCs w:val="24"/>
        </w:rPr>
      </w:pPr>
      <w:r>
        <w:rPr>
          <w:rFonts w:ascii="宋体" w:hAnsi="宋体" w:eastAsia="宋体" w:cs="宋体"/>
          <w:b/>
          <w:color w:val="333333"/>
          <w:kern w:val="0"/>
          <w:sz w:val="24"/>
          <w:szCs w:val="24"/>
        </w:rPr>
        <w:t>一般公共预算基本支出表</w:t>
      </w:r>
    </w:p>
    <w:p>
      <w:pPr>
        <w:widowControl/>
        <w:shd w:val="clear" w:color="auto" w:fill="FFFFFF"/>
        <w:spacing w:before="100" w:beforeAutospacing="1"/>
        <w:jc w:val="right"/>
        <w:rPr>
          <w:rFonts w:ascii="宋体" w:hAnsi="宋体" w:eastAsia="宋体" w:cs="宋体"/>
          <w:color w:val="333333"/>
          <w:kern w:val="0"/>
          <w:sz w:val="24"/>
          <w:szCs w:val="24"/>
        </w:rPr>
      </w:pPr>
      <w:r>
        <w:rPr>
          <w:rFonts w:ascii="宋体" w:hAnsi="宋体" w:eastAsia="宋体" w:cs="宋体"/>
          <w:b/>
          <w:color w:val="333333"/>
          <w:kern w:val="0"/>
          <w:sz w:val="24"/>
          <w:szCs w:val="24"/>
        </w:rPr>
        <w:t>　</w:t>
      </w:r>
      <w:r>
        <w:rPr>
          <w:rFonts w:ascii="宋体" w:hAnsi="宋体" w:eastAsia="宋体" w:cs="宋体"/>
          <w:color w:val="333333"/>
          <w:kern w:val="0"/>
          <w:sz w:val="24"/>
          <w:szCs w:val="24"/>
        </w:rPr>
        <w:t>　单位：万元</w:t>
      </w:r>
    </w:p>
    <w:tbl>
      <w:tblPr>
        <w:tblStyle w:val="5"/>
        <w:tblW w:w="8336"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7"/>
        <w:gridCol w:w="567"/>
        <w:gridCol w:w="2720"/>
        <w:gridCol w:w="1482"/>
        <w:gridCol w:w="1610"/>
        <w:gridCol w:w="1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3844" w:type="dxa"/>
            <w:gridSpan w:val="3"/>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经济分类科目</w:t>
            </w:r>
          </w:p>
        </w:tc>
        <w:tc>
          <w:tcPr>
            <w:tcW w:w="4492" w:type="dxa"/>
            <w:gridSpan w:val="3"/>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基本支出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科目编码</w:t>
            </w:r>
          </w:p>
        </w:tc>
        <w:tc>
          <w:tcPr>
            <w:tcW w:w="2720" w:type="dxa"/>
            <w:vMerge w:val="restart"/>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科目名称</w:t>
            </w:r>
          </w:p>
        </w:tc>
        <w:tc>
          <w:tcPr>
            <w:tcW w:w="1482" w:type="dxa"/>
            <w:vMerge w:val="restart"/>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合计</w:t>
            </w:r>
          </w:p>
        </w:tc>
        <w:tc>
          <w:tcPr>
            <w:tcW w:w="1610" w:type="dxa"/>
            <w:vMerge w:val="restart"/>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人员经费</w:t>
            </w:r>
          </w:p>
        </w:tc>
        <w:tc>
          <w:tcPr>
            <w:tcW w:w="1400" w:type="dxa"/>
            <w:vMerge w:val="restart"/>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公用经费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557"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类</w:t>
            </w:r>
          </w:p>
        </w:tc>
        <w:tc>
          <w:tcPr>
            <w:tcW w:w="567"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款</w:t>
            </w:r>
          </w:p>
        </w:tc>
        <w:tc>
          <w:tcPr>
            <w:tcW w:w="2720" w:type="dxa"/>
            <w:vMerge w:val="continue"/>
            <w:vAlign w:val="center"/>
          </w:tcPr>
          <w:p>
            <w:pPr>
              <w:widowControl/>
              <w:spacing w:line="300" w:lineRule="exact"/>
              <w:jc w:val="left"/>
              <w:rPr>
                <w:rFonts w:ascii="宋体" w:hAnsi="宋体" w:eastAsia="宋体" w:cs="宋体"/>
                <w:color w:val="333333"/>
                <w:kern w:val="0"/>
                <w:szCs w:val="21"/>
              </w:rPr>
            </w:pPr>
          </w:p>
        </w:tc>
        <w:tc>
          <w:tcPr>
            <w:tcW w:w="1482" w:type="dxa"/>
            <w:vMerge w:val="continue"/>
            <w:vAlign w:val="center"/>
          </w:tcPr>
          <w:p>
            <w:pPr>
              <w:widowControl/>
              <w:spacing w:line="300" w:lineRule="exact"/>
              <w:jc w:val="left"/>
              <w:rPr>
                <w:rFonts w:ascii="宋体" w:hAnsi="宋体" w:eastAsia="宋体" w:cs="宋体"/>
                <w:color w:val="333333"/>
                <w:kern w:val="0"/>
                <w:szCs w:val="21"/>
              </w:rPr>
            </w:pPr>
          </w:p>
        </w:tc>
        <w:tc>
          <w:tcPr>
            <w:tcW w:w="1610" w:type="dxa"/>
            <w:vMerge w:val="continue"/>
            <w:vAlign w:val="center"/>
          </w:tcPr>
          <w:p>
            <w:pPr>
              <w:widowControl/>
              <w:spacing w:line="300" w:lineRule="exact"/>
              <w:jc w:val="left"/>
              <w:rPr>
                <w:rFonts w:ascii="宋体" w:hAnsi="宋体" w:eastAsia="宋体" w:cs="宋体"/>
                <w:color w:val="333333"/>
                <w:kern w:val="0"/>
                <w:szCs w:val="21"/>
              </w:rPr>
            </w:pPr>
          </w:p>
        </w:tc>
        <w:tc>
          <w:tcPr>
            <w:tcW w:w="1400" w:type="dxa"/>
            <w:vMerge w:val="continue"/>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301</w:t>
            </w:r>
          </w:p>
        </w:tc>
        <w:tc>
          <w:tcPr>
            <w:tcW w:w="2720"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工资福利支出</w:t>
            </w:r>
          </w:p>
        </w:tc>
        <w:tc>
          <w:tcPr>
            <w:tcW w:w="1482"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2540.23</w:t>
            </w:r>
          </w:p>
          <w:p>
            <w:pPr>
              <w:widowControl/>
              <w:spacing w:before="100" w:beforeAutospacing="1" w:line="300" w:lineRule="exact"/>
              <w:jc w:val="center"/>
              <w:rPr>
                <w:rFonts w:ascii="宋体" w:hAnsi="宋体" w:eastAsia="宋体" w:cs="宋体"/>
                <w:color w:val="333333"/>
                <w:kern w:val="0"/>
                <w:szCs w:val="21"/>
              </w:rPr>
            </w:pPr>
          </w:p>
        </w:tc>
        <w:tc>
          <w:tcPr>
            <w:tcW w:w="1610"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2540.23</w:t>
            </w:r>
          </w:p>
          <w:p>
            <w:pPr>
              <w:widowControl/>
              <w:spacing w:before="100" w:beforeAutospacing="1" w:line="300" w:lineRule="exact"/>
              <w:jc w:val="center"/>
              <w:rPr>
                <w:rFonts w:ascii="宋体" w:hAnsi="宋体" w:eastAsia="宋体" w:cs="宋体"/>
                <w:color w:val="333333"/>
                <w:kern w:val="0"/>
                <w:szCs w:val="21"/>
              </w:rPr>
            </w:pP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30101</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基本工资</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844.08</w:t>
            </w:r>
          </w:p>
        </w:tc>
        <w:tc>
          <w:tcPr>
            <w:tcW w:w="1610"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844.08</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30102</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津贴补贴</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87.87</w:t>
            </w:r>
          </w:p>
        </w:tc>
        <w:tc>
          <w:tcPr>
            <w:tcW w:w="1610"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87.87</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30103</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奖金</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561.70</w:t>
            </w:r>
          </w:p>
        </w:tc>
        <w:tc>
          <w:tcPr>
            <w:tcW w:w="1610"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561.70</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30106</w:t>
            </w:r>
          </w:p>
        </w:tc>
        <w:tc>
          <w:tcPr>
            <w:tcW w:w="2720" w:type="dxa"/>
            <w:vAlign w:val="center"/>
          </w:tcPr>
          <w:p>
            <w:pPr>
              <w:widowControl/>
              <w:spacing w:before="100" w:beforeAutospacing="1" w:line="300" w:lineRule="exact"/>
              <w:jc w:val="left"/>
              <w:rPr>
                <w:rFonts w:hint="eastAsia" w:ascii="宋体" w:hAnsi="宋体" w:eastAsia="宋体" w:cs="宋体"/>
                <w:color w:val="333333"/>
                <w:kern w:val="0"/>
                <w:szCs w:val="21"/>
                <w:lang w:eastAsia="zh-CN"/>
              </w:rPr>
            </w:pPr>
            <w:r>
              <w:rPr>
                <w:rFonts w:hint="eastAsia" w:ascii="宋体" w:hAnsi="宋体" w:eastAsia="宋体" w:cs="宋体"/>
                <w:color w:val="333333"/>
                <w:kern w:val="0"/>
                <w:szCs w:val="21"/>
                <w:lang w:eastAsia="zh-CN"/>
              </w:rPr>
              <w:t>伙食补助费</w:t>
            </w:r>
          </w:p>
        </w:tc>
        <w:tc>
          <w:tcPr>
            <w:tcW w:w="1482"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98.28</w:t>
            </w:r>
          </w:p>
        </w:tc>
        <w:tc>
          <w:tcPr>
            <w:tcW w:w="1610"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98.28</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30107</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绩效工资</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319.28</w:t>
            </w:r>
          </w:p>
        </w:tc>
        <w:tc>
          <w:tcPr>
            <w:tcW w:w="1610"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319.28</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30108</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机关事业单位基本养老保险缴费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251.87</w:t>
            </w:r>
          </w:p>
        </w:tc>
        <w:tc>
          <w:tcPr>
            <w:tcW w:w="1610"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251.87</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30110</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职工基本医疗保障缴费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145.69</w:t>
            </w:r>
          </w:p>
        </w:tc>
        <w:tc>
          <w:tcPr>
            <w:tcW w:w="1610"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145.69</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30112</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其他社会保障缴费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14.95</w:t>
            </w:r>
          </w:p>
        </w:tc>
        <w:tc>
          <w:tcPr>
            <w:tcW w:w="1610"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14.95</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30113</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住房公积金</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216.51</w:t>
            </w:r>
          </w:p>
        </w:tc>
        <w:tc>
          <w:tcPr>
            <w:tcW w:w="1610"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216.51</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302</w:t>
            </w:r>
          </w:p>
        </w:tc>
        <w:tc>
          <w:tcPr>
            <w:tcW w:w="2720"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商品和服务支出</w:t>
            </w:r>
          </w:p>
        </w:tc>
        <w:tc>
          <w:tcPr>
            <w:tcW w:w="1482"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377.82</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377.82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30201</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办公费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35.2</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30202</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印刷费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9.8</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30205</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水费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3.92</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30206</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电费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15.68</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30207</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邮电费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2.92</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30211</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差旅费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16.92</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30213</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维修（护）费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9.8</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30215</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会议费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30216</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培训费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30217</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公务接待费</w:t>
            </w:r>
          </w:p>
        </w:tc>
        <w:tc>
          <w:tcPr>
            <w:tcW w:w="1482"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40</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30228</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工会经费</w:t>
            </w:r>
          </w:p>
        </w:tc>
        <w:tc>
          <w:tcPr>
            <w:tcW w:w="1482"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25.34</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25.34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30229</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福利费</w:t>
            </w:r>
          </w:p>
        </w:tc>
        <w:tc>
          <w:tcPr>
            <w:tcW w:w="1482"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31.</w:t>
            </w:r>
            <w:r>
              <w:rPr>
                <w:rFonts w:hint="eastAsia" w:ascii="宋体" w:hAnsi="宋体" w:eastAsia="宋体" w:cs="宋体"/>
                <w:color w:val="333333"/>
                <w:kern w:val="0"/>
                <w:szCs w:val="21"/>
                <w:lang w:val="en-US" w:eastAsia="zh-CN"/>
              </w:rPr>
              <w:t>67</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31.</w:t>
            </w:r>
            <w:r>
              <w:rPr>
                <w:rFonts w:hint="eastAsia" w:ascii="宋体" w:hAnsi="宋体" w:eastAsia="宋体" w:cs="宋体"/>
                <w:color w:val="333333"/>
                <w:kern w:val="0"/>
                <w:szCs w:val="21"/>
                <w:lang w:val="en-US" w:eastAsia="zh-CN"/>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30231</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公务用车运行维护费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30239</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其他交通费用（车补）</w:t>
            </w:r>
          </w:p>
        </w:tc>
        <w:tc>
          <w:tcPr>
            <w:tcW w:w="1482"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126.89</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126.89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30299</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其他商品和服务支出</w:t>
            </w:r>
          </w:p>
        </w:tc>
        <w:tc>
          <w:tcPr>
            <w:tcW w:w="1482"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30.48</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30.48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303</w:t>
            </w:r>
          </w:p>
        </w:tc>
        <w:tc>
          <w:tcPr>
            <w:tcW w:w="2720"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对个人和家庭补助</w:t>
            </w:r>
          </w:p>
        </w:tc>
        <w:tc>
          <w:tcPr>
            <w:tcW w:w="1482"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14.76</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14.76</w:t>
            </w: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30304</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抚恤费</w:t>
            </w:r>
          </w:p>
        </w:tc>
        <w:tc>
          <w:tcPr>
            <w:tcW w:w="1482"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8.28</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8.28</w:t>
            </w: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30305</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生活补助</w:t>
            </w:r>
          </w:p>
        </w:tc>
        <w:tc>
          <w:tcPr>
            <w:tcW w:w="1482"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4.43</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4.43</w:t>
            </w: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30399</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其他对个人和家庭的补助支出</w:t>
            </w:r>
          </w:p>
        </w:tc>
        <w:tc>
          <w:tcPr>
            <w:tcW w:w="1482"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2.05</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2.05</w:t>
            </w: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exact"/>
        </w:trPr>
        <w:tc>
          <w:tcPr>
            <w:tcW w:w="1124" w:type="dxa"/>
            <w:gridSpan w:val="2"/>
            <w:vAlign w:val="center"/>
          </w:tcPr>
          <w:p>
            <w:pPr>
              <w:widowControl/>
              <w:spacing w:line="300" w:lineRule="exact"/>
              <w:jc w:val="left"/>
              <w:rPr>
                <w:rFonts w:ascii="Times New Roman" w:hAnsi="Times New Roman" w:eastAsia="Times New Roman" w:cs="Times New Roman"/>
                <w:kern w:val="0"/>
                <w:szCs w:val="21"/>
              </w:rPr>
            </w:pPr>
          </w:p>
        </w:tc>
        <w:tc>
          <w:tcPr>
            <w:tcW w:w="2720"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合  计</w:t>
            </w:r>
          </w:p>
        </w:tc>
        <w:tc>
          <w:tcPr>
            <w:tcW w:w="1482"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2932.81</w:t>
            </w:r>
          </w:p>
        </w:tc>
        <w:tc>
          <w:tcPr>
            <w:tcW w:w="1610"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2554.99</w:t>
            </w:r>
          </w:p>
        </w:tc>
        <w:tc>
          <w:tcPr>
            <w:tcW w:w="1400"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377.82</w:t>
            </w:r>
          </w:p>
        </w:tc>
      </w:tr>
    </w:tbl>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b/>
          <w:color w:val="333333"/>
          <w:kern w:val="0"/>
          <w:sz w:val="27"/>
          <w:szCs w:val="27"/>
        </w:rPr>
      </w:pPr>
      <w:r>
        <w:rPr>
          <w:rFonts w:hint="eastAsia" w:ascii="宋体" w:hAnsi="宋体" w:eastAsia="宋体" w:cs="宋体"/>
          <w:b/>
          <w:color w:val="333333"/>
          <w:kern w:val="0"/>
          <w:sz w:val="27"/>
          <w:szCs w:val="27"/>
        </w:rPr>
        <w:t>部门预算和“三公”经费预算公开表格（表4）</w:t>
      </w:r>
    </w:p>
    <w:p>
      <w:pPr>
        <w:widowControl/>
        <w:shd w:val="clear" w:color="auto" w:fill="FFFFFF"/>
        <w:spacing w:line="480" w:lineRule="auto"/>
        <w:ind w:firstLine="480"/>
        <w:jc w:val="center"/>
        <w:rPr>
          <w:rFonts w:ascii="宋体" w:hAnsi="宋体" w:eastAsia="宋体" w:cs="宋体"/>
          <w:b/>
          <w:color w:val="333333"/>
          <w:kern w:val="0"/>
          <w:sz w:val="27"/>
          <w:szCs w:val="27"/>
        </w:rPr>
      </w:pPr>
      <w:r>
        <w:rPr>
          <w:rFonts w:hint="eastAsia" w:ascii="宋体" w:hAnsi="宋体" w:eastAsia="宋体" w:cs="宋体"/>
          <w:b/>
          <w:color w:val="333333"/>
          <w:kern w:val="0"/>
          <w:sz w:val="27"/>
          <w:szCs w:val="27"/>
        </w:rPr>
        <w:t>一般公共预算“三公”经费支出表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5"/>
        <w:tblW w:w="8322" w:type="dxa"/>
        <w:jc w:val="center"/>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754"/>
        <w:gridCol w:w="672"/>
        <w:gridCol w:w="668"/>
        <w:gridCol w:w="618"/>
        <w:gridCol w:w="823"/>
        <w:gridCol w:w="690"/>
        <w:gridCol w:w="690"/>
        <w:gridCol w:w="825"/>
        <w:gridCol w:w="528"/>
        <w:gridCol w:w="669"/>
        <w:gridCol w:w="695"/>
        <w:gridCol w:w="69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PrEx>
        <w:trPr>
          <w:jc w:val="center"/>
        </w:trPr>
        <w:tc>
          <w:tcPr>
            <w:tcW w:w="4225" w:type="dxa"/>
            <w:gridSpan w:val="6"/>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上年预算数</w:t>
            </w:r>
          </w:p>
        </w:tc>
        <w:tc>
          <w:tcPr>
            <w:tcW w:w="4097" w:type="dxa"/>
            <w:gridSpan w:val="6"/>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本年预算数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75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67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因公</w:t>
            </w:r>
          </w:p>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出国（境）费</w:t>
            </w:r>
          </w:p>
        </w:tc>
        <w:tc>
          <w:tcPr>
            <w:tcW w:w="2109"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公务用车购置及运行费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公务接待费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82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因公</w:t>
            </w:r>
          </w:p>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出国（境）费</w:t>
            </w:r>
          </w:p>
        </w:tc>
        <w:tc>
          <w:tcPr>
            <w:tcW w:w="1892"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公务用车购置及运行费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公务接待费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75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67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公务用车购置费</w:t>
            </w: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公务用车运行费</w:t>
            </w: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825"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公务用车购置费</w:t>
            </w: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公务用车运行费</w:t>
            </w: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723" w:hRule="atLeast"/>
          <w:jc w:val="center"/>
        </w:trPr>
        <w:tc>
          <w:tcPr>
            <w:tcW w:w="75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60</w:t>
            </w:r>
          </w:p>
        </w:tc>
        <w:tc>
          <w:tcPr>
            <w:tcW w:w="67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4</w:t>
            </w:r>
            <w:r>
              <w:rPr>
                <w:rFonts w:hint="eastAsia" w:ascii="宋体" w:hAnsi="宋体" w:eastAsia="宋体" w:cs="宋体"/>
                <w:color w:val="333333"/>
                <w:kern w:val="0"/>
                <w:szCs w:val="21"/>
                <w:lang w:val="en-US" w:eastAsia="zh-CN"/>
              </w:rPr>
              <w:t>0.8</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59.2</w:t>
            </w:r>
          </w:p>
        </w:tc>
        <w:tc>
          <w:tcPr>
            <w:tcW w:w="8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rPr>
              <w:t>40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jc w:val="center"/>
        </w:trPr>
        <w:tc>
          <w:tcPr>
            <w:tcW w:w="75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7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8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bl>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b/>
          <w:bCs/>
          <w:color w:val="333333"/>
          <w:kern w:val="0"/>
          <w:sz w:val="27"/>
          <w:szCs w:val="27"/>
        </w:rPr>
      </w:pPr>
      <w:r>
        <w:rPr>
          <w:rFonts w:hint="eastAsia" w:ascii="宋体" w:hAnsi="宋体" w:eastAsia="宋体" w:cs="宋体"/>
          <w:b/>
          <w:bCs/>
          <w:color w:val="333333"/>
          <w:kern w:val="0"/>
          <w:sz w:val="27"/>
          <w:szCs w:val="27"/>
        </w:rPr>
        <w:t>部门预算和“三公”经费预算公开表格（表5）</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政府性基金预算支出表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5"/>
        <w:tblW w:w="8655" w:type="dxa"/>
        <w:jc w:val="center"/>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747"/>
        <w:gridCol w:w="748"/>
        <w:gridCol w:w="748"/>
        <w:gridCol w:w="3195"/>
        <w:gridCol w:w="897"/>
        <w:gridCol w:w="1359"/>
        <w:gridCol w:w="96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Ex>
        <w:trPr>
          <w:jc w:val="center"/>
        </w:trPr>
        <w:tc>
          <w:tcPr>
            <w:tcW w:w="5438"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功能分类科目</w:t>
            </w:r>
          </w:p>
        </w:tc>
        <w:tc>
          <w:tcPr>
            <w:tcW w:w="3217"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本年政府性基金预算财政拨款支出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Ex>
        <w:trPr>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科目编码</w:t>
            </w:r>
          </w:p>
        </w:tc>
        <w:tc>
          <w:tcPr>
            <w:tcW w:w="319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科目名称</w:t>
            </w:r>
          </w:p>
        </w:tc>
        <w:tc>
          <w:tcPr>
            <w:tcW w:w="897"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1359"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基本支出</w:t>
            </w:r>
          </w:p>
        </w:tc>
        <w:tc>
          <w:tcPr>
            <w:tcW w:w="96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项目支出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Ex>
        <w:trPr>
          <w:jc w:val="center"/>
        </w:trPr>
        <w:tc>
          <w:tcPr>
            <w:tcW w:w="74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类</w:t>
            </w:r>
          </w:p>
        </w:tc>
        <w:tc>
          <w:tcPr>
            <w:tcW w:w="7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款</w:t>
            </w:r>
          </w:p>
        </w:tc>
        <w:tc>
          <w:tcPr>
            <w:tcW w:w="7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w:t>
            </w:r>
          </w:p>
        </w:tc>
        <w:tc>
          <w:tcPr>
            <w:tcW w:w="319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宋体" w:hAnsi="宋体" w:eastAsia="宋体" w:cs="宋体"/>
                <w:color w:val="333333"/>
                <w:kern w:val="0"/>
                <w:szCs w:val="21"/>
              </w:rPr>
            </w:pPr>
          </w:p>
        </w:tc>
        <w:tc>
          <w:tcPr>
            <w:tcW w:w="89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宋体" w:hAnsi="宋体" w:eastAsia="宋体" w:cs="宋体"/>
                <w:color w:val="333333"/>
                <w:kern w:val="0"/>
                <w:szCs w:val="21"/>
              </w:rPr>
            </w:pPr>
          </w:p>
        </w:tc>
        <w:tc>
          <w:tcPr>
            <w:tcW w:w="1359"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宋体" w:hAnsi="宋体" w:eastAsia="宋体" w:cs="宋体"/>
                <w:color w:val="333333"/>
                <w:kern w:val="0"/>
                <w:szCs w:val="21"/>
              </w:rPr>
            </w:pPr>
          </w:p>
        </w:tc>
        <w:tc>
          <w:tcPr>
            <w:tcW w:w="96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757"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我单位无此项指标</w:t>
            </w: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Ex>
        <w:trPr>
          <w:trHeight w:val="540"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725"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Ex>
        <w:trPr>
          <w:trHeight w:val="725"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合计</w:t>
            </w: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r>
    </w:tbl>
    <w:p>
      <w:pPr>
        <w:widowControl/>
        <w:shd w:val="clear" w:color="auto" w:fill="FFFFFF"/>
        <w:spacing w:line="480" w:lineRule="auto"/>
        <w:ind w:firstLine="480"/>
        <w:jc w:val="center"/>
        <w:rPr>
          <w:rFonts w:ascii="宋体" w:hAnsi="宋体" w:eastAsia="宋体" w:cs="宋体"/>
          <w:b/>
          <w:bCs/>
          <w:color w:val="333333"/>
          <w:kern w:val="0"/>
          <w:sz w:val="27"/>
          <w:szCs w:val="27"/>
        </w:rPr>
      </w:pPr>
      <w:r>
        <w:rPr>
          <w:rFonts w:hint="eastAsia" w:ascii="宋体" w:hAnsi="宋体" w:eastAsia="宋体" w:cs="宋体"/>
          <w:b/>
          <w:bCs/>
          <w:color w:val="333333"/>
          <w:kern w:val="0"/>
          <w:sz w:val="27"/>
          <w:szCs w:val="27"/>
        </w:rPr>
        <w:t>部门预算和“三公”经费预算公开表格（表6）</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部门收支总表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5"/>
        <w:tblW w:w="8322" w:type="dxa"/>
        <w:jc w:val="center"/>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2506"/>
        <w:gridCol w:w="1858"/>
        <w:gridCol w:w="2874"/>
        <w:gridCol w:w="108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Ex>
        <w:trPr>
          <w:trHeight w:val="454" w:hRule="exact"/>
          <w:jc w:val="center"/>
        </w:trPr>
        <w:tc>
          <w:tcPr>
            <w:tcW w:w="4364"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收入</w:t>
            </w:r>
          </w:p>
        </w:tc>
        <w:tc>
          <w:tcPr>
            <w:tcW w:w="3958"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收入合计</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29622.11</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一、本年支出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29622.11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一、一般公共预算拨款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3196.13</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（一）一般公共服务支出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经费拨款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3196.13</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（二）国防支出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683"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纳入一般公共预算管理的非税收入拨款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（三）公共安全支出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二、政府性基金收入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（四）教育支出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67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三、纳入专户管理的非税收入拨款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（五）科学技术支出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四、上级补助收入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26425.98</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（六）文化体育与传媒支出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五、其他收入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（七）社会保障和就业支出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（八）医疗卫生与计划生育支出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（九）节能环保支出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（十）城乡社区支出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（十一）农林水支出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29622.11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（十二）交通运输支出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（十三）资源勘探信息等支出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（十四）商业服务业等支出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（十五）金融支出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（十六）国土海洋气象等支出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（十七）住房保障支出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（十八）粮油物资储备支出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（十九）其他支出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二、结转下年</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bl>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b/>
          <w:color w:val="333333"/>
          <w:kern w:val="0"/>
          <w:sz w:val="27"/>
          <w:szCs w:val="27"/>
        </w:rPr>
      </w:pPr>
      <w:r>
        <w:rPr>
          <w:rFonts w:hint="eastAsia" w:ascii="宋体" w:hAnsi="宋体" w:eastAsia="宋体" w:cs="宋体"/>
          <w:b/>
          <w:color w:val="333333"/>
          <w:kern w:val="0"/>
          <w:sz w:val="27"/>
          <w:szCs w:val="27"/>
        </w:rPr>
        <w:t>部门预算和“三公”经费预算公开表格（表7）</w:t>
      </w:r>
    </w:p>
    <w:p>
      <w:pPr>
        <w:widowControl/>
        <w:shd w:val="clear" w:color="auto" w:fill="FFFFFF"/>
        <w:spacing w:line="480" w:lineRule="auto"/>
        <w:ind w:firstLine="480"/>
        <w:jc w:val="center"/>
        <w:rPr>
          <w:rFonts w:ascii="宋体" w:hAnsi="宋体" w:eastAsia="宋体" w:cs="宋体"/>
          <w:b/>
          <w:color w:val="333333"/>
          <w:kern w:val="0"/>
          <w:sz w:val="27"/>
          <w:szCs w:val="27"/>
        </w:rPr>
      </w:pPr>
      <w:r>
        <w:rPr>
          <w:rFonts w:hint="eastAsia" w:ascii="宋体" w:hAnsi="宋体" w:eastAsia="宋体" w:cs="宋体"/>
          <w:b/>
          <w:color w:val="333333"/>
          <w:kern w:val="0"/>
          <w:sz w:val="27"/>
          <w:szCs w:val="27"/>
        </w:rPr>
        <w:t>部门收入总表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5"/>
        <w:tblW w:w="9584" w:type="dxa"/>
        <w:jc w:val="center"/>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355"/>
        <w:gridCol w:w="284"/>
        <w:gridCol w:w="284"/>
        <w:gridCol w:w="1857"/>
        <w:gridCol w:w="1032"/>
        <w:gridCol w:w="849"/>
        <w:gridCol w:w="848"/>
        <w:gridCol w:w="1084"/>
        <w:gridCol w:w="567"/>
        <w:gridCol w:w="850"/>
        <w:gridCol w:w="993"/>
        <w:gridCol w:w="58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Ex>
        <w:trPr>
          <w:trHeight w:val="567" w:hRule="atLeast"/>
          <w:jc w:val="center"/>
        </w:trPr>
        <w:tc>
          <w:tcPr>
            <w:tcW w:w="2780"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功能分类科目</w:t>
            </w:r>
          </w:p>
        </w:tc>
        <w:tc>
          <w:tcPr>
            <w:tcW w:w="103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合计</w:t>
            </w:r>
          </w:p>
        </w:tc>
        <w:tc>
          <w:tcPr>
            <w:tcW w:w="2781"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一般公共预算拨款</w:t>
            </w:r>
          </w:p>
        </w:tc>
        <w:tc>
          <w:tcPr>
            <w:tcW w:w="567"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政府性基金收入</w:t>
            </w:r>
          </w:p>
        </w:tc>
        <w:tc>
          <w:tcPr>
            <w:tcW w:w="85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纳入专户管理的非税收入拨款</w:t>
            </w:r>
          </w:p>
        </w:tc>
        <w:tc>
          <w:tcPr>
            <w:tcW w:w="993"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上级补助收入</w:t>
            </w:r>
          </w:p>
        </w:tc>
        <w:tc>
          <w:tcPr>
            <w:tcW w:w="58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其他</w:t>
            </w:r>
          </w:p>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收入</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科目编码</w:t>
            </w:r>
          </w:p>
        </w:tc>
        <w:tc>
          <w:tcPr>
            <w:tcW w:w="1857" w:type="dxa"/>
            <w:vMerge w:val="restart"/>
            <w:tcBorders>
              <w:top w:val="outset" w:color="000000" w:sz="6" w:space="0"/>
              <w:left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科目名称</w:t>
            </w:r>
          </w:p>
        </w:tc>
        <w:tc>
          <w:tcPr>
            <w:tcW w:w="103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49"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小计</w:t>
            </w:r>
          </w:p>
        </w:tc>
        <w:tc>
          <w:tcPr>
            <w:tcW w:w="848"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经费</w:t>
            </w:r>
          </w:p>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拨款</w:t>
            </w:r>
          </w:p>
        </w:tc>
        <w:tc>
          <w:tcPr>
            <w:tcW w:w="108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纳入一般公共预算管理的非税收入拨款</w:t>
            </w:r>
          </w:p>
        </w:tc>
        <w:tc>
          <w:tcPr>
            <w:tcW w:w="56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35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类</w:t>
            </w:r>
          </w:p>
        </w:tc>
        <w:tc>
          <w:tcPr>
            <w:tcW w:w="2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款</w:t>
            </w:r>
          </w:p>
        </w:tc>
        <w:tc>
          <w:tcPr>
            <w:tcW w:w="2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项</w:t>
            </w:r>
          </w:p>
        </w:tc>
        <w:tc>
          <w:tcPr>
            <w:tcW w:w="1857" w:type="dxa"/>
            <w:vMerge w:val="continue"/>
            <w:tcBorders>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103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849"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848"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10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社会保障和就业支出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251.87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251.87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251.87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行政事业单位养老支出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251.87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251.87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251.87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2080505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机关事业单位基本养老保险缴费支出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251.87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251.87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251.87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卫生健康支出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145.69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145.69</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145.69</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21011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行政事业单位医疗</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145.69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145.69</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145.69</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2101101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行政单位医疗</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145.69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145.69</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145.69</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农林水支出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29008.04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2582.06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2582.06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26425.98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29008.04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2582.06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2582.06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26425.98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行政运行（农业）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2318.73</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2318.73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2318.73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spacing w:line="300" w:lineRule="exact"/>
              <w:jc w:val="center"/>
              <w:rPr>
                <w:rFonts w:cs="宋体" w:asciiTheme="majorEastAsia" w:hAnsiTheme="majorEastAsia" w:eastAsiaTheme="majorEastAsia"/>
                <w:color w:val="333333"/>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农垦运行</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172.28</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172.28</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172.28</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科技转化与推广服务</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rPr>
              <w:t>2</w:t>
            </w:r>
            <w:r>
              <w:rPr>
                <w:rFonts w:hint="eastAsia" w:cs="宋体" w:asciiTheme="majorEastAsia" w:hAnsiTheme="majorEastAsia" w:eastAsiaTheme="majorEastAsia"/>
                <w:color w:val="333333"/>
                <w:kern w:val="0"/>
                <w:szCs w:val="21"/>
                <w:lang w:val="en-US" w:eastAsia="zh-CN"/>
              </w:rPr>
              <w:t>05</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195</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2130108</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病虫害控制</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1194.48</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5</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5</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1189.48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农产品质量安全</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172.28</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w:t>
            </w:r>
            <w:r>
              <w:rPr>
                <w:rFonts w:hint="eastAsia" w:cs="宋体" w:asciiTheme="majorEastAsia" w:hAnsiTheme="majorEastAsia" w:eastAsiaTheme="majorEastAsia"/>
                <w:color w:val="333333"/>
                <w:kern w:val="0"/>
                <w:szCs w:val="21"/>
              </w:rPr>
              <w:t>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162.28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2130121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农业结构调整补贴</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915</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915</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2130122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农业生产发展</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19909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both"/>
              <w:rPr>
                <w:rFonts w:cs="宋体" w:asciiTheme="majorEastAsia" w:hAnsiTheme="majorEastAsia" w:eastAsiaTheme="majorEastAsia"/>
                <w:color w:val="333333"/>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19909</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2130126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农村社会事业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46.05</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46.05</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46.05</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2130135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农业资源保护修复与利用</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1175.22</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1155.22</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2130199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其他农业农村支出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2900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2900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住房保障支出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216.51</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cs="宋体" w:asciiTheme="majorEastAsia" w:hAnsiTheme="majorEastAsia" w:eastAsiaTheme="majorEastAsia"/>
                <w:color w:val="333333"/>
                <w:kern w:val="0"/>
                <w:szCs w:val="21"/>
              </w:rPr>
            </w:pPr>
            <w:r>
              <w:rPr>
                <w:rFonts w:hint="eastAsia" w:ascii="宋体" w:hAnsi="宋体" w:eastAsia="宋体" w:cs="宋体"/>
                <w:color w:val="333333"/>
                <w:kern w:val="0"/>
                <w:szCs w:val="21"/>
                <w:lang w:val="en-US" w:eastAsia="zh-CN"/>
              </w:rPr>
              <w:t>216.51</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216.51</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22102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住房改革支出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216.51</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cs="宋体" w:asciiTheme="majorEastAsia" w:hAnsiTheme="majorEastAsia" w:eastAsiaTheme="majorEastAsia"/>
                <w:color w:val="333333"/>
                <w:kern w:val="0"/>
                <w:szCs w:val="21"/>
              </w:rPr>
            </w:pPr>
            <w:r>
              <w:rPr>
                <w:rFonts w:hint="eastAsia" w:ascii="宋体" w:hAnsi="宋体" w:eastAsia="宋体" w:cs="宋体"/>
                <w:color w:val="333333"/>
                <w:kern w:val="0"/>
                <w:szCs w:val="21"/>
                <w:lang w:val="en-US" w:eastAsia="zh-CN"/>
              </w:rPr>
              <w:t>216.51</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216.51</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2210201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住房公积金</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216.51</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cs="宋体" w:asciiTheme="majorEastAsia" w:hAnsiTheme="majorEastAsia" w:eastAsiaTheme="majorEastAsia"/>
                <w:color w:val="333333"/>
                <w:kern w:val="0"/>
                <w:szCs w:val="21"/>
              </w:rPr>
            </w:pPr>
            <w:r>
              <w:rPr>
                <w:rFonts w:hint="eastAsia" w:ascii="宋体" w:hAnsi="宋体" w:eastAsia="宋体" w:cs="宋体"/>
                <w:color w:val="333333"/>
                <w:kern w:val="0"/>
                <w:szCs w:val="21"/>
                <w:lang w:val="en-US" w:eastAsia="zh-CN"/>
              </w:rPr>
              <w:t>216.51</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216.51</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合计</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29622.11</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rPr>
              <w:t>3</w:t>
            </w:r>
            <w:r>
              <w:rPr>
                <w:rFonts w:hint="eastAsia" w:cs="宋体" w:asciiTheme="majorEastAsia" w:hAnsiTheme="majorEastAsia" w:eastAsiaTheme="majorEastAsia"/>
                <w:color w:val="333333"/>
                <w:kern w:val="0"/>
                <w:szCs w:val="21"/>
                <w:lang w:val="en-US" w:eastAsia="zh-CN"/>
              </w:rPr>
              <w:t>196.13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rPr>
              <w:t>3</w:t>
            </w:r>
            <w:r>
              <w:rPr>
                <w:rFonts w:hint="eastAsia" w:cs="宋体" w:asciiTheme="majorEastAsia" w:hAnsiTheme="majorEastAsia" w:eastAsiaTheme="majorEastAsia"/>
                <w:color w:val="333333"/>
                <w:kern w:val="0"/>
                <w:szCs w:val="21"/>
                <w:lang w:val="en-US" w:eastAsia="zh-CN"/>
              </w:rPr>
              <w:t>196.13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26425.98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bl>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b/>
          <w:bCs/>
          <w:color w:val="333333"/>
          <w:kern w:val="0"/>
          <w:sz w:val="27"/>
          <w:szCs w:val="27"/>
        </w:rPr>
      </w:pPr>
      <w:r>
        <w:rPr>
          <w:rFonts w:hint="eastAsia" w:ascii="宋体" w:hAnsi="宋体" w:eastAsia="宋体" w:cs="宋体"/>
          <w:b/>
          <w:bCs/>
          <w:color w:val="333333"/>
          <w:kern w:val="0"/>
          <w:sz w:val="27"/>
          <w:szCs w:val="27"/>
        </w:rPr>
        <w:t>部门预算和“三公”经费预算公开表格（表8）</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部门支出总表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5"/>
        <w:tblW w:w="8322" w:type="dxa"/>
        <w:jc w:val="center"/>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513"/>
        <w:gridCol w:w="510"/>
        <w:gridCol w:w="510"/>
        <w:gridCol w:w="2970"/>
        <w:gridCol w:w="1364"/>
        <w:gridCol w:w="1360"/>
        <w:gridCol w:w="1095"/>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Ex>
        <w:trPr>
          <w:trHeight w:val="567" w:hRule="exact"/>
          <w:jc w:val="center"/>
        </w:trPr>
        <w:tc>
          <w:tcPr>
            <w:tcW w:w="4503"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功能分类科目</w:t>
            </w:r>
          </w:p>
        </w:tc>
        <w:tc>
          <w:tcPr>
            <w:tcW w:w="3819"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科目编码</w:t>
            </w:r>
          </w:p>
        </w:tc>
        <w:tc>
          <w:tcPr>
            <w:tcW w:w="297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科目名称</w:t>
            </w:r>
          </w:p>
        </w:tc>
        <w:tc>
          <w:tcPr>
            <w:tcW w:w="136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136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基本支出</w:t>
            </w:r>
          </w:p>
        </w:tc>
        <w:tc>
          <w:tcPr>
            <w:tcW w:w="109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项目支出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51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类</w:t>
            </w:r>
          </w:p>
        </w:tc>
        <w:tc>
          <w:tcPr>
            <w:tcW w:w="51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款</w:t>
            </w:r>
          </w:p>
        </w:tc>
        <w:tc>
          <w:tcPr>
            <w:tcW w:w="51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w:t>
            </w:r>
          </w:p>
        </w:tc>
        <w:tc>
          <w:tcPr>
            <w:tcW w:w="297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宋体" w:hAnsi="宋体" w:eastAsia="宋体" w:cs="宋体"/>
                <w:color w:val="333333"/>
                <w:kern w:val="0"/>
                <w:szCs w:val="21"/>
              </w:rPr>
            </w:pPr>
          </w:p>
        </w:tc>
        <w:tc>
          <w:tcPr>
            <w:tcW w:w="136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宋体" w:hAnsi="宋体" w:eastAsia="宋体" w:cs="宋体"/>
                <w:color w:val="333333"/>
                <w:kern w:val="0"/>
                <w:szCs w:val="21"/>
              </w:rPr>
            </w:pPr>
          </w:p>
        </w:tc>
        <w:tc>
          <w:tcPr>
            <w:tcW w:w="13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宋体" w:hAnsi="宋体" w:eastAsia="宋体" w:cs="宋体"/>
                <w:color w:val="333333"/>
                <w:kern w:val="0"/>
                <w:szCs w:val="21"/>
              </w:rPr>
            </w:pPr>
          </w:p>
        </w:tc>
        <w:tc>
          <w:tcPr>
            <w:tcW w:w="109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社会保障和就业支出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251.87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251.87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行政事业单位养老支出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251.87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251.87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2080505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机关事业单位基本养老保险缴费支出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251.87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251.87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49"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卫生健康支出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145.69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145.69</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21011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行政事业单位医疗</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145.69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145.69</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2101101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行政单位医疗</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145.69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145.69</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农林水支出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29008.04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2318.73</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000000"/>
                <w:szCs w:val="21"/>
                <w:lang w:val="en-US" w:eastAsia="zh-CN"/>
              </w:rPr>
            </w:pPr>
            <w:r>
              <w:rPr>
                <w:rFonts w:hint="eastAsia" w:ascii="宋体" w:hAnsi="宋体" w:eastAsia="宋体" w:cs="宋体"/>
                <w:color w:val="333333"/>
                <w:szCs w:val="21"/>
                <w:lang w:val="en-US" w:eastAsia="zh-CN"/>
              </w:rPr>
              <w:t>26689.31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left"/>
              <w:rPr>
                <w:rFonts w:ascii="宋体" w:hAnsi="宋体" w:eastAsia="宋体" w:cs="宋体"/>
                <w:color w:val="333333"/>
                <w:kern w:val="0"/>
                <w:szCs w:val="21"/>
              </w:rPr>
            </w:pPr>
            <w:r>
              <w:rPr>
                <w:rFonts w:hint="eastAsia" w:ascii="宋体" w:hAnsi="宋体" w:eastAsia="宋体" w:cs="宋体"/>
                <w:color w:val="333333"/>
                <w:kern w:val="0"/>
                <w:szCs w:val="21"/>
              </w:rPr>
              <w:t>农业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ascii="宋体" w:hAnsi="宋体" w:eastAsia="宋体" w:cs="宋体"/>
                <w:color w:val="000000"/>
                <w:szCs w:val="21"/>
                <w:lang w:val="en-US" w:eastAsia="zh-CN"/>
              </w:rPr>
              <w:t>29008.04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lang w:val="en-US" w:eastAsia="zh-CN"/>
              </w:rPr>
              <w:t>2318.73</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ascii="宋体" w:hAnsi="宋体" w:eastAsia="宋体" w:cs="宋体"/>
                <w:color w:val="333333"/>
                <w:szCs w:val="21"/>
                <w:lang w:val="en-US" w:eastAsia="zh-CN"/>
              </w:rPr>
              <w:t>26689.31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行政运行（农业）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2318.73</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2318.73</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农垦运行</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lang w:val="en-US" w:eastAsia="zh-CN"/>
              </w:rPr>
              <w:t>172.28</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172.28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科技转化与推广服务</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lang w:val="en-US" w:eastAsia="zh-CN"/>
              </w:rPr>
              <w:t>205</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205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2130108</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病虫害控制</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lang w:val="en-US" w:eastAsia="zh-CN"/>
              </w:rPr>
              <w:t>1194.48</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1194.48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农产品质量安全</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lang w:val="en-US" w:eastAsia="zh-CN"/>
              </w:rPr>
              <w:t>172.28</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172.28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2130121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农业结构调整补贴</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915</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915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2130122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农业生产发展</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lang w:val="en-US" w:eastAsia="zh-CN"/>
              </w:rPr>
              <w:t>19909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19909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2130126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农村社会事业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lang w:val="en-US" w:eastAsia="zh-CN"/>
              </w:rPr>
              <w:t>46.05</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46.05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2130135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农业资源保护修复与利用</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lang w:val="en-US" w:eastAsia="zh-CN"/>
              </w:rPr>
              <w:t>1175.22</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1175.22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2130199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其他农业农村支出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lang w:val="en-US" w:eastAsia="zh-CN"/>
              </w:rPr>
              <w:t>2900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default" w:ascii="宋体" w:hAnsi="宋体" w:eastAsia="宋体" w:cs="宋体"/>
                <w:color w:val="333333"/>
                <w:szCs w:val="21"/>
                <w:lang w:val="en-US" w:eastAsia="zh-CN"/>
              </w:rPr>
            </w:pPr>
            <w:r>
              <w:rPr>
                <w:rFonts w:hint="eastAsia" w:ascii="宋体" w:hAnsi="宋体" w:eastAsia="宋体" w:cs="宋体"/>
                <w:color w:val="333333"/>
                <w:szCs w:val="21"/>
                <w:lang w:val="en-US" w:eastAsia="zh-CN"/>
              </w:rPr>
              <w:t>2900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住房保障支出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216.51</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216.51</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22102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住房改革支出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216.51</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216.51</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2210201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住房公积金</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216.51</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216.51</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29622.11</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2932.8</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26689.31</w:t>
            </w:r>
          </w:p>
        </w:tc>
      </w:tr>
    </w:tbl>
    <w:p/>
    <w:p/>
    <w:p/>
    <w:p/>
    <w:p/>
    <w:p/>
    <w:p/>
    <w:p/>
    <w:p/>
    <w:p/>
    <w:p/>
    <w:p/>
    <w:p/>
    <w:p/>
    <w:p/>
    <w:p/>
    <w:p/>
    <w:p/>
    <w:p/>
    <w:p/>
    <w:p/>
    <w:p/>
    <w:p/>
    <w:p/>
    <w:p/>
    <w:p/>
    <w:p/>
    <w:p/>
    <w:p/>
    <w:p/>
    <w:p/>
    <w:p/>
    <w:p>
      <w:pPr>
        <w:rPr>
          <w:rFonts w:hint="eastAsia" w:eastAsiaTheme="minorEastAsia"/>
          <w:lang w:eastAsia="zh-CN"/>
        </w:rPr>
      </w:pPr>
      <w:r>
        <w:rPr>
          <w:rFonts w:hint="eastAsia"/>
          <w:lang w:eastAsia="zh-CN"/>
        </w:rPr>
        <w:t>绩效目标附件</w:t>
      </w:r>
    </w:p>
    <w:tbl>
      <w:tblPr>
        <w:tblStyle w:val="5"/>
        <w:tblW w:w="10988" w:type="dxa"/>
        <w:tblInd w:w="-362" w:type="dxa"/>
        <w:tblLayout w:type="fixed"/>
        <w:tblCellMar>
          <w:top w:w="0" w:type="dxa"/>
          <w:left w:w="108" w:type="dxa"/>
          <w:bottom w:w="0" w:type="dxa"/>
          <w:right w:w="108" w:type="dxa"/>
        </w:tblCellMar>
      </w:tblPr>
      <w:tblGrid>
        <w:gridCol w:w="1095"/>
        <w:gridCol w:w="1176"/>
        <w:gridCol w:w="645"/>
        <w:gridCol w:w="444"/>
        <w:gridCol w:w="96"/>
        <w:gridCol w:w="690"/>
        <w:gridCol w:w="595"/>
        <w:gridCol w:w="407"/>
        <w:gridCol w:w="12"/>
        <w:gridCol w:w="910"/>
        <w:gridCol w:w="191"/>
        <w:gridCol w:w="630"/>
        <w:gridCol w:w="129"/>
        <w:gridCol w:w="249"/>
        <w:gridCol w:w="1086"/>
        <w:gridCol w:w="1131"/>
        <w:gridCol w:w="1502"/>
      </w:tblGrid>
      <w:tr>
        <w:tblPrEx>
          <w:tblLayout w:type="fixed"/>
          <w:tblCellMar>
            <w:top w:w="0" w:type="dxa"/>
            <w:left w:w="108" w:type="dxa"/>
            <w:bottom w:w="0" w:type="dxa"/>
            <w:right w:w="108" w:type="dxa"/>
          </w:tblCellMar>
        </w:tblPrEx>
        <w:trPr>
          <w:gridAfter w:val="1"/>
          <w:wAfter w:w="1502" w:type="dxa"/>
          <w:trHeight w:val="603" w:hRule="atLeast"/>
        </w:trPr>
        <w:tc>
          <w:tcPr>
            <w:tcW w:w="9486" w:type="dxa"/>
            <w:gridSpan w:val="16"/>
            <w:tcBorders>
              <w:top w:val="nil"/>
              <w:left w:val="nil"/>
              <w:bottom w:val="nil"/>
              <w:right w:val="nil"/>
            </w:tcBorders>
            <w:vAlign w:val="center"/>
          </w:tcPr>
          <w:p>
            <w:pPr>
              <w:widowControl/>
              <w:spacing w:line="480" w:lineRule="exact"/>
              <w:jc w:val="center"/>
              <w:rPr>
                <w:rFonts w:cs="宋体" w:asciiTheme="minorEastAsia" w:hAnsiTheme="minorEastAsia" w:eastAsiaTheme="minorEastAsia"/>
                <w:b/>
                <w:bCs/>
                <w:kern w:val="0"/>
                <w:sz w:val="36"/>
                <w:szCs w:val="36"/>
              </w:rPr>
            </w:pPr>
            <w:r>
              <w:rPr>
                <w:rFonts w:hint="eastAsia" w:cs="宋体" w:asciiTheme="minorEastAsia" w:hAnsiTheme="minorEastAsia"/>
                <w:b/>
                <w:bCs/>
                <w:kern w:val="0"/>
                <w:sz w:val="36"/>
                <w:szCs w:val="36"/>
                <w:lang w:val="en-US" w:eastAsia="zh-CN"/>
              </w:rPr>
              <w:t>2023年</w:t>
            </w:r>
            <w:r>
              <w:rPr>
                <w:rFonts w:hint="eastAsia" w:cs="宋体" w:asciiTheme="minorEastAsia" w:hAnsiTheme="minorEastAsia" w:eastAsiaTheme="minorEastAsia"/>
                <w:b/>
                <w:bCs/>
                <w:kern w:val="0"/>
                <w:sz w:val="36"/>
                <w:szCs w:val="36"/>
              </w:rPr>
              <w:t>部门整体支出绩效目标</w:t>
            </w:r>
            <w:r>
              <w:rPr>
                <w:rFonts w:hint="eastAsia" w:cs="宋体" w:asciiTheme="minorEastAsia" w:hAnsiTheme="minorEastAsia" w:eastAsiaTheme="minorEastAsia"/>
                <w:b/>
                <w:bCs/>
                <w:kern w:val="0"/>
                <w:sz w:val="36"/>
                <w:szCs w:val="36"/>
                <w:lang w:eastAsia="zh-CN"/>
              </w:rPr>
              <w:t>公开</w:t>
            </w:r>
            <w:r>
              <w:rPr>
                <w:rFonts w:hint="eastAsia" w:cs="宋体" w:asciiTheme="minorEastAsia" w:hAnsiTheme="minorEastAsia" w:eastAsiaTheme="minorEastAsia"/>
                <w:b/>
                <w:bCs/>
                <w:kern w:val="0"/>
                <w:sz w:val="36"/>
                <w:szCs w:val="36"/>
              </w:rPr>
              <w:t>表</w:t>
            </w:r>
          </w:p>
        </w:tc>
      </w:tr>
      <w:tr>
        <w:tblPrEx>
          <w:tblLayout w:type="fixed"/>
          <w:tblCellMar>
            <w:top w:w="0" w:type="dxa"/>
            <w:left w:w="108" w:type="dxa"/>
            <w:bottom w:w="0" w:type="dxa"/>
            <w:right w:w="108" w:type="dxa"/>
          </w:tblCellMar>
        </w:tblPrEx>
        <w:trPr>
          <w:gridAfter w:val="1"/>
          <w:wAfter w:w="1502" w:type="dxa"/>
          <w:trHeight w:val="536" w:hRule="atLeast"/>
        </w:trPr>
        <w:tc>
          <w:tcPr>
            <w:tcW w:w="9486" w:type="dxa"/>
            <w:gridSpan w:val="16"/>
            <w:tcBorders>
              <w:top w:val="nil"/>
              <w:left w:val="nil"/>
              <w:bottom w:val="nil"/>
              <w:right w:val="nil"/>
            </w:tcBorders>
            <w:vAlign w:val="center"/>
          </w:tcPr>
          <w:p>
            <w:pPr>
              <w:widowControl/>
              <w:spacing w:line="480" w:lineRule="exact"/>
              <w:jc w:val="left"/>
              <w:rPr>
                <w:rFonts w:hint="eastAsia" w:ascii="仿宋_GB2312" w:hAnsi="宋体" w:eastAsia="仿宋_GB2312" w:cs="宋体"/>
                <w:kern w:val="0"/>
                <w:sz w:val="24"/>
                <w:lang w:eastAsia="zh-CN"/>
              </w:rPr>
            </w:pPr>
            <w:r>
              <w:rPr>
                <w:rFonts w:ascii="仿宋_GB2312" w:hAnsi="宋体" w:eastAsia="仿宋_GB2312" w:cs="宋体"/>
                <w:kern w:val="0"/>
                <w:sz w:val="24"/>
              </w:rPr>
              <w:t xml:space="preserve"> </w:t>
            </w:r>
            <w:r>
              <w:rPr>
                <w:rFonts w:hint="eastAsia" w:ascii="仿宋_GB2312" w:hAnsi="宋体" w:eastAsia="仿宋_GB2312" w:cs="宋体"/>
                <w:kern w:val="0"/>
                <w:sz w:val="24"/>
              </w:rPr>
              <w:t>填报单位（盖章）</w:t>
            </w:r>
            <w:r>
              <w:rPr>
                <w:rFonts w:hint="eastAsia" w:ascii="仿宋_GB2312" w:hAnsi="宋体" w:eastAsia="仿宋_GB2312" w:cs="宋体"/>
                <w:kern w:val="0"/>
                <w:sz w:val="24"/>
                <w:lang w:eastAsia="zh-CN"/>
              </w:rPr>
              <w:t>湘潭县农业农村局</w:t>
            </w:r>
          </w:p>
        </w:tc>
      </w:tr>
      <w:tr>
        <w:tblPrEx>
          <w:tblLayout w:type="fixed"/>
          <w:tblCellMar>
            <w:top w:w="0" w:type="dxa"/>
            <w:left w:w="108" w:type="dxa"/>
            <w:bottom w:w="0" w:type="dxa"/>
            <w:right w:w="108" w:type="dxa"/>
          </w:tblCellMar>
        </w:tblPrEx>
        <w:trPr>
          <w:gridAfter w:val="1"/>
          <w:wAfter w:w="1502" w:type="dxa"/>
          <w:trHeight w:val="427" w:hRule="atLeast"/>
        </w:trPr>
        <w:tc>
          <w:tcPr>
            <w:tcW w:w="1095" w:type="dxa"/>
            <w:vMerge w:val="restart"/>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部门基本信息</w:t>
            </w:r>
          </w:p>
        </w:tc>
        <w:tc>
          <w:tcPr>
            <w:tcW w:w="226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单位名称</w:t>
            </w:r>
          </w:p>
        </w:tc>
        <w:tc>
          <w:tcPr>
            <w:tcW w:w="6126" w:type="dxa"/>
            <w:gridSpan w:val="1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湘潭县农业农村局</w:t>
            </w: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50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通讯地址</w:t>
            </w:r>
          </w:p>
        </w:tc>
        <w:tc>
          <w:tcPr>
            <w:tcW w:w="6126" w:type="dxa"/>
            <w:gridSpan w:val="1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 w:hAnsi="仿宋" w:eastAsia="仿宋" w:cs="黑体"/>
              </w:rPr>
              <w:t>湘潭县易俗河镇凤凰路158号</w:t>
            </w: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584"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单位预算绩效管理联系人</w:t>
            </w:r>
          </w:p>
        </w:tc>
        <w:tc>
          <w:tcPr>
            <w:tcW w:w="1800"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rPr>
              <w:t>　</w:t>
            </w:r>
            <w:r>
              <w:rPr>
                <w:rFonts w:hint="eastAsia" w:ascii="仿宋_GB2312" w:eastAsia="仿宋_GB2312"/>
                <w:color w:val="000000"/>
                <w:kern w:val="0"/>
                <w:szCs w:val="21"/>
                <w:lang w:eastAsia="zh-CN"/>
              </w:rPr>
              <w:t>欧小秦</w:t>
            </w:r>
          </w:p>
        </w:tc>
        <w:tc>
          <w:tcPr>
            <w:tcW w:w="1860"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ascii="仿宋_GB2312" w:eastAsia="仿宋_GB2312"/>
                <w:color w:val="000000"/>
                <w:kern w:val="0"/>
                <w:szCs w:val="21"/>
              </w:rPr>
              <w:t xml:space="preserve"> </w:t>
            </w:r>
            <w:r>
              <w:rPr>
                <w:rFonts w:hint="eastAsia" w:ascii="仿宋_GB2312" w:eastAsia="仿宋_GB2312"/>
                <w:color w:val="000000"/>
                <w:kern w:val="0"/>
                <w:szCs w:val="21"/>
              </w:rPr>
              <w:t>联系电话</w:t>
            </w:r>
          </w:p>
        </w:tc>
        <w:tc>
          <w:tcPr>
            <w:tcW w:w="2466"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18673265593</w:t>
            </w: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545"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人员编制数</w:t>
            </w:r>
          </w:p>
        </w:tc>
        <w:tc>
          <w:tcPr>
            <w:tcW w:w="1800"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219人</w:t>
            </w:r>
          </w:p>
        </w:tc>
        <w:tc>
          <w:tcPr>
            <w:tcW w:w="1860"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ascii="仿宋_GB2312" w:eastAsia="仿宋_GB2312"/>
                <w:color w:val="000000"/>
                <w:kern w:val="0"/>
                <w:szCs w:val="21"/>
              </w:rPr>
              <w:t xml:space="preserve"> </w:t>
            </w:r>
            <w:r>
              <w:rPr>
                <w:rFonts w:hint="eastAsia" w:ascii="仿宋_GB2312" w:eastAsia="仿宋_GB2312"/>
                <w:color w:val="000000"/>
                <w:kern w:val="0"/>
                <w:szCs w:val="21"/>
              </w:rPr>
              <w:t>实有人数</w:t>
            </w:r>
          </w:p>
        </w:tc>
        <w:tc>
          <w:tcPr>
            <w:tcW w:w="2466"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rPr>
            </w:pPr>
            <w:r>
              <w:rPr>
                <w:rFonts w:hint="eastAsia" w:ascii="仿宋_GB2312" w:eastAsia="仿宋_GB2312"/>
                <w:color w:val="000000"/>
                <w:kern w:val="0"/>
                <w:szCs w:val="21"/>
                <w:lang w:val="en-US" w:eastAsia="zh-CN"/>
              </w:rPr>
              <w:t>206人</w:t>
            </w:r>
          </w:p>
        </w:tc>
      </w:tr>
      <w:tr>
        <w:tblPrEx>
          <w:tblLayout w:type="fixed"/>
          <w:tblCellMar>
            <w:top w:w="0" w:type="dxa"/>
            <w:left w:w="108" w:type="dxa"/>
            <w:bottom w:w="0" w:type="dxa"/>
            <w:right w:w="108" w:type="dxa"/>
          </w:tblCellMar>
        </w:tblPrEx>
        <w:trPr>
          <w:gridAfter w:val="1"/>
          <w:wAfter w:w="1502" w:type="dxa"/>
          <w:trHeight w:val="1858"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部门职能职责概述</w:t>
            </w:r>
          </w:p>
        </w:tc>
        <w:tc>
          <w:tcPr>
            <w:tcW w:w="7215" w:type="dxa"/>
            <w:gridSpan w:val="14"/>
            <w:tcBorders>
              <w:top w:val="single" w:color="auto" w:sz="4" w:space="0"/>
              <w:left w:val="nil"/>
              <w:bottom w:val="single" w:color="auto" w:sz="4" w:space="0"/>
              <w:right w:val="single" w:color="000000" w:sz="8" w:space="0"/>
            </w:tcBorders>
            <w:vAlign w:val="center"/>
          </w:tcPr>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w:t>
            </w:r>
            <w:r>
              <w:rPr>
                <w:rFonts w:ascii="仿宋" w:hAnsi="仿宋" w:eastAsia="仿宋" w:cs="宋体"/>
                <w:color w:val="333333"/>
                <w:kern w:val="0"/>
              </w:rPr>
              <w:t>拟订全县农业农村工作的发展中长期规划并指导实施。负责全县农业综合执法，推进农业依法行政。提出有关农产品，农业财政补贴及农业产业保护的政策建议，参与制定相关政策。</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2、</w:t>
            </w:r>
            <w:r>
              <w:rPr>
                <w:rFonts w:ascii="仿宋" w:hAnsi="仿宋" w:eastAsia="仿宋" w:cs="宋体"/>
                <w:color w:val="333333"/>
                <w:kern w:val="0"/>
              </w:rPr>
              <w:t>统筹推动发展农村社会事业、农村公共服务、农村文化、农村基础设施和乡村治理。牵头组织改善农村人居环境。指导农村精神文明和优秀农耕文化建设。</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3、</w:t>
            </w:r>
            <w:r>
              <w:rPr>
                <w:rFonts w:ascii="仿宋" w:hAnsi="仿宋" w:eastAsia="仿宋" w:cs="宋体"/>
                <w:color w:val="333333"/>
                <w:kern w:val="0"/>
              </w:rPr>
              <w:t>贯彻执行党和国家扶贫开发工作方针、政策，负责拟定全县扶贫开发工作的政策和发展规划；负责组织、协调、指导全县精准扶贫工作，协调安排扶贫资金，并检查、监督使用情况。</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4、</w:t>
            </w:r>
            <w:r>
              <w:rPr>
                <w:rFonts w:ascii="仿宋" w:hAnsi="仿宋" w:eastAsia="仿宋" w:cs="宋体"/>
                <w:color w:val="333333"/>
                <w:kern w:val="0"/>
              </w:rPr>
              <w:t>研究提出深化农村经济体制改革和巩固完善农村基本经营制度的建议。负责农村宅基地改革和管理有关工作。指导农民合作经济组织、农业社会化服务体系、新型农业经营主体建设与发展。</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5、</w:t>
            </w:r>
            <w:r>
              <w:rPr>
                <w:rFonts w:ascii="仿宋" w:hAnsi="仿宋" w:eastAsia="仿宋" w:cs="宋体"/>
                <w:color w:val="333333"/>
                <w:kern w:val="0"/>
              </w:rPr>
              <w:t>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6、</w:t>
            </w:r>
            <w:r>
              <w:rPr>
                <w:rFonts w:ascii="仿宋" w:hAnsi="仿宋" w:eastAsia="仿宋" w:cs="宋体"/>
                <w:color w:val="333333"/>
                <w:kern w:val="0"/>
              </w:rPr>
              <w:t>负责全县种植业、畜牧业、渔业、农业机械化等农业各产业的监督管理。指导粮食等农产品生产。组织构建现代农业产业体系、生产体系、经营体系，指导农业标准化生产。负责渔政渔港监督管理。</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7、</w:t>
            </w:r>
            <w:r>
              <w:rPr>
                <w:rFonts w:ascii="仿宋" w:hAnsi="仿宋" w:eastAsia="仿宋" w:cs="宋体"/>
                <w:color w:val="333333"/>
                <w:kern w:val="0"/>
              </w:rPr>
              <w:t>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8、</w:t>
            </w:r>
            <w:r>
              <w:rPr>
                <w:rFonts w:ascii="仿宋" w:hAnsi="仿宋" w:eastAsia="仿宋" w:cs="宋体"/>
                <w:color w:val="333333"/>
                <w:kern w:val="0"/>
              </w:rPr>
              <w:t>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9、</w:t>
            </w:r>
            <w:r>
              <w:rPr>
                <w:rFonts w:ascii="仿宋" w:hAnsi="仿宋" w:eastAsia="仿宋" w:cs="宋体"/>
                <w:color w:val="333333"/>
                <w:kern w:val="0"/>
              </w:rPr>
              <w:t>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10、</w:t>
            </w:r>
            <w:r>
              <w:rPr>
                <w:rFonts w:ascii="仿宋" w:hAnsi="仿宋" w:eastAsia="仿宋" w:cs="宋体"/>
                <w:color w:val="333333"/>
                <w:kern w:val="0"/>
              </w:rPr>
              <w:t>负责农业防灾减灾、农作物重大病虫害防治工作。指导动植物防疫检疫体系建设，组织、监督县内动植物防疫检疫工作，并组织疫情扑灭。</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11、</w:t>
            </w:r>
            <w:r>
              <w:rPr>
                <w:rFonts w:ascii="仿宋" w:hAnsi="仿宋" w:eastAsia="仿宋" w:cs="宋体"/>
                <w:color w:val="333333"/>
                <w:kern w:val="0"/>
              </w:rPr>
              <w:t>负责农业投资管理。拟订农业开发规划，组织实施有关农业项目，提出农业固定资产投资规模、投资项目和县级财政资金安排的建议，负责协调安排及监督检查有关涉农、惠农项目资金，编报部门预算并组织执行。</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12、</w:t>
            </w:r>
            <w:r>
              <w:rPr>
                <w:rFonts w:ascii="仿宋" w:hAnsi="仿宋" w:eastAsia="仿宋" w:cs="宋体"/>
                <w:color w:val="333333"/>
                <w:kern w:val="0"/>
              </w:rPr>
              <w:t>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13、</w:t>
            </w:r>
            <w:r>
              <w:rPr>
                <w:rFonts w:ascii="仿宋" w:hAnsi="仿宋" w:eastAsia="仿宋" w:cs="宋体"/>
                <w:color w:val="333333"/>
                <w:kern w:val="0"/>
              </w:rPr>
              <w:t>统一领导和管理所属的湘潭县贫困帮扶中心、湘潭县农业发展服务中心。</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14、</w:t>
            </w:r>
            <w:r>
              <w:rPr>
                <w:rFonts w:ascii="仿宋" w:hAnsi="仿宋" w:eastAsia="仿宋" w:cs="宋体"/>
                <w:color w:val="333333"/>
                <w:kern w:val="0"/>
              </w:rPr>
              <w:t>完成县委、县政府交办的其他任务。</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15、</w:t>
            </w:r>
            <w:r>
              <w:rPr>
                <w:rFonts w:ascii="仿宋" w:hAnsi="仿宋" w:eastAsia="仿宋" w:cs="宋体"/>
                <w:color w:val="333333"/>
                <w:kern w:val="0"/>
              </w:rPr>
              <w:t>职能转变。</w:t>
            </w:r>
          </w:p>
          <w:p>
            <w:pPr>
              <w:widowControl/>
              <w:shd w:val="clear" w:color="auto" w:fill="FFFFFF"/>
              <w:spacing w:line="300" w:lineRule="exact"/>
              <w:ind w:firstLine="315" w:firstLineChars="150"/>
              <w:rPr>
                <w:rFonts w:ascii="仿宋" w:hAnsi="仿宋" w:eastAsia="仿宋" w:cs="宋体"/>
                <w:color w:val="333333"/>
                <w:kern w:val="0"/>
              </w:rPr>
            </w:pPr>
            <w:r>
              <w:rPr>
                <w:rFonts w:hint="eastAsia" w:ascii="仿宋" w:hAnsi="仿宋" w:eastAsia="仿宋" w:cs="宋体"/>
                <w:color w:val="333333"/>
                <w:kern w:val="0"/>
              </w:rPr>
              <w:t>（1）</w:t>
            </w:r>
            <w:r>
              <w:rPr>
                <w:rFonts w:ascii="仿宋" w:hAnsi="仿宋" w:eastAsia="仿宋" w:cs="宋体"/>
                <w:color w:val="333333"/>
                <w:kern w:val="0"/>
              </w:rPr>
              <w:t>统筹实施乡村振兴战略，深化农业供给侧结构性改革，提升农业发展质量，扎实推进美丽乡村建设，推动农业全面升级、农村全面进步、农民全面发展，加快实现农业农村现代化。</w:t>
            </w:r>
            <w:r>
              <w:rPr>
                <w:rFonts w:hint="eastAsia" w:ascii="仿宋" w:hAnsi="仿宋" w:eastAsia="仿宋" w:cs="宋体"/>
                <w:color w:val="333333"/>
                <w:kern w:val="0"/>
              </w:rPr>
              <w:t>（2）</w:t>
            </w:r>
            <w:r>
              <w:rPr>
                <w:rFonts w:ascii="仿宋" w:hAnsi="仿宋" w:eastAsia="仿宋" w:cs="宋体"/>
                <w:color w:val="333333"/>
                <w:kern w:val="0"/>
              </w:rPr>
              <w:t>加强农产品质量安全和相关农业生产资料、农业投入品的监督管理，严防、严管、严控质量安全风险，让人民群众吃得放心、安心。</w:t>
            </w:r>
            <w:r>
              <w:rPr>
                <w:rFonts w:hint="eastAsia" w:ascii="仿宋" w:hAnsi="仿宋" w:eastAsia="仿宋" w:cs="宋体"/>
                <w:color w:val="333333"/>
                <w:kern w:val="0"/>
              </w:rPr>
              <w:t>（3）</w:t>
            </w:r>
            <w:r>
              <w:rPr>
                <w:rFonts w:ascii="仿宋" w:hAnsi="仿宋" w:eastAsia="仿宋" w:cs="宋体"/>
                <w:color w:val="333333"/>
                <w:kern w:val="0"/>
              </w:rPr>
              <w:t>加强对行业内交叉重复以及性质相同、用途相近的农业投资项目的统筹整合，加强事中事后监管，切实提升支农政策效果和资金使用效益。</w:t>
            </w:r>
          </w:p>
          <w:p>
            <w:pPr>
              <w:widowControl/>
              <w:spacing w:line="300" w:lineRule="exact"/>
              <w:ind w:firstLine="420" w:firstLineChars="200"/>
              <w:jc w:val="both"/>
              <w:rPr>
                <w:rFonts w:ascii="仿宋_GB2312" w:eastAsia="仿宋_GB2312"/>
                <w:color w:val="000000"/>
                <w:kern w:val="0"/>
                <w:szCs w:val="21"/>
              </w:rPr>
            </w:pPr>
            <w:r>
              <w:rPr>
                <w:rFonts w:hint="eastAsia" w:ascii="仿宋" w:hAnsi="仿宋" w:eastAsia="仿宋" w:cs="宋体"/>
                <w:color w:val="333333"/>
                <w:kern w:val="0"/>
              </w:rPr>
              <w:t>16、</w:t>
            </w:r>
            <w:r>
              <w:rPr>
                <w:rFonts w:ascii="仿宋" w:hAnsi="仿宋" w:eastAsia="仿宋" w:cs="宋体"/>
                <w:color w:val="333333"/>
                <w:kern w:val="0"/>
              </w:rPr>
              <w:t>有关职责分工另行规定。</w:t>
            </w: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38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单位年度收入预算（万元）</w:t>
            </w:r>
          </w:p>
        </w:tc>
      </w:tr>
      <w:tr>
        <w:tblPrEx>
          <w:tblLayout w:type="fixed"/>
          <w:tblCellMar>
            <w:top w:w="0" w:type="dxa"/>
            <w:left w:w="108" w:type="dxa"/>
            <w:bottom w:w="0" w:type="dxa"/>
            <w:right w:w="108" w:type="dxa"/>
          </w:tblCellMar>
        </w:tblPrEx>
        <w:trPr>
          <w:trHeight w:val="66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收入合计</w:t>
            </w:r>
          </w:p>
        </w:tc>
        <w:tc>
          <w:tcPr>
            <w:tcW w:w="1230" w:type="dxa"/>
            <w:gridSpan w:val="3"/>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财政预算拨款</w:t>
            </w:r>
          </w:p>
        </w:tc>
        <w:tc>
          <w:tcPr>
            <w:tcW w:w="1002" w:type="dxa"/>
            <w:gridSpan w:val="2"/>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政府性基金</w:t>
            </w:r>
          </w:p>
        </w:tc>
        <w:tc>
          <w:tcPr>
            <w:tcW w:w="1743" w:type="dxa"/>
            <w:gridSpan w:val="4"/>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纳入预算管理的非税收入拨款</w:t>
            </w:r>
          </w:p>
        </w:tc>
        <w:tc>
          <w:tcPr>
            <w:tcW w:w="1464" w:type="dxa"/>
            <w:gridSpan w:val="3"/>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上级补助</w:t>
            </w:r>
          </w:p>
        </w:tc>
        <w:tc>
          <w:tcPr>
            <w:tcW w:w="1131" w:type="dxa"/>
            <w:tcBorders>
              <w:top w:val="single" w:color="auto" w:sz="4" w:space="0"/>
              <w:left w:val="single" w:color="auto" w:sz="4" w:space="0"/>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其他资金</w:t>
            </w:r>
          </w:p>
        </w:tc>
        <w:tc>
          <w:tcPr>
            <w:tcW w:w="1502" w:type="dxa"/>
            <w:vAlign w:val="center"/>
          </w:tcPr>
          <w:p>
            <w:pPr>
              <w:widowControl/>
              <w:spacing w:line="260" w:lineRule="exact"/>
              <w:jc w:val="center"/>
              <w:rPr>
                <w:rFonts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384"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29622.1136</w:t>
            </w:r>
          </w:p>
        </w:tc>
        <w:tc>
          <w:tcPr>
            <w:tcW w:w="1230" w:type="dxa"/>
            <w:gridSpan w:val="3"/>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3196.1317</w:t>
            </w:r>
            <w:r>
              <w:rPr>
                <w:rFonts w:hint="eastAsia" w:ascii="仿宋_GB2312" w:eastAsia="仿宋_GB2312"/>
                <w:color w:val="000000"/>
                <w:kern w:val="0"/>
                <w:szCs w:val="21"/>
              </w:rPr>
              <w:t>　</w:t>
            </w:r>
          </w:p>
        </w:tc>
        <w:tc>
          <w:tcPr>
            <w:tcW w:w="1002" w:type="dxa"/>
            <w:gridSpan w:val="2"/>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c>
          <w:tcPr>
            <w:tcW w:w="1743" w:type="dxa"/>
            <w:gridSpan w:val="4"/>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c>
          <w:tcPr>
            <w:tcW w:w="1464" w:type="dxa"/>
            <w:gridSpan w:val="3"/>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26425.9819</w:t>
            </w:r>
          </w:p>
        </w:tc>
        <w:tc>
          <w:tcPr>
            <w:tcW w:w="1131" w:type="dxa"/>
            <w:tcBorders>
              <w:top w:val="single" w:color="auto" w:sz="4" w:space="0"/>
              <w:left w:val="single" w:color="auto" w:sz="4" w:space="0"/>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435"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单位年度支出预算（万元）</w:t>
            </w:r>
          </w:p>
        </w:tc>
      </w:tr>
      <w:tr>
        <w:tblPrEx>
          <w:tblLayout w:type="fixed"/>
          <w:tblCellMar>
            <w:top w:w="0" w:type="dxa"/>
            <w:left w:w="108" w:type="dxa"/>
            <w:bottom w:w="0" w:type="dxa"/>
            <w:right w:w="108" w:type="dxa"/>
          </w:tblCellMar>
        </w:tblPrEx>
        <w:trPr>
          <w:gridAfter w:val="1"/>
          <w:wAfter w:w="1502" w:type="dxa"/>
          <w:trHeight w:val="45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支出合计</w:t>
            </w:r>
          </w:p>
        </w:tc>
        <w:tc>
          <w:tcPr>
            <w:tcW w:w="3345" w:type="dxa"/>
            <w:gridSpan w:val="8"/>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基本支出</w:t>
            </w:r>
          </w:p>
        </w:tc>
        <w:tc>
          <w:tcPr>
            <w:tcW w:w="3225" w:type="dxa"/>
            <w:gridSpan w:val="5"/>
            <w:tcBorders>
              <w:top w:val="single" w:color="auto" w:sz="4" w:space="0"/>
              <w:left w:val="nil"/>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项目支出</w:t>
            </w:r>
          </w:p>
        </w:tc>
      </w:tr>
      <w:tr>
        <w:tblPrEx>
          <w:tblLayout w:type="fixed"/>
          <w:tblCellMar>
            <w:top w:w="0" w:type="dxa"/>
            <w:left w:w="108" w:type="dxa"/>
            <w:bottom w:w="0" w:type="dxa"/>
            <w:right w:w="108" w:type="dxa"/>
          </w:tblCellMar>
        </w:tblPrEx>
        <w:trPr>
          <w:gridAfter w:val="1"/>
          <w:wAfter w:w="1502" w:type="dxa"/>
          <w:trHeight w:val="465"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29622.1136</w:t>
            </w:r>
          </w:p>
        </w:tc>
        <w:tc>
          <w:tcPr>
            <w:tcW w:w="3345" w:type="dxa"/>
            <w:gridSpan w:val="8"/>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rPr>
            </w:pPr>
            <w:r>
              <w:rPr>
                <w:rFonts w:hint="eastAsia" w:ascii="仿宋_GB2312" w:eastAsia="仿宋_GB2312"/>
                <w:color w:val="000000"/>
                <w:kern w:val="0"/>
                <w:szCs w:val="21"/>
                <w:lang w:val="en-US" w:eastAsia="zh-CN"/>
              </w:rPr>
              <w:t>2932.8017</w:t>
            </w:r>
          </w:p>
        </w:tc>
        <w:tc>
          <w:tcPr>
            <w:tcW w:w="3225" w:type="dxa"/>
            <w:gridSpan w:val="5"/>
            <w:tcBorders>
              <w:top w:val="single" w:color="auto" w:sz="4" w:space="0"/>
              <w:left w:val="nil"/>
              <w:bottom w:val="single" w:color="auto" w:sz="4" w:space="0"/>
              <w:right w:val="single" w:color="000000" w:sz="8" w:space="0"/>
            </w:tcBorders>
            <w:vAlign w:val="center"/>
          </w:tcPr>
          <w:p>
            <w:pPr>
              <w:widowControl/>
              <w:spacing w:line="300" w:lineRule="exact"/>
              <w:jc w:val="center"/>
              <w:rPr>
                <w:rFonts w:hint="default" w:ascii="仿宋_GB2312" w:eastAsia="仿宋_GB2312"/>
                <w:color w:val="000000"/>
                <w:kern w:val="0"/>
                <w:szCs w:val="21"/>
                <w:lang w:val="en-US"/>
              </w:rPr>
            </w:pPr>
            <w:r>
              <w:rPr>
                <w:rFonts w:hint="eastAsia" w:ascii="仿宋_GB2312" w:eastAsia="仿宋_GB2312"/>
                <w:color w:val="000000"/>
                <w:kern w:val="0"/>
                <w:szCs w:val="21"/>
                <w:lang w:val="en-US" w:eastAsia="zh-CN"/>
              </w:rPr>
              <w:t>26689.3119</w:t>
            </w:r>
          </w:p>
        </w:tc>
      </w:tr>
      <w:tr>
        <w:tblPrEx>
          <w:tblLayout w:type="fixed"/>
          <w:tblCellMar>
            <w:top w:w="0" w:type="dxa"/>
            <w:left w:w="108" w:type="dxa"/>
            <w:bottom w:w="0" w:type="dxa"/>
            <w:right w:w="108" w:type="dxa"/>
          </w:tblCellMar>
        </w:tblPrEx>
        <w:trPr>
          <w:gridAfter w:val="1"/>
          <w:wAfter w:w="1502" w:type="dxa"/>
          <w:trHeight w:val="451"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其中：三公经费预算（万元）</w:t>
            </w:r>
          </w:p>
        </w:tc>
      </w:tr>
      <w:tr>
        <w:tblPrEx>
          <w:tblLayout w:type="fixed"/>
          <w:tblCellMar>
            <w:top w:w="0" w:type="dxa"/>
            <w:left w:w="108" w:type="dxa"/>
            <w:bottom w:w="0" w:type="dxa"/>
            <w:right w:w="108" w:type="dxa"/>
          </w:tblCellMar>
        </w:tblPrEx>
        <w:trPr>
          <w:gridAfter w:val="1"/>
          <w:wAfter w:w="1502" w:type="dxa"/>
          <w:trHeight w:val="59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合计</w:t>
            </w:r>
          </w:p>
        </w:tc>
        <w:tc>
          <w:tcPr>
            <w:tcW w:w="1825" w:type="dxa"/>
            <w:gridSpan w:val="4"/>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公务接待费</w:t>
            </w:r>
          </w:p>
        </w:tc>
        <w:tc>
          <w:tcPr>
            <w:tcW w:w="2528" w:type="dxa"/>
            <w:gridSpan w:val="7"/>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公务用车运行和购置费</w:t>
            </w:r>
          </w:p>
        </w:tc>
        <w:tc>
          <w:tcPr>
            <w:tcW w:w="2217" w:type="dxa"/>
            <w:gridSpan w:val="2"/>
            <w:tcBorders>
              <w:top w:val="nil"/>
              <w:left w:val="nil"/>
              <w:bottom w:val="single" w:color="auto" w:sz="4" w:space="0"/>
              <w:right w:val="single" w:color="auto"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因公出国（境）费</w:t>
            </w:r>
          </w:p>
        </w:tc>
      </w:tr>
      <w:tr>
        <w:tblPrEx>
          <w:tblLayout w:type="fixed"/>
          <w:tblCellMar>
            <w:top w:w="0" w:type="dxa"/>
            <w:left w:w="108" w:type="dxa"/>
            <w:bottom w:w="0" w:type="dxa"/>
            <w:right w:w="108" w:type="dxa"/>
          </w:tblCellMar>
        </w:tblPrEx>
        <w:trPr>
          <w:gridAfter w:val="1"/>
          <w:wAfter w:w="1502" w:type="dxa"/>
          <w:trHeight w:val="43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59.2</w:t>
            </w:r>
          </w:p>
        </w:tc>
        <w:tc>
          <w:tcPr>
            <w:tcW w:w="1825" w:type="dxa"/>
            <w:gridSpan w:val="4"/>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40</w:t>
            </w:r>
          </w:p>
        </w:tc>
        <w:tc>
          <w:tcPr>
            <w:tcW w:w="2528" w:type="dxa"/>
            <w:gridSpan w:val="7"/>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19.2</w:t>
            </w:r>
          </w:p>
        </w:tc>
        <w:tc>
          <w:tcPr>
            <w:tcW w:w="2217" w:type="dxa"/>
            <w:gridSpan w:val="2"/>
            <w:tcBorders>
              <w:top w:val="single" w:color="auto" w:sz="4" w:space="0"/>
              <w:left w:val="nil"/>
              <w:bottom w:val="single" w:color="auto" w:sz="4" w:space="0"/>
              <w:right w:val="single" w:color="auto" w:sz="8" w:space="0"/>
            </w:tcBorders>
            <w:vAlign w:val="center"/>
          </w:tcPr>
          <w:p>
            <w:pPr>
              <w:widowControl/>
              <w:spacing w:line="300" w:lineRule="exact"/>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0</w:t>
            </w:r>
          </w:p>
        </w:tc>
      </w:tr>
      <w:tr>
        <w:tblPrEx>
          <w:tblLayout w:type="fixed"/>
          <w:tblCellMar>
            <w:top w:w="0" w:type="dxa"/>
            <w:left w:w="108" w:type="dxa"/>
            <w:bottom w:w="0" w:type="dxa"/>
            <w:right w:w="108" w:type="dxa"/>
          </w:tblCellMar>
        </w:tblPrEx>
        <w:trPr>
          <w:gridAfter w:val="1"/>
          <w:wAfter w:w="1502" w:type="dxa"/>
          <w:trHeight w:val="650" w:hRule="atLeast"/>
        </w:trPr>
        <w:tc>
          <w:tcPr>
            <w:tcW w:w="1095" w:type="dxa"/>
            <w:vMerge w:val="restart"/>
            <w:tcBorders>
              <w:top w:val="single" w:color="auto" w:sz="4"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ascii="仿宋_GB2312" w:eastAsia="仿宋_GB2312"/>
                <w:color w:val="000000"/>
                <w:kern w:val="0"/>
                <w:szCs w:val="21"/>
              </w:rPr>
              <w:br w:type="textWrapping"/>
            </w:r>
            <w:r>
              <w:rPr>
                <w:rFonts w:hint="eastAsia" w:ascii="仿宋_GB2312" w:eastAsia="仿宋_GB2312"/>
                <w:color w:val="000000"/>
                <w:kern w:val="0"/>
                <w:szCs w:val="21"/>
              </w:rPr>
              <w:t>整体</w:t>
            </w:r>
            <w:r>
              <w:rPr>
                <w:rFonts w:ascii="仿宋_GB2312" w:eastAsia="仿宋_GB2312"/>
                <w:color w:val="000000"/>
                <w:kern w:val="0"/>
                <w:szCs w:val="21"/>
              </w:rPr>
              <w:br w:type="textWrapping"/>
            </w:r>
            <w:r>
              <w:rPr>
                <w:rFonts w:hint="eastAsia" w:ascii="仿宋_GB2312" w:eastAsia="仿宋_GB2312"/>
                <w:color w:val="000000"/>
                <w:kern w:val="0"/>
                <w:szCs w:val="21"/>
              </w:rPr>
              <w:t>绩效</w:t>
            </w:r>
            <w:r>
              <w:rPr>
                <w:rFonts w:ascii="仿宋_GB2312" w:eastAsia="仿宋_GB2312"/>
                <w:color w:val="000000"/>
                <w:kern w:val="0"/>
                <w:szCs w:val="21"/>
              </w:rPr>
              <w:br w:type="textWrapping"/>
            </w:r>
            <w:r>
              <w:rPr>
                <w:rFonts w:hint="eastAsia" w:ascii="仿宋_GB2312" w:eastAsia="仿宋_GB2312"/>
                <w:color w:val="000000"/>
                <w:kern w:val="0"/>
                <w:szCs w:val="21"/>
              </w:rPr>
              <w:t>目标</w:t>
            </w:r>
          </w:p>
        </w:tc>
        <w:tc>
          <w:tcPr>
            <w:tcW w:w="8391" w:type="dxa"/>
            <w:gridSpan w:val="15"/>
            <w:vMerge w:val="restart"/>
            <w:tcBorders>
              <w:top w:val="single" w:color="auto" w:sz="4" w:space="0"/>
              <w:left w:val="single" w:color="auto" w:sz="4" w:space="0"/>
              <w:bottom w:val="single" w:color="auto" w:sz="4" w:space="0"/>
              <w:right w:val="single" w:color="000000" w:sz="8" w:space="0"/>
            </w:tcBorders>
          </w:tcPr>
          <w:p>
            <w:pPr>
              <w:widowControl/>
              <w:spacing w:line="300" w:lineRule="exact"/>
              <w:ind w:firstLine="420"/>
              <w:jc w:val="left"/>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搞好全县农业综合执法，统筹推动发展农村社会事务、乡村公共服务、农村文化、农村基础和乡镇治理。组织协调好全县的巩固脱贫攻坚成果与乡村振兴有效衔接。搞好种植业、畜牧业、渔业、农机机械等农业各产业的监管。开展好粮食生产、生猪检疫和畜禽春秋两季防疫工作。落实耕地污染防治措施，严格抓好农药现代化。同时整合各项涉农资金，加强事中事后监管，切实提升支农政策效果和资金使用效益。</w:t>
            </w:r>
          </w:p>
          <w:p>
            <w:pPr>
              <w:widowControl/>
              <w:spacing w:line="300" w:lineRule="exact"/>
              <w:jc w:val="left"/>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 xml:space="preserve">    全年，共落实粮食种植面积126万亩，粮食总产60万吨，高档优质稻种植面积26万亩，印发病虫情报共12期，全县生猪年末存栏量60万头，人工增殖放流400万尾，搞好湘江流域全面禁渔工作。抓好耕地抛荒治理工作。继续推进县级现代农业特色产业园和“三园两镇”建设。继续做好局直属企业和乡镇兽医养老保险和医疗保险续保工作，确保社会稳定。</w:t>
            </w:r>
          </w:p>
        </w:tc>
      </w:tr>
      <w:tr>
        <w:tblPrEx>
          <w:tblLayout w:type="fixed"/>
          <w:tblCellMar>
            <w:top w:w="0" w:type="dxa"/>
            <w:left w:w="108" w:type="dxa"/>
            <w:bottom w:w="0" w:type="dxa"/>
            <w:right w:w="108" w:type="dxa"/>
          </w:tblCellMar>
        </w:tblPrEx>
        <w:trPr>
          <w:gridAfter w:val="1"/>
          <w:wAfter w:w="1502" w:type="dxa"/>
          <w:trHeight w:val="650" w:hRule="atLeast"/>
        </w:trPr>
        <w:tc>
          <w:tcPr>
            <w:tcW w:w="1095"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8391" w:type="dxa"/>
            <w:gridSpan w:val="15"/>
            <w:vMerge w:val="continue"/>
            <w:tcBorders>
              <w:top w:val="single" w:color="auto" w:sz="4" w:space="0"/>
              <w:left w:val="single" w:color="auto" w:sz="4" w:space="0"/>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312" w:hRule="atLeast"/>
        </w:trPr>
        <w:tc>
          <w:tcPr>
            <w:tcW w:w="1095"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8391" w:type="dxa"/>
            <w:gridSpan w:val="15"/>
            <w:vMerge w:val="continue"/>
            <w:tcBorders>
              <w:top w:val="single" w:color="auto" w:sz="4" w:space="0"/>
              <w:left w:val="single" w:color="auto" w:sz="4" w:space="0"/>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部</w:t>
            </w:r>
            <w:r>
              <w:rPr>
                <w:rFonts w:ascii="仿宋_GB2312" w:eastAsia="仿宋_GB2312"/>
                <w:color w:val="000000"/>
                <w:kern w:val="0"/>
                <w:szCs w:val="21"/>
              </w:rPr>
              <w:br w:type="textWrapping"/>
            </w:r>
            <w:r>
              <w:rPr>
                <w:rFonts w:hint="eastAsia" w:ascii="仿宋_GB2312" w:eastAsia="仿宋_GB2312"/>
                <w:color w:val="000000"/>
                <w:kern w:val="0"/>
                <w:szCs w:val="21"/>
              </w:rPr>
              <w:t>门</w:t>
            </w:r>
            <w:r>
              <w:rPr>
                <w:rFonts w:ascii="仿宋_GB2312" w:eastAsia="仿宋_GB2312"/>
                <w:color w:val="000000"/>
                <w:kern w:val="0"/>
                <w:szCs w:val="21"/>
              </w:rPr>
              <w:br w:type="textWrapping"/>
            </w:r>
            <w:r>
              <w:rPr>
                <w:rFonts w:hint="eastAsia" w:ascii="仿宋_GB2312" w:eastAsia="仿宋_GB2312"/>
                <w:color w:val="000000"/>
                <w:kern w:val="0"/>
                <w:szCs w:val="21"/>
              </w:rPr>
              <w:t>整</w:t>
            </w:r>
            <w:r>
              <w:rPr>
                <w:rFonts w:ascii="仿宋_GB2312" w:eastAsia="仿宋_GB2312"/>
                <w:color w:val="000000"/>
                <w:kern w:val="0"/>
                <w:szCs w:val="21"/>
              </w:rPr>
              <w:br w:type="textWrapping"/>
            </w:r>
            <w:r>
              <w:rPr>
                <w:rFonts w:hint="eastAsia" w:ascii="仿宋_GB2312" w:eastAsia="仿宋_GB2312"/>
                <w:color w:val="000000"/>
                <w:kern w:val="0"/>
                <w:szCs w:val="21"/>
              </w:rPr>
              <w:t>体</w:t>
            </w:r>
            <w:r>
              <w:rPr>
                <w:rFonts w:ascii="仿宋_GB2312" w:eastAsia="仿宋_GB2312"/>
                <w:color w:val="000000"/>
                <w:kern w:val="0"/>
                <w:szCs w:val="21"/>
              </w:rPr>
              <w:br w:type="textWrapping"/>
            </w:r>
            <w:r>
              <w:rPr>
                <w:rFonts w:hint="eastAsia" w:ascii="仿宋_GB2312" w:eastAsia="仿宋_GB2312"/>
                <w:color w:val="000000"/>
                <w:kern w:val="0"/>
                <w:szCs w:val="21"/>
              </w:rPr>
              <w:t>支</w:t>
            </w:r>
            <w:r>
              <w:rPr>
                <w:rFonts w:ascii="仿宋_GB2312" w:eastAsia="仿宋_GB2312"/>
                <w:color w:val="000000"/>
                <w:kern w:val="0"/>
                <w:szCs w:val="21"/>
              </w:rPr>
              <w:br w:type="textWrapping"/>
            </w:r>
            <w:r>
              <w:rPr>
                <w:rFonts w:hint="eastAsia" w:ascii="仿宋_GB2312" w:eastAsia="仿宋_GB2312"/>
                <w:color w:val="000000"/>
                <w:kern w:val="0"/>
                <w:szCs w:val="21"/>
              </w:rPr>
              <w:t>出</w:t>
            </w:r>
            <w:r>
              <w:rPr>
                <w:rFonts w:ascii="仿宋_GB2312" w:eastAsia="仿宋_GB2312"/>
                <w:color w:val="000000"/>
                <w:kern w:val="0"/>
                <w:szCs w:val="21"/>
              </w:rPr>
              <w:br w:type="textWrapping"/>
            </w:r>
            <w:r>
              <w:rPr>
                <w:rFonts w:hint="eastAsia" w:ascii="仿宋_GB2312" w:eastAsia="仿宋_GB2312"/>
                <w:color w:val="000000"/>
                <w:kern w:val="0"/>
                <w:szCs w:val="21"/>
              </w:rPr>
              <w:t>年</w:t>
            </w:r>
            <w:r>
              <w:rPr>
                <w:rFonts w:ascii="仿宋_GB2312" w:eastAsia="仿宋_GB2312"/>
                <w:color w:val="000000"/>
                <w:kern w:val="0"/>
                <w:szCs w:val="21"/>
              </w:rPr>
              <w:br w:type="textWrapping"/>
            </w:r>
            <w:r>
              <w:rPr>
                <w:rFonts w:hint="eastAsia" w:ascii="仿宋_GB2312" w:eastAsia="仿宋_GB2312"/>
                <w:color w:val="000000"/>
                <w:kern w:val="0"/>
                <w:szCs w:val="21"/>
              </w:rPr>
              <w:t>度</w:t>
            </w:r>
            <w:r>
              <w:rPr>
                <w:rFonts w:ascii="仿宋_GB2312" w:eastAsia="仿宋_GB2312"/>
                <w:color w:val="000000"/>
                <w:kern w:val="0"/>
                <w:szCs w:val="21"/>
              </w:rPr>
              <w:br w:type="textWrapping"/>
            </w:r>
            <w:r>
              <w:rPr>
                <w:rFonts w:hint="eastAsia" w:ascii="仿宋_GB2312" w:eastAsia="仿宋_GB2312"/>
                <w:color w:val="000000"/>
                <w:kern w:val="0"/>
                <w:szCs w:val="21"/>
              </w:rPr>
              <w:t>绩</w:t>
            </w:r>
            <w:r>
              <w:rPr>
                <w:rFonts w:ascii="仿宋_GB2312" w:eastAsia="仿宋_GB2312"/>
                <w:color w:val="000000"/>
                <w:kern w:val="0"/>
                <w:szCs w:val="21"/>
              </w:rPr>
              <w:br w:type="textWrapping"/>
            </w:r>
            <w:r>
              <w:rPr>
                <w:rFonts w:hint="eastAsia" w:ascii="仿宋_GB2312" w:eastAsia="仿宋_GB2312"/>
                <w:color w:val="000000"/>
                <w:kern w:val="0"/>
                <w:szCs w:val="21"/>
              </w:rPr>
              <w:t>效</w:t>
            </w:r>
            <w:r>
              <w:rPr>
                <w:rFonts w:ascii="仿宋_GB2312" w:eastAsia="仿宋_GB2312"/>
                <w:color w:val="000000"/>
                <w:kern w:val="0"/>
                <w:szCs w:val="21"/>
              </w:rPr>
              <w:br w:type="textWrapping"/>
            </w:r>
            <w:r>
              <w:rPr>
                <w:rFonts w:hint="eastAsia" w:ascii="仿宋_GB2312" w:eastAsia="仿宋_GB2312"/>
                <w:color w:val="000000"/>
                <w:kern w:val="0"/>
                <w:szCs w:val="21"/>
              </w:rPr>
              <w:t>指</w:t>
            </w:r>
            <w:r>
              <w:rPr>
                <w:rFonts w:ascii="仿宋_GB2312" w:eastAsia="仿宋_GB2312"/>
                <w:color w:val="000000"/>
                <w:kern w:val="0"/>
                <w:szCs w:val="21"/>
              </w:rPr>
              <w:br w:type="textWrapping"/>
            </w:r>
            <w:r>
              <w:rPr>
                <w:rFonts w:hint="eastAsia" w:ascii="仿宋_GB2312" w:eastAsia="仿宋_GB2312"/>
                <w:color w:val="000000"/>
                <w:kern w:val="0"/>
                <w:szCs w:val="21"/>
              </w:rPr>
              <w:t>标</w:t>
            </w:r>
          </w:p>
        </w:tc>
        <w:tc>
          <w:tcPr>
            <w:tcW w:w="117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一级指标</w:t>
            </w:r>
          </w:p>
        </w:tc>
        <w:tc>
          <w:tcPr>
            <w:tcW w:w="118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二级指标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三级指标</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指标值及单位</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备注</w:t>
            </w: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产出指标</w:t>
            </w: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数量指标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粮食播种面积</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126万亩</w:t>
            </w:r>
            <w:r>
              <w:rPr>
                <w:rFonts w:hint="eastAsia" w:ascii="仿宋_GB2312" w:eastAsia="仿宋_GB2312"/>
                <w:color w:val="000000"/>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粮食总产</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60万吨</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高档优质稻种植面积</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26万亩</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耕地抛荒治理完成面积</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7883亩</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蔬菜种植面积</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复种面积30万亩</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秋冬种生产任务数</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eastAsia="zh-CN"/>
              </w:rPr>
              <w:t>具体参照</w:t>
            </w:r>
            <w:r>
              <w:rPr>
                <w:rFonts w:hint="eastAsia" w:ascii="仿宋_GB2312" w:eastAsia="仿宋_GB2312"/>
                <w:color w:val="000000"/>
                <w:kern w:val="0"/>
                <w:szCs w:val="21"/>
                <w:lang w:val="en-US" w:eastAsia="zh-CN"/>
              </w:rPr>
              <w:t>2023年秋冬种生产方案</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待定</w:t>
            </w: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农作物病虫害发生率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仿宋_GB2312" w:eastAsia="仿宋_GB2312" w:cs="仿宋_GB2312"/>
                <w:color w:val="000000"/>
                <w:kern w:val="0"/>
                <w:szCs w:val="21"/>
                <w:lang w:val="en-US" w:eastAsia="zh-CN"/>
              </w:rPr>
            </w:pPr>
            <w:r>
              <w:rPr>
                <w:rFonts w:hint="eastAsia" w:ascii="微软雅黑" w:hAnsi="微软雅黑" w:eastAsia="微软雅黑" w:cs="微软雅黑"/>
                <w:color w:val="000000"/>
                <w:kern w:val="0"/>
                <w:szCs w:val="21"/>
                <w:lang w:val="en-US" w:eastAsia="zh-CN"/>
              </w:rPr>
              <w:t>&lt;5%</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农业支持保护补贴面积核实</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73.5万亩</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能源安全监管</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eastAsia="zh-CN"/>
              </w:rPr>
              <w:t>大型沼气</w:t>
            </w:r>
            <w:r>
              <w:rPr>
                <w:rFonts w:hint="eastAsia" w:ascii="仿宋_GB2312" w:eastAsia="仿宋_GB2312"/>
                <w:color w:val="000000"/>
                <w:kern w:val="0"/>
                <w:szCs w:val="21"/>
                <w:lang w:val="en-US" w:eastAsia="zh-CN"/>
              </w:rPr>
              <w:t>16处，中小型152处</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农作物机械化作业率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eastAsia="zh-CN"/>
              </w:rPr>
              <w:t>较上年提高</w:t>
            </w:r>
            <w:r>
              <w:rPr>
                <w:rFonts w:hint="eastAsia" w:ascii="仿宋_GB2312" w:eastAsia="仿宋_GB2312"/>
                <w:color w:val="000000"/>
                <w:kern w:val="0"/>
                <w:szCs w:val="21"/>
                <w:lang w:val="en-US" w:eastAsia="zh-CN"/>
              </w:rPr>
              <w:t>1%</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农产品抽样检测</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2000批次</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农业产业园建设</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10家县级农业特色产业园实施主体</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动物免费防疫检疫合格率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default" w:ascii="Arial" w:hAnsi="Arial" w:eastAsia="仿宋_GB2312" w:cs="Arial"/>
                <w:color w:val="000000"/>
                <w:kern w:val="0"/>
                <w:szCs w:val="21"/>
                <w:lang w:val="en-US" w:eastAsia="zh-CN"/>
              </w:rPr>
              <w:t>≥</w:t>
            </w:r>
            <w:r>
              <w:rPr>
                <w:rFonts w:hint="eastAsia" w:ascii="仿宋_GB2312" w:eastAsia="仿宋_GB2312"/>
                <w:color w:val="000000"/>
                <w:kern w:val="0"/>
                <w:szCs w:val="21"/>
                <w:lang w:val="en-US" w:eastAsia="zh-CN"/>
              </w:rPr>
              <w:t>70%</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农产品质量安全管理</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安全事故发生率为零</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农业综合行政执法次数</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10次以上</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农民培训</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30场次</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湘莲种植面积</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10万亩</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劳模慰问</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17人</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2021年数</w:t>
            </w: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国有农场改革</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1个</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人工增殖放流</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400万尾</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渔政执法次数</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300次以上</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rPr>
              <w:t>完成建房图斑测绘和数据分析</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rPr>
              <w:t>450宗</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r>
              <w:rPr>
                <w:rFonts w:hint="eastAsia" w:ascii="仿宋_GB2312" w:eastAsia="仿宋_GB2312"/>
                <w:color w:val="000000"/>
                <w:kern w:val="0"/>
                <w:szCs w:val="21"/>
              </w:rPr>
              <w:t>中央省市工作要求</w:t>
            </w: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化学农药使用量</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eastAsia="zh-CN"/>
              </w:rPr>
              <w:t>较去年下降1%</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县委县政府交办的各项中心工作任务完成率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100%</w:t>
            </w:r>
            <w:r>
              <w:rPr>
                <w:rFonts w:hint="eastAsia" w:ascii="仿宋_GB2312" w:eastAsia="仿宋_GB2312"/>
                <w:color w:val="000000"/>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质量指标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预算执行率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default" w:ascii="Arial" w:hAnsi="Arial" w:eastAsia="仿宋_GB2312" w:cs="Arial"/>
                <w:color w:val="000000"/>
                <w:kern w:val="0"/>
                <w:szCs w:val="21"/>
              </w:rPr>
              <w:t>≤</w:t>
            </w:r>
            <w:r>
              <w:rPr>
                <w:rFonts w:hint="eastAsia" w:ascii="仿宋_GB2312" w:eastAsia="仿宋_GB2312"/>
                <w:color w:val="000000"/>
                <w:kern w:val="0"/>
                <w:szCs w:val="21"/>
                <w:lang w:val="en-US" w:eastAsia="zh-CN"/>
              </w:rPr>
              <w:t>10%</w:t>
            </w:r>
            <w:r>
              <w:rPr>
                <w:rFonts w:hint="eastAsia" w:ascii="仿宋_GB2312" w:eastAsia="仿宋_GB2312"/>
                <w:color w:val="000000"/>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预算调整率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r>
              <w:rPr>
                <w:rFonts w:hint="default" w:ascii="Arial" w:hAnsi="Arial" w:eastAsia="仿宋_GB2312" w:cs="Arial"/>
                <w:color w:val="000000"/>
                <w:kern w:val="0"/>
                <w:szCs w:val="21"/>
              </w:rPr>
              <w:t>≤</w:t>
            </w:r>
            <w:r>
              <w:rPr>
                <w:rFonts w:hint="eastAsia" w:ascii="仿宋_GB2312" w:eastAsia="仿宋_GB2312"/>
                <w:color w:val="000000"/>
                <w:kern w:val="0"/>
                <w:szCs w:val="21"/>
                <w:lang w:val="en-US" w:eastAsia="zh-CN"/>
              </w:rPr>
              <w:t>10%</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结转结余率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r>
              <w:rPr>
                <w:rFonts w:hint="default" w:ascii="Arial" w:hAnsi="Arial" w:eastAsia="仿宋_GB2312" w:cs="Arial"/>
                <w:color w:val="000000"/>
                <w:kern w:val="0"/>
                <w:szCs w:val="21"/>
              </w:rPr>
              <w:t>≤</w:t>
            </w:r>
            <w:r>
              <w:rPr>
                <w:rFonts w:hint="eastAsia" w:ascii="仿宋_GB2312" w:eastAsia="仿宋_GB2312"/>
                <w:color w:val="000000"/>
                <w:kern w:val="0"/>
                <w:szCs w:val="21"/>
                <w:lang w:val="en-US" w:eastAsia="zh-CN"/>
              </w:rPr>
              <w:t>10%</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“三公经费”控制率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r>
              <w:rPr>
                <w:rFonts w:hint="default" w:ascii="Arial" w:hAnsi="Arial" w:eastAsia="仿宋_GB2312" w:cs="Arial"/>
                <w:color w:val="000000"/>
                <w:kern w:val="0"/>
                <w:szCs w:val="21"/>
              </w:rPr>
              <w:t>≤</w:t>
            </w:r>
            <w:r>
              <w:rPr>
                <w:rFonts w:hint="eastAsia" w:ascii="仿宋_GB2312" w:eastAsia="仿宋_GB2312"/>
                <w:color w:val="000000"/>
                <w:kern w:val="0"/>
                <w:szCs w:val="21"/>
                <w:lang w:val="en-US" w:eastAsia="zh-CN"/>
              </w:rPr>
              <w:t>10%</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政府采购执行率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default" w:ascii="Arial" w:hAnsi="Arial" w:eastAsia="仿宋_GB2312" w:cs="Arial"/>
                <w:color w:val="000000"/>
                <w:kern w:val="0"/>
                <w:szCs w:val="21"/>
              </w:rPr>
              <w:t>≥</w:t>
            </w:r>
            <w:r>
              <w:rPr>
                <w:rFonts w:hint="eastAsia" w:ascii="Arial" w:hAnsi="Arial" w:eastAsia="仿宋_GB2312" w:cs="Arial"/>
                <w:color w:val="000000"/>
                <w:kern w:val="0"/>
                <w:szCs w:val="21"/>
                <w:lang w:val="en-US" w:eastAsia="zh-CN"/>
              </w:rPr>
              <w:t>90%</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决算真实性</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100%</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资金使用合规性</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100%</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专项资金细化率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100%</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资产管理规范性</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合规</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管理制度健全性</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健全</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绩效自评完成率</w:t>
            </w:r>
          </w:p>
        </w:tc>
        <w:tc>
          <w:tcPr>
            <w:tcW w:w="2285"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r>
              <w:rPr>
                <w:rFonts w:hint="default" w:ascii="Arial" w:hAnsi="Arial" w:eastAsia="仿宋_GB2312" w:cs="Arial"/>
                <w:color w:val="000000"/>
                <w:kern w:val="0"/>
                <w:szCs w:val="21"/>
              </w:rPr>
              <w:t>≥</w:t>
            </w:r>
            <w:r>
              <w:rPr>
                <w:rFonts w:hint="eastAsia" w:ascii="Arial" w:hAnsi="Arial" w:eastAsia="仿宋_GB2312" w:cs="Arial"/>
                <w:color w:val="000000"/>
                <w:kern w:val="0"/>
                <w:szCs w:val="21"/>
                <w:lang w:val="en-US" w:eastAsia="zh-CN"/>
              </w:rPr>
              <w:t>100%</w:t>
            </w:r>
          </w:p>
        </w:tc>
        <w:tc>
          <w:tcPr>
            <w:tcW w:w="1131" w:type="dxa"/>
            <w:tcBorders>
              <w:top w:val="single" w:color="auto" w:sz="4" w:space="0"/>
              <w:left w:val="nil"/>
              <w:bottom w:val="single" w:color="auto" w:sz="4" w:space="0"/>
              <w:right w:val="single" w:color="auto" w:sz="8"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left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项目完工验收率</w:t>
            </w:r>
          </w:p>
        </w:tc>
        <w:tc>
          <w:tcPr>
            <w:tcW w:w="2285" w:type="dxa"/>
            <w:gridSpan w:val="5"/>
            <w:tcBorders>
              <w:top w:val="nil"/>
              <w:left w:val="nil"/>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r>
              <w:rPr>
                <w:rFonts w:hint="default" w:ascii="Arial" w:hAnsi="Arial" w:eastAsia="仿宋_GB2312" w:cs="Arial"/>
                <w:color w:val="000000"/>
                <w:kern w:val="0"/>
                <w:szCs w:val="21"/>
              </w:rPr>
              <w:t>≥</w:t>
            </w:r>
            <w:r>
              <w:rPr>
                <w:rFonts w:hint="eastAsia" w:ascii="Arial" w:hAnsi="Arial" w:eastAsia="仿宋_GB2312" w:cs="Arial"/>
                <w:color w:val="000000"/>
                <w:kern w:val="0"/>
                <w:szCs w:val="21"/>
                <w:lang w:val="en-US" w:eastAsia="zh-CN"/>
              </w:rPr>
              <w:t>90%</w:t>
            </w:r>
          </w:p>
        </w:tc>
        <w:tc>
          <w:tcPr>
            <w:tcW w:w="113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rPr>
              <w:t>　</w:t>
            </w:r>
            <w:r>
              <w:rPr>
                <w:rFonts w:hint="eastAsia" w:ascii="仿宋_GB2312" w:eastAsia="仿宋_GB2312"/>
                <w:color w:val="000000"/>
                <w:kern w:val="0"/>
                <w:szCs w:val="21"/>
                <w:lang w:eastAsia="zh-CN"/>
              </w:rPr>
              <w:t>绩效监控完成率</w:t>
            </w:r>
          </w:p>
        </w:tc>
        <w:tc>
          <w:tcPr>
            <w:tcW w:w="2285" w:type="dxa"/>
            <w:gridSpan w:val="5"/>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100%</w:t>
            </w:r>
            <w:r>
              <w:rPr>
                <w:rFonts w:hint="eastAsia" w:ascii="仿宋_GB2312" w:eastAsia="仿宋_GB2312"/>
                <w:color w:val="000000"/>
                <w:kern w:val="0"/>
                <w:szCs w:val="21"/>
              </w:rPr>
              <w:t>　</w:t>
            </w:r>
          </w:p>
        </w:tc>
        <w:tc>
          <w:tcPr>
            <w:tcW w:w="1131" w:type="dxa"/>
            <w:tcBorders>
              <w:top w:val="nil"/>
              <w:left w:val="nil"/>
              <w:bottom w:val="single" w:color="auto" w:sz="4" w:space="0"/>
              <w:right w:val="single" w:color="auto"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时效指标</w:t>
            </w: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2023年1月—2024年5月</w:t>
            </w:r>
          </w:p>
        </w:tc>
        <w:tc>
          <w:tcPr>
            <w:tcW w:w="2285" w:type="dxa"/>
            <w:gridSpan w:val="5"/>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1年零5个月</w:t>
            </w:r>
            <w:r>
              <w:rPr>
                <w:rFonts w:hint="eastAsia" w:ascii="仿宋_GB2312" w:eastAsia="仿宋_GB2312"/>
                <w:color w:val="000000"/>
                <w:kern w:val="0"/>
                <w:szCs w:val="21"/>
              </w:rPr>
              <w:t>　</w:t>
            </w:r>
          </w:p>
        </w:tc>
        <w:tc>
          <w:tcPr>
            <w:tcW w:w="113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项目实施期限</w:t>
            </w: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2023年1-12月</w:t>
            </w:r>
          </w:p>
        </w:tc>
        <w:tc>
          <w:tcPr>
            <w:tcW w:w="2285" w:type="dxa"/>
            <w:gridSpan w:val="5"/>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1年</w:t>
            </w:r>
            <w:r>
              <w:rPr>
                <w:rFonts w:hint="eastAsia" w:ascii="仿宋_GB2312" w:eastAsia="仿宋_GB2312"/>
                <w:color w:val="000000"/>
                <w:kern w:val="0"/>
                <w:szCs w:val="21"/>
              </w:rPr>
              <w:t>　</w:t>
            </w:r>
          </w:p>
        </w:tc>
        <w:tc>
          <w:tcPr>
            <w:tcW w:w="1131" w:type="dxa"/>
            <w:tcBorders>
              <w:top w:val="nil"/>
              <w:left w:val="nil"/>
              <w:bottom w:val="single" w:color="auto" w:sz="4" w:space="0"/>
              <w:right w:val="single" w:color="auto"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发放工资福利等</w:t>
            </w: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9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成本指标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工资福利支出</w:t>
            </w:r>
            <w:r>
              <w:rPr>
                <w:rFonts w:hint="eastAsia" w:ascii="仿宋_GB2312" w:eastAsia="仿宋_GB2312"/>
                <w:color w:val="000000"/>
                <w:kern w:val="0"/>
                <w:szCs w:val="21"/>
              </w:rPr>
              <w:t>　</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2540.23万元</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27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left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商品和服务支出</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377.82万元</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33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left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对个人和家庭补助支出</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14.76万元</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33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left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本级项目支出</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263.33万元</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27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上级项目支出</w:t>
            </w:r>
          </w:p>
        </w:tc>
        <w:tc>
          <w:tcPr>
            <w:tcW w:w="2285"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26425.98万元</w:t>
            </w:r>
          </w:p>
        </w:tc>
        <w:tc>
          <w:tcPr>
            <w:tcW w:w="1131" w:type="dxa"/>
            <w:tcBorders>
              <w:top w:val="single" w:color="auto" w:sz="4" w:space="0"/>
              <w:left w:val="nil"/>
              <w:bottom w:val="single" w:color="auto" w:sz="4" w:space="0"/>
              <w:right w:val="single" w:color="auto" w:sz="8"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效益指标</w:t>
            </w: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经济效益指标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农民纯收入统计</w:t>
            </w:r>
            <w:r>
              <w:rPr>
                <w:rFonts w:hint="eastAsia" w:ascii="仿宋_GB2312" w:eastAsia="仿宋_GB2312"/>
                <w:color w:val="000000"/>
                <w:kern w:val="0"/>
                <w:szCs w:val="21"/>
              </w:rPr>
              <w:t>　</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稳中有增</w:t>
            </w:r>
            <w:r>
              <w:rPr>
                <w:rFonts w:hint="eastAsia" w:ascii="仿宋_GB2312" w:eastAsia="仿宋_GB2312"/>
                <w:color w:val="000000"/>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left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农业生产总值</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eastAsia="zh-CN"/>
              </w:rPr>
              <w:t>较上年增加</w:t>
            </w:r>
            <w:r>
              <w:rPr>
                <w:rFonts w:hint="eastAsia" w:ascii="仿宋_GB2312" w:eastAsia="仿宋_GB2312"/>
                <w:color w:val="000000"/>
                <w:kern w:val="0"/>
                <w:szCs w:val="21"/>
                <w:lang w:val="en-US" w:eastAsia="zh-CN"/>
              </w:rPr>
              <w:t>5%</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left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争资争项</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4亿元</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社会效益指标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确保农产品质量安全，保护人民群众切身利益</w:t>
            </w:r>
            <w:r>
              <w:rPr>
                <w:rFonts w:hint="eastAsia" w:ascii="仿宋_GB2312" w:eastAsia="仿宋_GB2312"/>
                <w:color w:val="000000"/>
                <w:kern w:val="0"/>
                <w:szCs w:val="21"/>
              </w:rPr>
              <w:t>　</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无质量安全事故发生</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促进农村劳动力就业</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不断提高</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确保粮食生产安全稳定</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安全</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维护社会稳定</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无群体性上访事件发生</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生态效益指标</w:t>
            </w: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保护湘江流域渔业资源</w:t>
            </w:r>
            <w:r>
              <w:rPr>
                <w:rFonts w:hint="eastAsia" w:ascii="仿宋_GB2312" w:eastAsia="仿宋_GB2312"/>
                <w:color w:val="000000"/>
                <w:kern w:val="0"/>
                <w:szCs w:val="21"/>
              </w:rPr>
              <w:t>　</w:t>
            </w:r>
          </w:p>
        </w:tc>
        <w:tc>
          <w:tcPr>
            <w:tcW w:w="2285" w:type="dxa"/>
            <w:gridSpan w:val="5"/>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全面禁渔</w:t>
            </w:r>
            <w:r>
              <w:rPr>
                <w:rFonts w:hint="eastAsia" w:ascii="仿宋_GB2312" w:eastAsia="仿宋_GB2312"/>
                <w:color w:val="000000"/>
                <w:kern w:val="0"/>
                <w:szCs w:val="21"/>
              </w:rPr>
              <w:t>　</w:t>
            </w:r>
          </w:p>
        </w:tc>
        <w:tc>
          <w:tcPr>
            <w:tcW w:w="1131" w:type="dxa"/>
            <w:tcBorders>
              <w:top w:val="nil"/>
              <w:left w:val="nil"/>
              <w:bottom w:val="single" w:color="auto" w:sz="4" w:space="0"/>
              <w:right w:val="single" w:color="auto"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left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畜禽粪污资源化利用率</w:t>
            </w:r>
          </w:p>
        </w:tc>
        <w:tc>
          <w:tcPr>
            <w:tcW w:w="2285" w:type="dxa"/>
            <w:gridSpan w:val="5"/>
            <w:tcBorders>
              <w:top w:val="nil"/>
              <w:left w:val="nil"/>
              <w:bottom w:val="single" w:color="auto" w:sz="4" w:space="0"/>
              <w:right w:val="single" w:color="auto" w:sz="4" w:space="0"/>
            </w:tcBorders>
            <w:vAlign w:val="center"/>
          </w:tcPr>
          <w:p>
            <w:pPr>
              <w:widowControl/>
              <w:spacing w:line="300" w:lineRule="exact"/>
              <w:jc w:val="center"/>
              <w:rPr>
                <w:rFonts w:hint="default" w:ascii="仿宋_GB2312" w:hAnsi="仿宋_GB2312" w:eastAsia="仿宋_GB2312" w:cs="仿宋_GB2312"/>
                <w:color w:val="000000"/>
                <w:kern w:val="0"/>
                <w:szCs w:val="21"/>
                <w:lang w:val="en-US" w:eastAsia="zh-CN"/>
              </w:rPr>
            </w:pPr>
            <w:r>
              <w:rPr>
                <w:rFonts w:hint="eastAsia" w:ascii="微软雅黑" w:hAnsi="微软雅黑" w:eastAsia="微软雅黑" w:cs="微软雅黑"/>
                <w:color w:val="000000"/>
                <w:kern w:val="0"/>
                <w:szCs w:val="21"/>
              </w:rPr>
              <w:t>&gt;</w:t>
            </w:r>
            <w:r>
              <w:rPr>
                <w:rFonts w:hint="eastAsia" w:ascii="仿宋_GB2312" w:hAnsi="仿宋_GB2312" w:eastAsia="仿宋_GB2312" w:cs="仿宋_GB2312"/>
                <w:color w:val="000000"/>
                <w:kern w:val="0"/>
                <w:szCs w:val="21"/>
                <w:lang w:val="en-US" w:eastAsia="zh-CN"/>
              </w:rPr>
              <w:t>70%</w:t>
            </w:r>
          </w:p>
        </w:tc>
        <w:tc>
          <w:tcPr>
            <w:tcW w:w="113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30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农业农村生产、生活环境</w:t>
            </w:r>
            <w:r>
              <w:rPr>
                <w:rFonts w:hint="eastAsia" w:ascii="仿宋_GB2312" w:eastAsia="仿宋_GB2312"/>
                <w:color w:val="000000"/>
                <w:kern w:val="0"/>
                <w:szCs w:val="21"/>
              </w:rPr>
              <w:t>　</w:t>
            </w:r>
          </w:p>
        </w:tc>
        <w:tc>
          <w:tcPr>
            <w:tcW w:w="2285" w:type="dxa"/>
            <w:gridSpan w:val="5"/>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安全、环保、无污染</w:t>
            </w:r>
            <w:r>
              <w:rPr>
                <w:rFonts w:hint="eastAsia" w:ascii="仿宋_GB2312" w:eastAsia="仿宋_GB2312"/>
                <w:color w:val="000000"/>
                <w:kern w:val="0"/>
                <w:szCs w:val="21"/>
              </w:rPr>
              <w:t>　</w:t>
            </w:r>
          </w:p>
        </w:tc>
        <w:tc>
          <w:tcPr>
            <w:tcW w:w="1131" w:type="dxa"/>
            <w:tcBorders>
              <w:top w:val="nil"/>
              <w:left w:val="nil"/>
              <w:bottom w:val="single" w:color="auto" w:sz="4" w:space="0"/>
              <w:right w:val="single" w:color="auto"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278"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可持续影响指标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粮食生产可持续发展</w:t>
            </w:r>
            <w:r>
              <w:rPr>
                <w:rFonts w:hint="eastAsia" w:ascii="仿宋_GB2312" w:eastAsia="仿宋_GB2312"/>
                <w:color w:val="000000"/>
                <w:kern w:val="0"/>
                <w:szCs w:val="21"/>
              </w:rPr>
              <w:t>　</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可持续</w:t>
            </w:r>
            <w:r>
              <w:rPr>
                <w:rFonts w:hint="eastAsia" w:ascii="仿宋_GB2312" w:eastAsia="仿宋_GB2312"/>
                <w:color w:val="000000"/>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263"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农业农村生产生活</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可持续</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rPr>
            </w:pPr>
          </w:p>
        </w:tc>
      </w:tr>
      <w:tr>
        <w:tblPrEx>
          <w:tblLayout w:type="fixed"/>
          <w:tblCellMar>
            <w:top w:w="0" w:type="dxa"/>
            <w:left w:w="108" w:type="dxa"/>
            <w:bottom w:w="0" w:type="dxa"/>
            <w:right w:w="108" w:type="dxa"/>
          </w:tblCellMar>
        </w:tblPrEx>
        <w:trPr>
          <w:gridAfter w:val="1"/>
          <w:wAfter w:w="1502" w:type="dxa"/>
          <w:trHeight w:val="341"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社会公众或服务对象满意度指标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群众满意度</w:t>
            </w:r>
            <w:r>
              <w:rPr>
                <w:rFonts w:hint="eastAsia" w:ascii="仿宋_GB2312" w:eastAsia="仿宋_GB2312"/>
                <w:color w:val="000000"/>
                <w:kern w:val="0"/>
                <w:szCs w:val="21"/>
              </w:rPr>
              <w:t>　</w:t>
            </w:r>
          </w:p>
        </w:tc>
        <w:tc>
          <w:tcPr>
            <w:tcW w:w="228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90%以上</w:t>
            </w:r>
            <w:r>
              <w:rPr>
                <w:rFonts w:hint="eastAsia" w:ascii="仿宋_GB2312" w:eastAsia="仿宋_GB2312"/>
                <w:color w:val="000000"/>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After w:val="1"/>
          <w:wAfter w:w="1502" w:type="dxa"/>
          <w:trHeight w:val="1685" w:hRule="atLeast"/>
        </w:trPr>
        <w:tc>
          <w:tcPr>
            <w:tcW w:w="109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财政部门审核</w:t>
            </w:r>
            <w:r>
              <w:rPr>
                <w:rFonts w:ascii="仿宋_GB2312" w:eastAsia="仿宋_GB2312"/>
                <w:color w:val="000000"/>
                <w:kern w:val="0"/>
                <w:szCs w:val="21"/>
              </w:rPr>
              <w:t xml:space="preserve"> </w:t>
            </w:r>
            <w:r>
              <w:rPr>
                <w:rFonts w:hint="eastAsia" w:ascii="仿宋_GB2312" w:eastAsia="仿宋_GB2312"/>
                <w:color w:val="000000"/>
                <w:kern w:val="0"/>
                <w:szCs w:val="21"/>
              </w:rPr>
              <w:t>意见</w:t>
            </w:r>
          </w:p>
        </w:tc>
        <w:tc>
          <w:tcPr>
            <w:tcW w:w="117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财政归口业务股室审核意见</w:t>
            </w:r>
          </w:p>
        </w:tc>
        <w:tc>
          <w:tcPr>
            <w:tcW w:w="7215" w:type="dxa"/>
            <w:gridSpan w:val="14"/>
            <w:tcBorders>
              <w:top w:val="single" w:color="auto" w:sz="4" w:space="0"/>
              <w:left w:val="single" w:color="auto" w:sz="4" w:space="0"/>
              <w:bottom w:val="single" w:color="auto" w:sz="4" w:space="0"/>
              <w:right w:val="single" w:color="auto" w:sz="4" w:space="0"/>
            </w:tcBorders>
          </w:tcPr>
          <w:p>
            <w:pPr>
              <w:widowControl/>
              <w:spacing w:line="300" w:lineRule="exact"/>
              <w:rPr>
                <w:rFonts w:hint="eastAsia" w:ascii="仿宋_GB2312" w:eastAsia="仿宋_GB2312"/>
                <w:color w:val="000000"/>
                <w:kern w:val="0"/>
                <w:szCs w:val="21"/>
              </w:rPr>
            </w:pPr>
            <w:r>
              <w:rPr>
                <w:rFonts w:hint="eastAsia" w:ascii="仿宋_GB2312" w:eastAsia="仿宋_GB2312"/>
                <w:color w:val="000000"/>
                <w:kern w:val="0"/>
                <w:szCs w:val="21"/>
              </w:rPr>
              <w:t>审核意见：</w:t>
            </w:r>
          </w:p>
          <w:p>
            <w:pPr>
              <w:widowControl/>
              <w:spacing w:line="300" w:lineRule="exact"/>
              <w:rPr>
                <w:rFonts w:hint="eastAsia" w:ascii="仿宋_GB2312" w:eastAsia="仿宋_GB2312"/>
                <w:color w:val="000000"/>
                <w:kern w:val="0"/>
                <w:szCs w:val="21"/>
              </w:rPr>
            </w:pPr>
          </w:p>
          <w:p>
            <w:pPr>
              <w:widowControl/>
              <w:spacing w:line="300" w:lineRule="exact"/>
              <w:rPr>
                <w:rFonts w:ascii="仿宋_GB2312" w:eastAsia="仿宋_GB2312"/>
                <w:color w:val="000000"/>
                <w:kern w:val="0"/>
                <w:szCs w:val="21"/>
              </w:rPr>
            </w:pPr>
            <w:r>
              <w:rPr>
                <w:rFonts w:ascii="仿宋_GB2312" w:eastAsia="仿宋_GB2312"/>
                <w:color w:val="000000"/>
                <w:kern w:val="0"/>
                <w:szCs w:val="21"/>
              </w:rPr>
              <w:t xml:space="preserve">      </w:t>
            </w:r>
          </w:p>
          <w:p>
            <w:pPr>
              <w:widowControl/>
              <w:spacing w:line="300" w:lineRule="exact"/>
              <w:rPr>
                <w:rFonts w:ascii="仿宋_GB2312" w:eastAsia="仿宋_GB2312"/>
                <w:color w:val="000000"/>
                <w:kern w:val="0"/>
                <w:szCs w:val="21"/>
              </w:rPr>
            </w:pPr>
            <w:r>
              <w:rPr>
                <w:rFonts w:ascii="仿宋_GB2312" w:eastAsia="仿宋_GB2312"/>
                <w:color w:val="000000"/>
                <w:kern w:val="0"/>
                <w:szCs w:val="21"/>
              </w:rPr>
              <w:t xml:space="preserve">                                                              </w:t>
            </w:r>
          </w:p>
          <w:p>
            <w:pPr>
              <w:widowControl/>
              <w:spacing w:line="300" w:lineRule="exact"/>
              <w:rPr>
                <w:rFonts w:ascii="仿宋_GB2312" w:eastAsia="仿宋_GB2312"/>
                <w:color w:val="000000"/>
                <w:kern w:val="0"/>
                <w:szCs w:val="21"/>
              </w:rPr>
            </w:pPr>
          </w:p>
          <w:p>
            <w:pPr>
              <w:widowControl/>
              <w:spacing w:line="300" w:lineRule="exact"/>
              <w:rPr>
                <w:rFonts w:ascii="仿宋_GB2312" w:eastAsia="仿宋_GB2312"/>
                <w:color w:val="000000"/>
                <w:kern w:val="0"/>
                <w:szCs w:val="21"/>
              </w:rPr>
            </w:pPr>
            <w:r>
              <w:rPr>
                <w:rFonts w:hint="eastAsia" w:ascii="仿宋_GB2312" w:eastAsia="仿宋_GB2312"/>
                <w:color w:val="000000"/>
                <w:kern w:val="0"/>
                <w:szCs w:val="21"/>
              </w:rPr>
              <w:t>审核人：</w:t>
            </w:r>
            <w:r>
              <w:rPr>
                <w:rFonts w:ascii="仿宋_GB2312" w:eastAsia="仿宋_GB2312"/>
                <w:color w:val="000000"/>
                <w:kern w:val="0"/>
                <w:szCs w:val="21"/>
              </w:rPr>
              <w:t xml:space="preserve">      </w:t>
            </w:r>
            <w:r>
              <w:rPr>
                <w:rFonts w:hint="eastAsia" w:ascii="仿宋_GB2312" w:eastAsia="仿宋_GB2312"/>
                <w:color w:val="000000"/>
                <w:kern w:val="0"/>
                <w:szCs w:val="21"/>
              </w:rPr>
              <w:t>负责人签字：</w:t>
            </w:r>
            <w:r>
              <w:rPr>
                <w:rFonts w:ascii="仿宋_GB2312" w:eastAsia="仿宋_GB2312"/>
                <w:color w:val="000000"/>
                <w:kern w:val="0"/>
                <w:szCs w:val="21"/>
              </w:rPr>
              <w:t xml:space="preserve">               </w:t>
            </w:r>
            <w:r>
              <w:rPr>
                <w:rFonts w:hint="eastAsia" w:ascii="仿宋_GB2312" w:eastAsia="仿宋_GB2312"/>
                <w:color w:val="000000"/>
                <w:kern w:val="0"/>
                <w:szCs w:val="21"/>
              </w:rPr>
              <w:t>年</w:t>
            </w:r>
            <w:r>
              <w:rPr>
                <w:rFonts w:ascii="仿宋_GB2312" w:eastAsia="仿宋_GB2312"/>
                <w:color w:val="000000"/>
                <w:kern w:val="0"/>
                <w:szCs w:val="21"/>
              </w:rPr>
              <w:t xml:space="preserve">   </w:t>
            </w:r>
            <w:r>
              <w:rPr>
                <w:rFonts w:hint="eastAsia" w:ascii="仿宋_GB2312" w:eastAsia="仿宋_GB2312"/>
                <w:color w:val="000000"/>
                <w:kern w:val="0"/>
                <w:szCs w:val="21"/>
              </w:rPr>
              <w:t>月</w:t>
            </w:r>
            <w:r>
              <w:rPr>
                <w:rFonts w:ascii="仿宋_GB2312" w:eastAsia="仿宋_GB2312"/>
                <w:color w:val="000000"/>
                <w:kern w:val="0"/>
                <w:szCs w:val="21"/>
              </w:rPr>
              <w:t xml:space="preserve">  </w:t>
            </w:r>
            <w:r>
              <w:rPr>
                <w:rFonts w:hint="eastAsia" w:ascii="仿宋_GB2312" w:eastAsia="仿宋_GB2312"/>
                <w:color w:val="000000"/>
                <w:kern w:val="0"/>
                <w:szCs w:val="21"/>
              </w:rPr>
              <w:t>日</w:t>
            </w:r>
          </w:p>
        </w:tc>
      </w:tr>
      <w:tr>
        <w:tblPrEx>
          <w:tblLayout w:type="fixed"/>
          <w:tblCellMar>
            <w:top w:w="0" w:type="dxa"/>
            <w:left w:w="108" w:type="dxa"/>
            <w:bottom w:w="0" w:type="dxa"/>
            <w:right w:w="108" w:type="dxa"/>
          </w:tblCellMar>
        </w:tblPrEx>
        <w:trPr>
          <w:gridAfter w:val="1"/>
          <w:wAfter w:w="1502" w:type="dxa"/>
          <w:trHeight w:val="200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绩效评价股审核意见</w:t>
            </w:r>
          </w:p>
        </w:tc>
        <w:tc>
          <w:tcPr>
            <w:tcW w:w="7215" w:type="dxa"/>
            <w:gridSpan w:val="14"/>
            <w:tcBorders>
              <w:top w:val="single" w:color="auto" w:sz="4" w:space="0"/>
              <w:left w:val="single" w:color="auto" w:sz="4" w:space="0"/>
              <w:bottom w:val="single" w:color="auto" w:sz="4" w:space="0"/>
              <w:right w:val="single" w:color="auto" w:sz="4" w:space="0"/>
            </w:tcBorders>
          </w:tcPr>
          <w:p>
            <w:pPr>
              <w:widowControl/>
              <w:spacing w:line="300" w:lineRule="exact"/>
              <w:rPr>
                <w:rFonts w:hint="eastAsia" w:ascii="仿宋_GB2312" w:eastAsia="仿宋_GB2312"/>
                <w:color w:val="000000"/>
                <w:kern w:val="0"/>
                <w:szCs w:val="21"/>
              </w:rPr>
            </w:pPr>
            <w:r>
              <w:rPr>
                <w:rFonts w:hint="eastAsia" w:ascii="仿宋_GB2312" w:eastAsia="仿宋_GB2312"/>
                <w:color w:val="000000"/>
                <w:kern w:val="0"/>
                <w:szCs w:val="21"/>
              </w:rPr>
              <w:t>审核意见：</w:t>
            </w:r>
          </w:p>
          <w:p>
            <w:pPr>
              <w:widowControl/>
              <w:spacing w:line="300" w:lineRule="exact"/>
              <w:rPr>
                <w:rFonts w:hint="eastAsia" w:ascii="仿宋_GB2312" w:eastAsia="仿宋_GB2312"/>
                <w:color w:val="000000"/>
                <w:kern w:val="0"/>
                <w:szCs w:val="21"/>
              </w:rPr>
            </w:pPr>
          </w:p>
          <w:p>
            <w:pPr>
              <w:widowControl/>
              <w:spacing w:line="300" w:lineRule="exact"/>
              <w:rPr>
                <w:rFonts w:hint="eastAsia" w:ascii="仿宋_GB2312" w:eastAsia="仿宋_GB2312"/>
                <w:color w:val="000000"/>
                <w:kern w:val="0"/>
                <w:szCs w:val="21"/>
              </w:rPr>
            </w:pPr>
          </w:p>
          <w:p>
            <w:pPr>
              <w:widowControl/>
              <w:spacing w:line="300" w:lineRule="exact"/>
              <w:rPr>
                <w:rFonts w:hint="eastAsia" w:ascii="仿宋_GB2312" w:eastAsia="仿宋_GB2312"/>
                <w:color w:val="000000"/>
                <w:kern w:val="0"/>
                <w:szCs w:val="21"/>
              </w:rPr>
            </w:pPr>
          </w:p>
          <w:p>
            <w:pPr>
              <w:widowControl/>
              <w:spacing w:line="300" w:lineRule="exact"/>
              <w:rPr>
                <w:rFonts w:hint="eastAsia" w:ascii="仿宋_GB2312" w:eastAsia="仿宋_GB2312"/>
                <w:color w:val="000000"/>
                <w:kern w:val="0"/>
                <w:szCs w:val="21"/>
              </w:rPr>
            </w:pPr>
          </w:p>
          <w:p>
            <w:pPr>
              <w:widowControl/>
              <w:spacing w:line="300" w:lineRule="exact"/>
              <w:rPr>
                <w:rFonts w:ascii="仿宋_GB2312" w:eastAsia="仿宋_GB2312"/>
                <w:color w:val="000000"/>
                <w:kern w:val="0"/>
                <w:szCs w:val="21"/>
              </w:rPr>
            </w:pPr>
          </w:p>
          <w:p>
            <w:pPr>
              <w:widowControl/>
              <w:spacing w:line="300" w:lineRule="exact"/>
              <w:rPr>
                <w:rFonts w:ascii="仿宋_GB2312" w:eastAsia="仿宋_GB2312"/>
                <w:color w:val="000000"/>
                <w:kern w:val="0"/>
                <w:szCs w:val="21"/>
              </w:rPr>
            </w:pPr>
            <w:r>
              <w:rPr>
                <w:rFonts w:hint="eastAsia" w:ascii="仿宋_GB2312" w:eastAsia="仿宋_GB2312"/>
                <w:color w:val="000000"/>
                <w:kern w:val="0"/>
                <w:szCs w:val="21"/>
              </w:rPr>
              <w:t>审核人：</w:t>
            </w:r>
            <w:r>
              <w:rPr>
                <w:rFonts w:ascii="仿宋_GB2312" w:eastAsia="仿宋_GB2312"/>
                <w:color w:val="000000"/>
                <w:kern w:val="0"/>
                <w:szCs w:val="21"/>
              </w:rPr>
              <w:t xml:space="preserve">      </w:t>
            </w:r>
            <w:r>
              <w:rPr>
                <w:rFonts w:hint="eastAsia" w:ascii="仿宋_GB2312" w:eastAsia="仿宋_GB2312"/>
                <w:color w:val="000000"/>
                <w:kern w:val="0"/>
                <w:szCs w:val="21"/>
              </w:rPr>
              <w:t>负责人签字：</w:t>
            </w:r>
            <w:r>
              <w:rPr>
                <w:rFonts w:ascii="仿宋_GB2312" w:eastAsia="仿宋_GB2312"/>
                <w:color w:val="000000"/>
                <w:kern w:val="0"/>
                <w:szCs w:val="21"/>
              </w:rPr>
              <w:t xml:space="preserve">               </w:t>
            </w:r>
            <w:r>
              <w:rPr>
                <w:rFonts w:hint="eastAsia" w:ascii="仿宋_GB2312" w:eastAsia="仿宋_GB2312"/>
                <w:color w:val="000000"/>
                <w:kern w:val="0"/>
                <w:szCs w:val="21"/>
              </w:rPr>
              <w:t>年</w:t>
            </w:r>
            <w:r>
              <w:rPr>
                <w:rFonts w:ascii="仿宋_GB2312" w:eastAsia="仿宋_GB2312"/>
                <w:color w:val="000000"/>
                <w:kern w:val="0"/>
                <w:szCs w:val="21"/>
              </w:rPr>
              <w:t xml:space="preserve">   </w:t>
            </w:r>
            <w:r>
              <w:rPr>
                <w:rFonts w:hint="eastAsia" w:ascii="仿宋_GB2312" w:eastAsia="仿宋_GB2312"/>
                <w:color w:val="000000"/>
                <w:kern w:val="0"/>
                <w:szCs w:val="21"/>
              </w:rPr>
              <w:t>月</w:t>
            </w:r>
            <w:r>
              <w:rPr>
                <w:rFonts w:ascii="仿宋_GB2312" w:eastAsia="仿宋_GB2312"/>
                <w:color w:val="000000"/>
                <w:kern w:val="0"/>
                <w:szCs w:val="21"/>
              </w:rPr>
              <w:t xml:space="preserve">  </w:t>
            </w:r>
            <w:r>
              <w:rPr>
                <w:rFonts w:hint="eastAsia" w:ascii="仿宋_GB2312" w:eastAsia="仿宋_GB2312"/>
                <w:color w:val="000000"/>
                <w:kern w:val="0"/>
                <w:szCs w:val="21"/>
              </w:rPr>
              <w:t>日</w:t>
            </w:r>
          </w:p>
        </w:tc>
      </w:tr>
      <w:tr>
        <w:tblPrEx>
          <w:tblLayout w:type="fixed"/>
          <w:tblCellMar>
            <w:top w:w="0" w:type="dxa"/>
            <w:left w:w="108" w:type="dxa"/>
            <w:bottom w:w="0" w:type="dxa"/>
            <w:right w:w="108" w:type="dxa"/>
          </w:tblCellMar>
        </w:tblPrEx>
        <w:trPr>
          <w:gridAfter w:val="1"/>
          <w:wAfter w:w="1502" w:type="dxa"/>
          <w:trHeight w:val="177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预算股审核意见</w:t>
            </w:r>
          </w:p>
        </w:tc>
        <w:tc>
          <w:tcPr>
            <w:tcW w:w="7215" w:type="dxa"/>
            <w:gridSpan w:val="14"/>
            <w:tcBorders>
              <w:top w:val="single" w:color="auto" w:sz="4" w:space="0"/>
              <w:left w:val="single" w:color="auto" w:sz="4" w:space="0"/>
              <w:bottom w:val="single" w:color="auto" w:sz="4" w:space="0"/>
              <w:right w:val="single" w:color="auto" w:sz="4" w:space="0"/>
            </w:tcBorders>
          </w:tcPr>
          <w:p>
            <w:pPr>
              <w:widowControl/>
              <w:spacing w:line="300" w:lineRule="exact"/>
              <w:rPr>
                <w:rFonts w:hint="eastAsia" w:ascii="仿宋_GB2312" w:eastAsia="仿宋_GB2312"/>
                <w:color w:val="000000"/>
                <w:kern w:val="0"/>
                <w:szCs w:val="21"/>
              </w:rPr>
            </w:pPr>
            <w:r>
              <w:rPr>
                <w:rFonts w:hint="eastAsia" w:ascii="仿宋_GB2312" w:eastAsia="仿宋_GB2312"/>
                <w:color w:val="000000"/>
                <w:kern w:val="0"/>
                <w:szCs w:val="21"/>
              </w:rPr>
              <w:t>审核意见：</w:t>
            </w:r>
          </w:p>
          <w:p>
            <w:pPr>
              <w:widowControl/>
              <w:spacing w:line="300" w:lineRule="exact"/>
              <w:rPr>
                <w:rFonts w:hint="eastAsia" w:ascii="仿宋_GB2312" w:eastAsia="仿宋_GB2312"/>
                <w:color w:val="000000"/>
                <w:kern w:val="0"/>
                <w:szCs w:val="21"/>
              </w:rPr>
            </w:pPr>
          </w:p>
          <w:p>
            <w:pPr>
              <w:widowControl/>
              <w:spacing w:line="300" w:lineRule="exact"/>
              <w:rPr>
                <w:rFonts w:hint="eastAsia" w:ascii="仿宋_GB2312" w:eastAsia="仿宋_GB2312"/>
                <w:color w:val="000000"/>
                <w:kern w:val="0"/>
                <w:szCs w:val="21"/>
              </w:rPr>
            </w:pPr>
          </w:p>
          <w:p>
            <w:pPr>
              <w:widowControl/>
              <w:spacing w:line="300" w:lineRule="exact"/>
              <w:rPr>
                <w:rFonts w:ascii="仿宋_GB2312" w:eastAsia="仿宋_GB2312"/>
                <w:color w:val="000000"/>
                <w:kern w:val="0"/>
                <w:szCs w:val="21"/>
              </w:rPr>
            </w:pPr>
          </w:p>
          <w:p>
            <w:pPr>
              <w:widowControl/>
              <w:spacing w:line="300" w:lineRule="exact"/>
              <w:rPr>
                <w:rFonts w:ascii="仿宋_GB2312" w:eastAsia="仿宋_GB2312"/>
                <w:color w:val="000000"/>
                <w:kern w:val="0"/>
                <w:szCs w:val="21"/>
              </w:rPr>
            </w:pPr>
          </w:p>
          <w:p>
            <w:pPr>
              <w:widowControl/>
              <w:spacing w:line="300" w:lineRule="exact"/>
              <w:rPr>
                <w:rFonts w:ascii="仿宋_GB2312" w:eastAsia="仿宋_GB2312"/>
                <w:color w:val="000000"/>
                <w:kern w:val="0"/>
                <w:szCs w:val="21"/>
              </w:rPr>
            </w:pPr>
            <w:r>
              <w:rPr>
                <w:rFonts w:hint="eastAsia" w:ascii="仿宋_GB2312" w:eastAsia="仿宋_GB2312"/>
                <w:color w:val="000000"/>
                <w:kern w:val="0"/>
                <w:szCs w:val="21"/>
              </w:rPr>
              <w:t>审核人：</w:t>
            </w:r>
            <w:r>
              <w:rPr>
                <w:rFonts w:ascii="仿宋_GB2312" w:eastAsia="仿宋_GB2312"/>
                <w:color w:val="000000"/>
                <w:kern w:val="0"/>
                <w:szCs w:val="21"/>
              </w:rPr>
              <w:t xml:space="preserve">      </w:t>
            </w:r>
            <w:r>
              <w:rPr>
                <w:rFonts w:hint="eastAsia" w:ascii="仿宋_GB2312" w:eastAsia="仿宋_GB2312"/>
                <w:color w:val="000000"/>
                <w:kern w:val="0"/>
                <w:szCs w:val="21"/>
              </w:rPr>
              <w:t>负责人签字：</w:t>
            </w:r>
            <w:r>
              <w:rPr>
                <w:rFonts w:ascii="仿宋_GB2312" w:eastAsia="仿宋_GB2312"/>
                <w:color w:val="000000"/>
                <w:kern w:val="0"/>
                <w:szCs w:val="21"/>
              </w:rPr>
              <w:t xml:space="preserve">               </w:t>
            </w:r>
            <w:r>
              <w:rPr>
                <w:rFonts w:hint="eastAsia" w:ascii="仿宋_GB2312" w:eastAsia="仿宋_GB2312"/>
                <w:color w:val="000000"/>
                <w:kern w:val="0"/>
                <w:szCs w:val="21"/>
              </w:rPr>
              <w:t>年</w:t>
            </w:r>
            <w:r>
              <w:rPr>
                <w:rFonts w:ascii="仿宋_GB2312" w:eastAsia="仿宋_GB2312"/>
                <w:color w:val="000000"/>
                <w:kern w:val="0"/>
                <w:szCs w:val="21"/>
              </w:rPr>
              <w:t xml:space="preserve">   </w:t>
            </w:r>
            <w:r>
              <w:rPr>
                <w:rFonts w:hint="eastAsia" w:ascii="仿宋_GB2312" w:eastAsia="仿宋_GB2312"/>
                <w:color w:val="000000"/>
                <w:kern w:val="0"/>
                <w:szCs w:val="21"/>
              </w:rPr>
              <w:t>月</w:t>
            </w:r>
            <w:r>
              <w:rPr>
                <w:rFonts w:ascii="仿宋_GB2312" w:eastAsia="仿宋_GB2312"/>
                <w:color w:val="000000"/>
                <w:kern w:val="0"/>
                <w:szCs w:val="21"/>
              </w:rPr>
              <w:t xml:space="preserve">  </w:t>
            </w:r>
            <w:r>
              <w:rPr>
                <w:rFonts w:hint="eastAsia" w:ascii="仿宋_GB2312" w:eastAsia="仿宋_GB2312"/>
                <w:color w:val="000000"/>
                <w:kern w:val="0"/>
                <w:szCs w:val="21"/>
              </w:rPr>
              <w:t>日</w:t>
            </w:r>
          </w:p>
        </w:tc>
      </w:tr>
    </w:tbl>
    <w:p>
      <w:pPr>
        <w:widowControl/>
        <w:spacing w:line="240" w:lineRule="exact"/>
        <w:jc w:val="left"/>
        <w:rPr>
          <w:rFonts w:ascii="仿宋_GB2312" w:hAnsi="宋体" w:eastAsia="仿宋_GB2312" w:cs="宋体"/>
          <w:kern w:val="0"/>
          <w:sz w:val="24"/>
        </w:rPr>
      </w:pPr>
      <w:bookmarkStart w:id="0" w:name="_GoBack"/>
      <w:bookmarkEnd w:id="0"/>
      <w:r>
        <w:rPr>
          <w:rFonts w:hint="eastAsia" w:ascii="仿宋_GB2312" w:hAnsi="宋体" w:eastAsia="仿宋_GB2312" w:cs="宋体"/>
          <w:kern w:val="0"/>
          <w:sz w:val="24"/>
        </w:rPr>
        <w:t>填报人：</w:t>
      </w:r>
      <w:r>
        <w:rPr>
          <w:rFonts w:hint="eastAsia" w:ascii="仿宋_GB2312" w:hAnsi="宋体" w:eastAsia="仿宋_GB2312" w:cs="宋体"/>
          <w:kern w:val="0"/>
          <w:sz w:val="24"/>
          <w:lang w:eastAsia="zh-CN"/>
        </w:rPr>
        <w:t>欧小秦</w:t>
      </w:r>
      <w:r>
        <w:rPr>
          <w:rFonts w:ascii="仿宋_GB2312" w:hAnsi="宋体" w:eastAsia="仿宋_GB2312" w:cs="宋体"/>
          <w:kern w:val="0"/>
          <w:sz w:val="24"/>
        </w:rPr>
        <w:t xml:space="preserve"> </w:t>
      </w:r>
      <w:r>
        <w:rPr>
          <w:rFonts w:hint="eastAsia" w:ascii="仿宋_GB2312" w:hAnsi="宋体" w:eastAsia="仿宋_GB2312" w:cs="宋体"/>
          <w:kern w:val="0"/>
          <w:sz w:val="24"/>
        </w:rPr>
        <w:t>联系电话：</w:t>
      </w:r>
      <w:r>
        <w:rPr>
          <w:rFonts w:hint="eastAsia" w:ascii="仿宋_GB2312" w:hAnsi="宋体" w:eastAsia="仿宋_GB2312" w:cs="宋体"/>
          <w:kern w:val="0"/>
          <w:sz w:val="24"/>
          <w:lang w:val="en-US" w:eastAsia="zh-CN"/>
        </w:rPr>
        <w:t>18673265593</w:t>
      </w:r>
      <w:r>
        <w:rPr>
          <w:rFonts w:hint="eastAsia" w:ascii="仿宋_GB2312" w:hAnsi="宋体" w:eastAsia="仿宋_GB2312" w:cs="宋体"/>
          <w:kern w:val="0"/>
          <w:sz w:val="24"/>
        </w:rPr>
        <w:t>填报日期：</w:t>
      </w:r>
      <w:r>
        <w:rPr>
          <w:rFonts w:hint="eastAsia" w:ascii="仿宋_GB2312" w:hAnsi="宋体" w:eastAsia="仿宋_GB2312" w:cs="宋体"/>
          <w:kern w:val="0"/>
          <w:sz w:val="24"/>
          <w:lang w:val="en-US" w:eastAsia="zh-CN"/>
        </w:rPr>
        <w:t>2022.5.26</w:t>
      </w:r>
      <w:r>
        <w:rPr>
          <w:rFonts w:hint="eastAsia" w:ascii="仿宋_GB2312" w:hAnsi="宋体" w:eastAsia="仿宋_GB2312" w:cs="宋体"/>
          <w:kern w:val="0"/>
          <w:sz w:val="24"/>
        </w:rPr>
        <w:t>单位负责人签字：</w:t>
      </w:r>
    </w:p>
    <w:p>
      <w:pPr>
        <w:spacing w:line="480" w:lineRule="exact"/>
        <w:ind w:right="26"/>
        <w:rPr>
          <w:rFonts w:hint="eastAsia" w:ascii="黑体" w:hAnsi="黑体" w:eastAsia="黑体"/>
          <w:color w:val="000000"/>
          <w:sz w:val="28"/>
          <w:szCs w:val="28"/>
        </w:rPr>
      </w:pPr>
    </w:p>
    <w:p/>
    <w:p/>
    <w:p/>
    <w:p/>
    <w:p/>
    <w:p/>
    <w:p/>
    <w:p/>
    <w:p/>
    <w:p/>
    <w:p/>
    <w:p/>
    <w:p/>
    <w:p/>
    <w:p/>
    <w:p/>
    <w:p/>
    <w:p/>
    <w:p/>
    <w:p/>
    <w:p/>
    <w:p/>
    <w:p/>
    <w:p>
      <w:pPr>
        <w:jc w:val="both"/>
        <w:rPr>
          <w:rFonts w:hint="eastAsia" w:asciiTheme="majorEastAsia" w:hAnsiTheme="majorEastAsia" w:eastAsiaTheme="majorEastAsia"/>
          <w:bCs/>
          <w:kern w:val="0"/>
          <w:sz w:val="36"/>
          <w:szCs w:val="36"/>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yYTM2OWFkZDcyY2ViNTY4NDdhYzc1NjVlNmEzYjYifQ=="/>
  </w:docVars>
  <w:rsids>
    <w:rsidRoot w:val="00BD41D4"/>
    <w:rsid w:val="00013B6D"/>
    <w:rsid w:val="00017E29"/>
    <w:rsid w:val="0008116B"/>
    <w:rsid w:val="00083F35"/>
    <w:rsid w:val="00085BBA"/>
    <w:rsid w:val="000C588E"/>
    <w:rsid w:val="0012275F"/>
    <w:rsid w:val="001668AB"/>
    <w:rsid w:val="001E25B4"/>
    <w:rsid w:val="00200DDF"/>
    <w:rsid w:val="0024736B"/>
    <w:rsid w:val="00292399"/>
    <w:rsid w:val="002A2E70"/>
    <w:rsid w:val="002C3225"/>
    <w:rsid w:val="00302EFF"/>
    <w:rsid w:val="00376839"/>
    <w:rsid w:val="003950B9"/>
    <w:rsid w:val="003B48E3"/>
    <w:rsid w:val="003D6252"/>
    <w:rsid w:val="003E3719"/>
    <w:rsid w:val="00416D4A"/>
    <w:rsid w:val="00445F63"/>
    <w:rsid w:val="004B3FC3"/>
    <w:rsid w:val="004C1D3F"/>
    <w:rsid w:val="004C4365"/>
    <w:rsid w:val="00514083"/>
    <w:rsid w:val="00532496"/>
    <w:rsid w:val="00571DCB"/>
    <w:rsid w:val="005770C6"/>
    <w:rsid w:val="00596ED8"/>
    <w:rsid w:val="005A29E4"/>
    <w:rsid w:val="00612841"/>
    <w:rsid w:val="006465BF"/>
    <w:rsid w:val="00661632"/>
    <w:rsid w:val="006755EB"/>
    <w:rsid w:val="006946BA"/>
    <w:rsid w:val="00754BB9"/>
    <w:rsid w:val="007C31F8"/>
    <w:rsid w:val="007D55CE"/>
    <w:rsid w:val="007E2E30"/>
    <w:rsid w:val="0087645B"/>
    <w:rsid w:val="008C4E69"/>
    <w:rsid w:val="008E6AA8"/>
    <w:rsid w:val="00926A22"/>
    <w:rsid w:val="00980641"/>
    <w:rsid w:val="0098345F"/>
    <w:rsid w:val="009A5E8C"/>
    <w:rsid w:val="009B6835"/>
    <w:rsid w:val="00AD0217"/>
    <w:rsid w:val="00AD1DA9"/>
    <w:rsid w:val="00AF45AB"/>
    <w:rsid w:val="00AF6E9A"/>
    <w:rsid w:val="00B67C41"/>
    <w:rsid w:val="00B901C0"/>
    <w:rsid w:val="00B92DA9"/>
    <w:rsid w:val="00BA44AB"/>
    <w:rsid w:val="00BD41D4"/>
    <w:rsid w:val="00BF6BC8"/>
    <w:rsid w:val="00C01D31"/>
    <w:rsid w:val="00C04582"/>
    <w:rsid w:val="00C16967"/>
    <w:rsid w:val="00C92A2A"/>
    <w:rsid w:val="00CE79C0"/>
    <w:rsid w:val="00D0470E"/>
    <w:rsid w:val="00D10CD6"/>
    <w:rsid w:val="00D2317F"/>
    <w:rsid w:val="00DB404F"/>
    <w:rsid w:val="00DC1DE7"/>
    <w:rsid w:val="00DE1BA3"/>
    <w:rsid w:val="00E22EB3"/>
    <w:rsid w:val="00E433CB"/>
    <w:rsid w:val="00E4633E"/>
    <w:rsid w:val="00E51610"/>
    <w:rsid w:val="00E6067B"/>
    <w:rsid w:val="00E73058"/>
    <w:rsid w:val="00EA267C"/>
    <w:rsid w:val="00ED050B"/>
    <w:rsid w:val="00ED52D2"/>
    <w:rsid w:val="00ED5335"/>
    <w:rsid w:val="00ED536E"/>
    <w:rsid w:val="00EE7362"/>
    <w:rsid w:val="00EF4724"/>
    <w:rsid w:val="00F03397"/>
    <w:rsid w:val="00FB684E"/>
    <w:rsid w:val="00FB77D3"/>
    <w:rsid w:val="00FB7F09"/>
    <w:rsid w:val="04AE5E3F"/>
    <w:rsid w:val="058E15CF"/>
    <w:rsid w:val="0A5A6337"/>
    <w:rsid w:val="11B45755"/>
    <w:rsid w:val="1E975A84"/>
    <w:rsid w:val="24815D52"/>
    <w:rsid w:val="25405750"/>
    <w:rsid w:val="439A2217"/>
    <w:rsid w:val="46873CFC"/>
    <w:rsid w:val="65594A49"/>
    <w:rsid w:val="75772138"/>
    <w:rsid w:val="7EEE1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4"/>
    <w:link w:val="3"/>
    <w:semiHidden/>
    <w:qFormat/>
    <w:uiPriority w:val="99"/>
    <w:rPr>
      <w:sz w:val="18"/>
      <w:szCs w:val="18"/>
    </w:rPr>
  </w:style>
  <w:style w:type="character" w:customStyle="1" w:styleId="8">
    <w:name w:val="页脚 Char"/>
    <w:basedOn w:val="4"/>
    <w:link w:val="2"/>
    <w:qFormat/>
    <w:uiPriority w:val="99"/>
    <w:rPr>
      <w:sz w:val="18"/>
      <w:szCs w:val="18"/>
    </w:rPr>
  </w:style>
  <w:style w:type="paragraph" w:customStyle="1" w:styleId="9">
    <w:name w:val="列出段落1"/>
    <w:basedOn w:val="1"/>
    <w:qFormat/>
    <w:uiPriority w:val="0"/>
    <w:pPr>
      <w:spacing w:line="600" w:lineRule="exact"/>
      <w:ind w:firstLine="420" w:firstLineChars="200"/>
    </w:pPr>
    <w:rPr>
      <w:rFonts w:ascii="Times New Roman" w:hAnsi="Times New Roman" w:eastAsia="仿宋" w:cs="Calibri"/>
      <w:sz w:val="32"/>
      <w:szCs w:val="24"/>
    </w:rPr>
  </w:style>
  <w:style w:type="paragraph" w:customStyle="1" w:styleId="10">
    <w:name w:val="列表段落1"/>
    <w:basedOn w:val="1"/>
    <w:qFormat/>
    <w:uiPriority w:val="0"/>
    <w:pPr>
      <w:spacing w:line="600" w:lineRule="exact"/>
      <w:ind w:firstLine="420" w:firstLineChars="200"/>
    </w:pPr>
    <w:rPr>
      <w:rFonts w:ascii="Times New Roman" w:hAnsi="Times New Roman" w:eastAsia="仿宋" w:cs="Calibri"/>
      <w:sz w:val="32"/>
      <w:szCs w:val="24"/>
    </w:rPr>
  </w:style>
  <w:style w:type="paragraph" w:styleId="11">
    <w:name w:val="List Paragraph"/>
    <w:basedOn w:val="1"/>
    <w:qFormat/>
    <w:uiPriority w:val="99"/>
    <w:pPr>
      <w:spacing w:line="600" w:lineRule="exact"/>
      <w:ind w:firstLine="420" w:firstLineChars="200"/>
    </w:pPr>
    <w:rPr>
      <w:rFonts w:ascii="Times New Roman" w:hAnsi="Times New Roman" w:eastAsia="仿宋" w:cs="Calibri"/>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032429-D191-4BEC-AFFC-EA1120263403}">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32</Pages>
  <Words>11846</Words>
  <Characters>14321</Characters>
  <Lines>100</Lines>
  <Paragraphs>28</Paragraphs>
  <TotalTime>3</TotalTime>
  <ScaleCrop>false</ScaleCrop>
  <LinksUpToDate>false</LinksUpToDate>
  <CharactersWithSpaces>15853</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2021-07-02T04:38:00Z</dcterms:created>
  <dc:creator>1D508-3</dc:creator>
  <cp:lastModifiedBy>超级用户</cp:lastModifiedBy>
  <cp:lastPrinted>2023-01-19T12:28:02Z</cp:lastPrinted>
  <dcterms:modified xsi:type="dcterms:W3CDTF">2023-01-19T13:00:10Z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8B04014E172E47399C45B7EE61E94429</vt:lpwstr>
  </property>
</Properties>
</file>