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topLinePunct/>
        <w:spacing w:line="560" w:lineRule="exact"/>
        <w:jc w:val="center"/>
        <w:rPr>
          <w:rFonts w:ascii="方正小标宋简体" w:hAnsi="方正小标宋简体" w:eastAsia="方正小标宋简体" w:cs="方正小标宋简体"/>
          <w:sz w:val="44"/>
        </w:rPr>
      </w:pPr>
    </w:p>
    <w:p>
      <w:pPr>
        <w:kinsoku w:val="0"/>
        <w:topLinePunct/>
        <w:spacing w:line="560" w:lineRule="exact"/>
        <w:jc w:val="center"/>
        <w:rPr>
          <w:rFonts w:ascii="方正小标宋简体" w:hAnsi="方正小标宋简体" w:eastAsia="方正小标宋简体" w:cs="方正小标宋简体"/>
          <w:sz w:val="44"/>
        </w:rPr>
      </w:pPr>
    </w:p>
    <w:p>
      <w:pPr>
        <w:kinsoku w:val="0"/>
        <w:topLinePunct/>
        <w:spacing w:line="560" w:lineRule="exact"/>
        <w:jc w:val="center"/>
        <w:rPr>
          <w:rFonts w:hint="eastAsia" w:ascii="方正小标宋简体" w:hAnsi="方正小标宋简体" w:eastAsia="方正小标宋简体" w:cs="方正小标宋简体"/>
          <w:sz w:val="28"/>
          <w:szCs w:val="28"/>
        </w:rPr>
      </w:pPr>
    </w:p>
    <w:p>
      <w:pPr>
        <w:kinsoku w:val="0"/>
        <w:topLinePunct/>
        <w:spacing w:line="560" w:lineRule="exact"/>
        <w:jc w:val="center"/>
        <w:rPr>
          <w:rFonts w:ascii="方正小标宋简体" w:hAnsi="方正小标宋简体" w:eastAsia="方正小标宋简体" w:cs="方正小标宋简体"/>
          <w:sz w:val="28"/>
          <w:szCs w:val="28"/>
        </w:rPr>
      </w:pPr>
    </w:p>
    <w:p>
      <w:pPr>
        <w:kinsoku w:val="0"/>
        <w:topLinePunct/>
        <w:spacing w:line="560" w:lineRule="exact"/>
        <w:jc w:val="center"/>
        <w:rPr>
          <w:rFonts w:ascii="Times New Roman" w:hAnsi="Times New Roman" w:eastAsia="Times New Roman" w:cs="Times New Roman"/>
          <w:sz w:val="44"/>
        </w:rPr>
      </w:pPr>
      <w:r>
        <w:rPr>
          <w:rFonts w:ascii="方正小标宋简体" w:hAnsi="方正小标宋简体" w:eastAsia="方正小标宋简体" w:cs="方正小标宋简体"/>
          <w:sz w:val="44"/>
        </w:rPr>
        <w:t>湖南湘潭天易经济开发区管理委员会</w:t>
      </w:r>
    </w:p>
    <w:p>
      <w:pPr>
        <w:kinsoku w:val="0"/>
        <w:topLinePunct/>
        <w:spacing w:line="560" w:lineRule="exact"/>
        <w:jc w:val="center"/>
        <w:rPr>
          <w:rFonts w:ascii="Times New Roman" w:hAnsi="Times New Roman" w:eastAsia="Times New Roman" w:cs="Times New Roman"/>
          <w:sz w:val="44"/>
        </w:rPr>
      </w:pPr>
      <w:r>
        <w:rPr>
          <w:rFonts w:ascii="Times New Roman" w:hAnsi="Times New Roman" w:eastAsia="Times New Roman" w:cs="Times New Roman"/>
          <w:sz w:val="44"/>
        </w:rPr>
        <w:t>2022</w:t>
      </w:r>
      <w:r>
        <w:rPr>
          <w:rFonts w:ascii="方正小标宋简体" w:hAnsi="方正小标宋简体" w:eastAsia="方正小标宋简体" w:cs="方正小标宋简体"/>
          <w:sz w:val="44"/>
        </w:rPr>
        <w:t>年度部门整体支出绩效自评报告</w:t>
      </w:r>
    </w:p>
    <w:p>
      <w:pPr>
        <w:kinsoku w:val="0"/>
        <w:topLinePunct/>
        <w:spacing w:line="560" w:lineRule="exact"/>
        <w:jc w:val="center"/>
        <w:rPr>
          <w:rFonts w:ascii="Times New Roman" w:hAnsi="Times New Roman" w:eastAsia="Times New Roman" w:cs="Times New Roman"/>
          <w:sz w:val="32"/>
        </w:rPr>
      </w:pPr>
    </w:p>
    <w:p>
      <w:pPr>
        <w:kinsoku w:val="0"/>
        <w:topLinePunct/>
        <w:spacing w:line="560" w:lineRule="exact"/>
        <w:ind w:firstLine="640"/>
        <w:rPr>
          <w:rFonts w:ascii="宋体" w:hAnsi="宋体" w:eastAsia="宋体" w:cs="宋体"/>
          <w:b/>
          <w:sz w:val="32"/>
        </w:rPr>
      </w:pPr>
      <w:r>
        <w:rPr>
          <w:rFonts w:ascii="仿宋_GB2312" w:hAnsi="仿宋_GB2312" w:eastAsia="仿宋_GB2312" w:cs="仿宋_GB2312"/>
          <w:color w:val="000000"/>
          <w:sz w:val="32"/>
        </w:rPr>
        <w:t>根据《预算法》、《中共湖南省委办公厅 湖南省人民政府办公厅关于全面实施预算绩效管理的实施意见》</w:t>
      </w:r>
      <w:r>
        <w:rPr>
          <w:rFonts w:ascii="仿宋_GB2312" w:hAnsi="仿宋_GB2312" w:eastAsia="仿宋_GB2312" w:cs="仿宋_GB2312"/>
          <w:sz w:val="32"/>
        </w:rPr>
        <w:t>（湘办发〔2019〕10号）</w:t>
      </w:r>
      <w:r>
        <w:rPr>
          <w:rFonts w:ascii="仿宋_GB2312" w:hAnsi="仿宋_GB2312" w:eastAsia="仿宋_GB2312" w:cs="仿宋_GB2312"/>
          <w:color w:val="000000"/>
          <w:sz w:val="32"/>
        </w:rPr>
        <w:t>有关“通过自评和外部评价相结合的方式，对预算执行情况开展绩效评价”的文件精神，</w:t>
      </w:r>
      <w:r>
        <w:rPr>
          <w:rFonts w:ascii="仿宋_GB2312" w:hAnsi="仿宋_GB2312" w:eastAsia="仿宋_GB2312" w:cs="仿宋_GB2312"/>
          <w:sz w:val="32"/>
        </w:rPr>
        <w:t>按照《湘潭县预算支出绩效评价管理办法》（潭财发[2021]32号）、《湘潭县2022年度预算绩效管理工作方案》（潭财发〔2022〕9号）和《湘潭县财政局关于做好2022年度财政支出绩效自评工作的通知》的相关要求，我区对2022</w:t>
      </w:r>
      <w:r>
        <w:rPr>
          <w:rFonts w:ascii="仿宋_GB2312" w:hAnsi="仿宋_GB2312" w:eastAsia="仿宋_GB2312" w:cs="仿宋_GB2312"/>
          <w:sz w:val="32"/>
          <w:shd w:val="clear" w:color="auto" w:fill="FFFFFF"/>
        </w:rPr>
        <w:t>年度部门整体支出进行了绩效自评，现报告如下：</w:t>
      </w:r>
    </w:p>
    <w:p>
      <w:pPr>
        <w:kinsoku w:val="0"/>
        <w:topLinePunct/>
        <w:spacing w:line="560" w:lineRule="exact"/>
        <w:ind w:firstLine="640"/>
        <w:rPr>
          <w:rFonts w:ascii="黑体" w:hAnsi="黑体" w:eastAsia="黑体" w:cs="黑体"/>
          <w:sz w:val="32"/>
        </w:rPr>
      </w:pPr>
      <w:r>
        <w:rPr>
          <w:rFonts w:ascii="黑体" w:hAnsi="黑体" w:eastAsia="黑体" w:cs="黑体"/>
          <w:sz w:val="32"/>
        </w:rPr>
        <w:t>一、部门概况</w:t>
      </w:r>
    </w:p>
    <w:p>
      <w:pPr>
        <w:kinsoku w:val="0"/>
        <w:topLinePunct/>
        <w:spacing w:line="560" w:lineRule="exact"/>
        <w:ind w:firstLine="643"/>
        <w:rPr>
          <w:rFonts w:ascii="楷体_GB2312" w:hAnsi="楷体_GB2312" w:eastAsia="楷体_GB2312" w:cs="楷体_GB2312"/>
          <w:b/>
          <w:sz w:val="32"/>
        </w:rPr>
      </w:pPr>
      <w:r>
        <w:rPr>
          <w:rFonts w:ascii="楷体_GB2312" w:hAnsi="楷体_GB2312" w:eastAsia="楷体_GB2312" w:cs="楷体_GB2312"/>
          <w:b/>
          <w:sz w:val="32"/>
        </w:rPr>
        <w:t>（一）部门基本情况</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1．在职人员情况及机构设置</w:t>
      </w:r>
    </w:p>
    <w:p>
      <w:pPr>
        <w:kinsoku w:val="0"/>
        <w:topLinePunct/>
        <w:spacing w:line="560" w:lineRule="exact"/>
        <w:ind w:firstLine="640"/>
        <w:rPr>
          <w:rFonts w:ascii="仿宋_GB2312" w:hAnsi="仿宋_GB2312" w:eastAsia="仿宋_GB2312" w:cs="仿宋_GB2312"/>
          <w:sz w:val="32"/>
          <w:shd w:val="clear" w:color="auto" w:fill="FFFFFF"/>
        </w:rPr>
      </w:pPr>
      <w:r>
        <w:rPr>
          <w:rFonts w:ascii="仿宋_GB2312" w:hAnsi="仿宋_GB2312" w:eastAsia="仿宋_GB2312" w:cs="仿宋_GB2312"/>
          <w:sz w:val="32"/>
          <w:shd w:val="clear" w:color="auto" w:fill="FFFFFF"/>
        </w:rPr>
        <w:t>2022年我单位内设办公室、经济发展局等 8个内设机构，湖南湘潭天易经济开发区创新创业服务中心等6 个二级机构。按照机构改革要求，2022年8月份我单位内设办公室、产业发展局等7个内设机构，湖南湘潭天易经济开发区企业和项目服务中心等4个二级机构。我委核定专项编制45名，事业编制55名。截止2022年12月31日，天易经开区共计214人，其中在编104人，县直单位派驻30人，市直机关和金融机构挂职3人，编制在原单位公司人员8人，征拆抽借调 11人，体制外58人（聘用24 人，劳务派遣 34人）。</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2．部门主要职能</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（1）贯彻执行党和国家关于发展经济技术开发区的方针、政策和法律、法规、规章；根据市政府授权，检查督促各项政策、法规的执行。</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（2）编制经开区总体规划和经济社会发展计划，经批准后组织实施。</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（3）制定并组织实施相关行政管理规定。</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（4）审核经开区的投资项目，并按照规定权限审批或者报批。</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（5）管理经开区各项基础设施和公共设施。</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（6）按规定管理经开区的财政、商务、建设规划、劳动、人事、治安、土地、房产、国有资产、安全生产监管和环境保护等工作。</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（7）按规定做好职权范围内经开区的科学、文化、教育、卫生、体育、创新创业等社会公益事业。</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（8）管理经开区的进出口业务和对外经济技术合作，按照规定处理开发区内的涉外事务。</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（9）指导、协调、规范、促进经开区的招商引资工作。</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（10）负责对经开区内的企业进行协调和有关服务工作。</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（11）负责协调有关部门在开发区设立的机构的工作。</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（12）承办市委、市政府交办的其他工作，及其受托管理的县委、县政府交办的工作。</w:t>
      </w:r>
    </w:p>
    <w:p>
      <w:pPr>
        <w:kinsoku w:val="0"/>
        <w:topLinePunct/>
        <w:spacing w:line="560" w:lineRule="exact"/>
        <w:ind w:firstLine="643"/>
        <w:jc w:val="left"/>
        <w:rPr>
          <w:rFonts w:ascii="仿宋_GB2312" w:hAnsi="仿宋_GB2312" w:eastAsia="仿宋_GB2312" w:cs="仿宋_GB2312"/>
          <w:b/>
          <w:sz w:val="32"/>
        </w:rPr>
      </w:pPr>
      <w:r>
        <w:rPr>
          <w:rFonts w:ascii="仿宋_GB2312" w:hAnsi="仿宋_GB2312" w:eastAsia="仿宋_GB2312" w:cs="仿宋_GB2312"/>
          <w:b/>
          <w:sz w:val="32"/>
        </w:rPr>
        <w:t>3．发展规划与年度计划</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（1）发展规划</w:t>
      </w:r>
    </w:p>
    <w:p>
      <w:pPr>
        <w:kinsoku w:val="0"/>
        <w:topLinePunct/>
        <w:spacing w:line="560" w:lineRule="exact"/>
        <w:ind w:firstLine="640"/>
        <w:rPr>
          <w:rFonts w:ascii="仿宋_GB2312" w:hAnsi="仿宋_GB2312" w:eastAsia="仿宋_GB2312" w:cs="仿宋_GB2312"/>
          <w:sz w:val="32"/>
        </w:rPr>
      </w:pPr>
      <w:r>
        <w:rPr>
          <w:rFonts w:ascii="仿宋_GB2312" w:hAnsi="仿宋_GB2312" w:eastAsia="仿宋_GB2312" w:cs="仿宋_GB2312"/>
          <w:sz w:val="32"/>
        </w:rPr>
        <w:t>坚持发展是第一要务，以提高发展质量和效益为中心，抢抓“一带一部”、长株潭城市群融合发展的战略机遇，以一流园区、两型典范为目标，以招商引资、协同、发展为主线,以项目建设、自主创新为抓手,以智慧城市、宜居家园为依托,以产业升级、重点工程为路径，围绕“千亿园区、宜居新城”，努力打造长株潭协调发展的副城区、两型产业融合的示范区、生态环境优美的滨江新城，争创国家级经济技术开发区。</w:t>
      </w:r>
    </w:p>
    <w:p>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（2）年度计划</w:t>
      </w:r>
    </w:p>
    <w:p>
      <w:pPr>
        <w:kinsoku w:val="0"/>
        <w:topLinePunct/>
        <w:spacing w:line="560" w:lineRule="exact"/>
        <w:ind w:firstLine="640"/>
        <w:jc w:val="left"/>
        <w:rPr>
          <w:rFonts w:ascii="仿宋_GB2312" w:hAnsi="仿宋_GB2312" w:eastAsia="仿宋_GB2312" w:cs="仿宋_GB2312"/>
          <w:color w:val="FFFF00"/>
          <w:sz w:val="32"/>
        </w:rPr>
      </w:pPr>
      <w:r>
        <w:rPr>
          <w:rFonts w:ascii="仿宋_GB2312" w:hAnsi="仿宋_GB2312" w:eastAsia="仿宋_GB2312" w:cs="仿宋_GB2312"/>
          <w:sz w:val="32"/>
        </w:rPr>
        <w:t>以习近平新时代中国特色社会主义思想和习近平总书记在湖南考察重要讲话精神为指导，全面贯彻省委“三高四新”战略定位和使命任务、市委“四区一地一圈一强”建设、坚持一手抓发展、一手抓化债，园区经济社会保持健康稳定发展</w:t>
      </w:r>
      <w:r>
        <w:rPr>
          <w:rFonts w:ascii="仿宋_GB2312" w:hAnsi="仿宋_GB2312" w:eastAsia="仿宋_GB2312" w:cs="仿宋_GB2312"/>
          <w:sz w:val="32"/>
          <w:shd w:val="clear" w:color="auto" w:fill="FFFFFF"/>
        </w:rPr>
        <w:t>。</w:t>
      </w:r>
    </w:p>
    <w:p>
      <w:pPr>
        <w:kinsoku w:val="0"/>
        <w:topLinePunct/>
        <w:spacing w:line="560" w:lineRule="exact"/>
        <w:ind w:firstLine="964"/>
        <w:jc w:val="left"/>
        <w:rPr>
          <w:rFonts w:ascii="仿宋_GB2312" w:hAnsi="仿宋_GB2312" w:eastAsia="仿宋_GB2312" w:cs="仿宋_GB2312"/>
          <w:b/>
          <w:color w:val="000000"/>
          <w:sz w:val="32"/>
        </w:rPr>
      </w:pPr>
      <w:r>
        <w:rPr>
          <w:rFonts w:ascii="仿宋_GB2312" w:hAnsi="仿宋_GB2312" w:eastAsia="仿宋_GB2312" w:cs="仿宋_GB2312"/>
          <w:b/>
          <w:color w:val="000000"/>
          <w:sz w:val="32"/>
        </w:rPr>
        <w:t>4．部门年度预算批复情况</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2022年，经开区年初预算数为149771.00万元，(包括</w:t>
      </w:r>
      <w:r>
        <w:rPr>
          <w:rFonts w:ascii="仿宋_GB2312" w:hAnsi="仿宋_GB2312" w:eastAsia="仿宋_GB2312" w:cs="仿宋_GB2312"/>
          <w:color w:val="FF0000"/>
          <w:sz w:val="32"/>
        </w:rPr>
        <w:t>一般公共预算</w:t>
      </w:r>
      <w:r>
        <w:rPr>
          <w:rFonts w:ascii="仿宋_GB2312" w:hAnsi="仿宋_GB2312" w:eastAsia="仿宋_GB2312" w:cs="仿宋_GB2312"/>
          <w:color w:val="000000"/>
          <w:sz w:val="32"/>
        </w:rPr>
        <w:t>拨款27771.00万元，政府性基金拨款122000.00万元),其中：基本支出1,808.00万元，项目支出13808.00万元，</w:t>
      </w:r>
      <w:r>
        <w:rPr>
          <w:rFonts w:ascii="仿宋_GB2312" w:hAnsi="仿宋_GB2312" w:eastAsia="仿宋_GB2312" w:cs="仿宋_GB2312"/>
          <w:color w:val="FF0000"/>
          <w:sz w:val="32"/>
        </w:rPr>
        <w:t>债务利息支出12155万元。</w:t>
      </w:r>
      <w:r>
        <w:rPr>
          <w:rFonts w:ascii="仿宋_GB2312" w:hAnsi="仿宋_GB2312" w:eastAsia="仿宋_GB2312" w:cs="仿宋_GB2312"/>
          <w:color w:val="000000"/>
          <w:sz w:val="32"/>
        </w:rPr>
        <w:t>具体预算支出安排明细如下表：</w:t>
      </w:r>
    </w:p>
    <w:p>
      <w:pPr>
        <w:kinsoku w:val="0"/>
        <w:topLinePunct/>
        <w:spacing w:line="560" w:lineRule="exact"/>
        <w:ind w:firstLine="6825"/>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5"/>
        <w:tblW w:w="8424" w:type="dxa"/>
        <w:tblInd w:w="98" w:type="dxa"/>
        <w:tblLayout w:type="fixed"/>
        <w:tblCellMar>
          <w:top w:w="0" w:type="dxa"/>
          <w:left w:w="10" w:type="dxa"/>
          <w:bottom w:w="0" w:type="dxa"/>
          <w:right w:w="10" w:type="dxa"/>
        </w:tblCellMar>
      </w:tblPr>
      <w:tblGrid>
        <w:gridCol w:w="861"/>
        <w:gridCol w:w="651"/>
        <w:gridCol w:w="1776"/>
        <w:gridCol w:w="1204"/>
        <w:gridCol w:w="1307"/>
        <w:gridCol w:w="1277"/>
        <w:gridCol w:w="1348"/>
      </w:tblGrid>
      <w:tr>
        <w:tblPrEx>
          <w:tblLayout w:type="fixed"/>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序号</w:t>
            </w:r>
          </w:p>
        </w:tc>
        <w:tc>
          <w:tcPr>
            <w:tcW w:w="2427"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预算支出安排明细</w:t>
            </w:r>
          </w:p>
        </w:tc>
        <w:tc>
          <w:tcPr>
            <w:tcW w:w="120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财政拨款</w:t>
            </w:r>
          </w:p>
        </w:tc>
        <w:tc>
          <w:tcPr>
            <w:tcW w:w="130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政府性基金</w:t>
            </w: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134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占年初预算比</w:t>
            </w:r>
          </w:p>
        </w:tc>
      </w:tr>
      <w:tr>
        <w:tblPrEx>
          <w:tblLayout w:type="fixed"/>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一、</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000000"/>
              </w:rPr>
              <w:t>基本支出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r>
      <w:tr>
        <w:tblPrEx>
          <w:tblLayout w:type="fixed"/>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ind w:firstLine="210"/>
              <w:jc w:val="left"/>
            </w:pPr>
            <w:r>
              <w:rPr>
                <w:rFonts w:ascii="仿宋_GB2312" w:hAnsi="仿宋_GB2312" w:eastAsia="仿宋_GB2312" w:cs="仿宋_GB2312"/>
                <w:color w:val="000000"/>
              </w:rPr>
              <w:t>工资福利支出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1603.90</w:t>
            </w: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1603.90</w:t>
            </w: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1.07%</w:t>
            </w:r>
          </w:p>
        </w:tc>
      </w:tr>
      <w:tr>
        <w:tblPrEx>
          <w:tblLayout w:type="fixed"/>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ind w:firstLine="210"/>
              <w:jc w:val="left"/>
            </w:pPr>
            <w:r>
              <w:rPr>
                <w:rFonts w:ascii="仿宋_GB2312" w:hAnsi="仿宋_GB2312" w:eastAsia="仿宋_GB2312" w:cs="仿宋_GB2312"/>
                <w:color w:val="000000"/>
              </w:rPr>
              <w:t>一般商品和服务支出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203.00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203.00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0.14%</w:t>
            </w:r>
          </w:p>
        </w:tc>
      </w:tr>
      <w:tr>
        <w:tblPrEx>
          <w:tblLayout w:type="fixed"/>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ind w:firstLine="210"/>
              <w:jc w:val="left"/>
            </w:pPr>
            <w:r>
              <w:rPr>
                <w:rFonts w:ascii="仿宋_GB2312" w:hAnsi="仿宋_GB2312" w:eastAsia="仿宋_GB2312" w:cs="仿宋_GB2312"/>
                <w:color w:val="000000"/>
              </w:rPr>
              <w:t>对个人和家庭的补助</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0.00%</w:t>
            </w:r>
          </w:p>
        </w:tc>
      </w:tr>
      <w:tr>
        <w:tblPrEx>
          <w:tblLayout w:type="fixed"/>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基本支出小计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1,808.00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1,808.00　</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1.21%</w:t>
            </w:r>
          </w:p>
        </w:tc>
      </w:tr>
      <w:tr>
        <w:tblPrEx>
          <w:tblLayout w:type="fixed"/>
          <w:tblCellMar>
            <w:top w:w="0" w:type="dxa"/>
            <w:left w:w="10" w:type="dxa"/>
            <w:bottom w:w="0" w:type="dxa"/>
            <w:right w:w="10" w:type="dxa"/>
          </w:tblCellMar>
        </w:tblPrEx>
        <w:trPr>
          <w:trHeight w:val="280" w:hRule="atLeast"/>
        </w:trPr>
        <w:tc>
          <w:tcPr>
            <w:tcW w:w="1512"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二、</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项目支出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25963.00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147963.00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98.79%</w:t>
            </w:r>
          </w:p>
        </w:tc>
      </w:tr>
      <w:tr>
        <w:tblPrEx>
          <w:tblLayout w:type="fixed"/>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27771.00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149771.00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100.00%</w:t>
            </w:r>
          </w:p>
        </w:tc>
      </w:tr>
    </w:tbl>
    <w:p>
      <w:pPr>
        <w:kinsoku w:val="0"/>
        <w:topLinePunct/>
        <w:spacing w:line="560" w:lineRule="exact"/>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上表数据显示，年度预算基本支出1,808.00万元，其中人员支出金额为1,603.90万元，占基本支出的88.71%。项目支出中政府性基金拨款122000.00万元，占项目支出的</w:t>
      </w:r>
      <w:r>
        <w:rPr>
          <w:rFonts w:ascii="仿宋_GB2312" w:hAnsi="仿宋_GB2312" w:eastAsia="仿宋_GB2312" w:cs="仿宋_GB2312"/>
          <w:color w:val="FF0000"/>
          <w:sz w:val="32"/>
        </w:rPr>
        <w:t>82.45%。</w:t>
      </w:r>
      <w:r>
        <w:rPr>
          <w:rFonts w:ascii="仿宋_GB2312" w:hAnsi="仿宋_GB2312" w:eastAsia="仿宋_GB2312" w:cs="仿宋_GB2312"/>
          <w:color w:val="000000"/>
          <w:sz w:val="32"/>
        </w:rPr>
        <w:t>主要是用于城市基础设施建设和化债支出、国有土地使用权出让收入安排的支出。</w:t>
      </w:r>
    </w:p>
    <w:p>
      <w:pPr>
        <w:kinsoku w:val="0"/>
        <w:topLinePunct/>
        <w:spacing w:line="560" w:lineRule="exact"/>
        <w:ind w:firstLine="643"/>
        <w:jc w:val="left"/>
        <w:rPr>
          <w:rFonts w:ascii="仿宋_GB2312" w:hAnsi="仿宋_GB2312" w:eastAsia="仿宋_GB2312" w:cs="仿宋_GB2312"/>
          <w:b/>
          <w:color w:val="000000"/>
          <w:sz w:val="32"/>
        </w:rPr>
      </w:pPr>
      <w:r>
        <w:rPr>
          <w:rFonts w:ascii="仿宋_GB2312" w:hAnsi="仿宋_GB2312" w:eastAsia="仿宋_GB2312" w:cs="仿宋_GB2312"/>
          <w:b/>
          <w:color w:val="000000"/>
          <w:sz w:val="32"/>
        </w:rPr>
        <w:t>5.部门年度预算执行情况</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（1）收入情况</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2022年财政预算收入</w:t>
      </w:r>
      <w:r>
        <w:rPr>
          <w:rFonts w:ascii="仿宋_GB2312" w:hAnsi="仿宋_GB2312" w:eastAsia="仿宋_GB2312" w:cs="仿宋_GB2312"/>
          <w:color w:val="FF0000"/>
          <w:sz w:val="32"/>
        </w:rPr>
        <w:t>285173.86</w:t>
      </w:r>
      <w:r>
        <w:rPr>
          <w:rFonts w:ascii="仿宋_GB2312" w:hAnsi="仿宋_GB2312" w:eastAsia="仿宋_GB2312" w:cs="仿宋_GB2312"/>
          <w:color w:val="000000"/>
          <w:sz w:val="32"/>
        </w:rPr>
        <w:t>万元，其中：一般公共预算收入</w:t>
      </w:r>
      <w:r>
        <w:rPr>
          <w:rFonts w:ascii="仿宋_GB2312" w:hAnsi="仿宋_GB2312" w:eastAsia="仿宋_GB2312" w:cs="仿宋_GB2312"/>
          <w:color w:val="FF0000"/>
          <w:sz w:val="32"/>
        </w:rPr>
        <w:t>22620.64</w:t>
      </w:r>
      <w:r>
        <w:rPr>
          <w:rFonts w:ascii="仿宋_GB2312" w:hAnsi="仿宋_GB2312" w:eastAsia="仿宋_GB2312" w:cs="仿宋_GB2312"/>
          <w:color w:val="000000"/>
          <w:sz w:val="32"/>
        </w:rPr>
        <w:t>万元，政府性基金收入</w:t>
      </w:r>
      <w:r>
        <w:rPr>
          <w:rFonts w:ascii="仿宋_GB2312" w:hAnsi="仿宋_GB2312" w:eastAsia="仿宋_GB2312" w:cs="仿宋_GB2312"/>
          <w:color w:val="FF0000"/>
          <w:sz w:val="32"/>
        </w:rPr>
        <w:t>262553.22</w:t>
      </w:r>
      <w:r>
        <w:rPr>
          <w:rFonts w:ascii="仿宋_GB2312" w:hAnsi="仿宋_GB2312" w:eastAsia="仿宋_GB2312" w:cs="仿宋_GB2312"/>
          <w:color w:val="000000"/>
          <w:sz w:val="32"/>
        </w:rPr>
        <w:t>万元。</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（2）支出情况</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2022年一般公共预算支出</w:t>
      </w:r>
      <w:r>
        <w:rPr>
          <w:rFonts w:ascii="仿宋_GB2312" w:hAnsi="仿宋_GB2312" w:eastAsia="仿宋_GB2312" w:cs="仿宋_GB2312"/>
          <w:color w:val="FF0000"/>
          <w:sz w:val="32"/>
        </w:rPr>
        <w:t>22620.64</w:t>
      </w:r>
      <w:r>
        <w:rPr>
          <w:rFonts w:ascii="仿宋_GB2312" w:hAnsi="仿宋_GB2312" w:eastAsia="仿宋_GB2312" w:cs="仿宋_GB2312"/>
          <w:color w:val="000000"/>
          <w:sz w:val="32"/>
        </w:rPr>
        <w:t>万元，其中：基本支出1431.12万元，项目支出</w:t>
      </w:r>
      <w:r>
        <w:rPr>
          <w:rFonts w:ascii="仿宋_GB2312" w:hAnsi="仿宋_GB2312" w:eastAsia="仿宋_GB2312" w:cs="仿宋_GB2312"/>
          <w:color w:val="FF0000"/>
          <w:sz w:val="32"/>
        </w:rPr>
        <w:t>21189.52</w:t>
      </w:r>
      <w:r>
        <w:rPr>
          <w:rFonts w:ascii="仿宋_GB2312" w:hAnsi="仿宋_GB2312" w:eastAsia="仿宋_GB2312" w:cs="仿宋_GB2312"/>
          <w:color w:val="000000"/>
          <w:sz w:val="32"/>
        </w:rPr>
        <w:t>万元。</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①基本支出情况</w:t>
      </w:r>
    </w:p>
    <w:p>
      <w:pPr>
        <w:kinsoku w:val="0"/>
        <w:topLinePunct/>
        <w:spacing w:line="560" w:lineRule="exact"/>
        <w:ind w:firstLine="640"/>
        <w:jc w:val="left"/>
        <w:rPr>
          <w:rFonts w:ascii="仿宋_GB2312" w:hAnsi="仿宋_GB2312" w:eastAsia="仿宋_GB2312" w:cs="仿宋_GB2312"/>
          <w:color w:val="0000FF"/>
          <w:sz w:val="32"/>
        </w:rPr>
      </w:pPr>
      <w:r>
        <w:rPr>
          <w:rFonts w:ascii="仿宋_GB2312" w:hAnsi="仿宋_GB2312" w:eastAsia="仿宋_GB2312" w:cs="仿宋_GB2312"/>
          <w:color w:val="0000FF"/>
          <w:sz w:val="32"/>
        </w:rPr>
        <w:t>2022年度实际基本支出1431.12万元，其中：工资福利支出1259.74万元，一般商品和服务支出170.28万元，对个人和家庭的补助1.10万元，具体情况如下表：</w:t>
      </w:r>
    </w:p>
    <w:p>
      <w:pPr>
        <w:kinsoku w:val="0"/>
        <w:topLinePunct/>
        <w:spacing w:line="560" w:lineRule="exact"/>
        <w:ind w:firstLine="7140"/>
        <w:jc w:val="left"/>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5"/>
        <w:tblW w:w="8435" w:type="dxa"/>
        <w:tblInd w:w="93" w:type="dxa"/>
        <w:tblLayout w:type="fixed"/>
        <w:tblCellMar>
          <w:top w:w="0" w:type="dxa"/>
          <w:left w:w="10" w:type="dxa"/>
          <w:bottom w:w="0" w:type="dxa"/>
          <w:right w:w="10" w:type="dxa"/>
        </w:tblCellMar>
      </w:tblPr>
      <w:tblGrid>
        <w:gridCol w:w="706"/>
        <w:gridCol w:w="4285"/>
        <w:gridCol w:w="2188"/>
        <w:gridCol w:w="1256"/>
      </w:tblGrid>
      <w:tr>
        <w:tblPrEx>
          <w:tblLayout w:type="fixed"/>
          <w:tblCellMar>
            <w:top w:w="0" w:type="dxa"/>
            <w:left w:w="10" w:type="dxa"/>
            <w:bottom w:w="0" w:type="dxa"/>
            <w:right w:w="10" w:type="dxa"/>
          </w:tblCellMar>
        </w:tblPrEx>
        <w:trPr>
          <w:trHeight w:val="454" w:hRule="atLeast"/>
        </w:trPr>
        <w:tc>
          <w:tcPr>
            <w:tcW w:w="70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序号</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21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支出数</w:t>
            </w:r>
          </w:p>
        </w:tc>
        <w:tc>
          <w:tcPr>
            <w:tcW w:w="1256"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占比</w:t>
            </w:r>
          </w:p>
        </w:tc>
      </w:tr>
      <w:tr>
        <w:tblPrEx>
          <w:tblLayout w:type="fixed"/>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000000"/>
              </w:rPr>
              <w:t>工资福利支出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 xml:space="preserve">1259.74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sz w:val="22"/>
              </w:rPr>
            </w:pPr>
            <w:r>
              <w:rPr>
                <w:rFonts w:ascii="仿宋_GB2312" w:hAnsi="仿宋_GB2312" w:eastAsia="仿宋_GB2312" w:cs="仿宋_GB2312"/>
                <w:color w:val="FF0000"/>
                <w:sz w:val="22"/>
              </w:rPr>
              <w:t>88.02%</w:t>
            </w:r>
          </w:p>
        </w:tc>
      </w:tr>
      <w:tr>
        <w:tblPrEx>
          <w:tblLayout w:type="fixed"/>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000000"/>
              </w:rPr>
              <w:t>一般商品和服务支出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 xml:space="preserve">170.28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sz w:val="22"/>
              </w:rPr>
            </w:pPr>
            <w:r>
              <w:rPr>
                <w:rFonts w:ascii="仿宋_GB2312" w:hAnsi="仿宋_GB2312" w:eastAsia="仿宋_GB2312" w:cs="仿宋_GB2312"/>
                <w:color w:val="FF0000"/>
                <w:sz w:val="22"/>
              </w:rPr>
              <w:t>11.9%</w:t>
            </w:r>
          </w:p>
        </w:tc>
      </w:tr>
      <w:tr>
        <w:tblPrEx>
          <w:tblLayout w:type="fixed"/>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w:t>
            </w:r>
          </w:p>
        </w:tc>
        <w:tc>
          <w:tcPr>
            <w:tcW w:w="428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对个人和家庭的补助</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 xml:space="preserve">1.10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sz w:val="22"/>
              </w:rPr>
            </w:pPr>
            <w:r>
              <w:rPr>
                <w:rFonts w:ascii="仿宋_GB2312" w:hAnsi="仿宋_GB2312" w:eastAsia="仿宋_GB2312" w:cs="仿宋_GB2312"/>
                <w:color w:val="FF0000"/>
                <w:sz w:val="22"/>
              </w:rPr>
              <w:t>0.08%</w:t>
            </w:r>
          </w:p>
        </w:tc>
      </w:tr>
      <w:tr>
        <w:tblPrEx>
          <w:tblLayout w:type="fixed"/>
          <w:tblCellMar>
            <w:top w:w="0" w:type="dxa"/>
            <w:left w:w="10" w:type="dxa"/>
            <w:bottom w:w="0" w:type="dxa"/>
            <w:right w:w="10" w:type="dxa"/>
          </w:tblCellMar>
        </w:tblPrEx>
        <w:trPr>
          <w:trHeight w:val="454" w:hRule="atLeast"/>
        </w:trPr>
        <w:tc>
          <w:tcPr>
            <w:tcW w:w="4991" w:type="dxa"/>
            <w:gridSpan w:val="2"/>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1431.12</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100.00%</w:t>
            </w:r>
          </w:p>
        </w:tc>
      </w:tr>
    </w:tbl>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②项目支出情况</w:t>
      </w:r>
    </w:p>
    <w:p>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经开区2022年度项目支出</w:t>
      </w:r>
      <w:r>
        <w:rPr>
          <w:rFonts w:ascii="仿宋_GB2312" w:hAnsi="仿宋_GB2312" w:eastAsia="仿宋_GB2312" w:cs="仿宋_GB2312"/>
          <w:color w:val="FF0000"/>
          <w:sz w:val="32"/>
        </w:rPr>
        <w:t>283742.74</w:t>
      </w:r>
      <w:r>
        <w:rPr>
          <w:rFonts w:ascii="仿宋_GB2312" w:hAnsi="仿宋_GB2312" w:eastAsia="仿宋_GB2312" w:cs="仿宋_GB2312"/>
          <w:color w:val="000000"/>
          <w:sz w:val="32"/>
        </w:rPr>
        <w:t>万元，实际支出31个项目，具体情况如下表：</w:t>
      </w:r>
    </w:p>
    <w:p>
      <w:pPr>
        <w:kinsoku w:val="0"/>
        <w:topLinePunct/>
        <w:spacing w:line="560" w:lineRule="exact"/>
        <w:ind w:firstLine="7140"/>
        <w:jc w:val="left"/>
        <w:rPr>
          <w:rFonts w:ascii="仿宋_GB2312" w:hAnsi="仿宋_GB2312" w:eastAsia="仿宋_GB2312" w:cs="仿宋_GB2312"/>
          <w:b/>
          <w:color w:val="000000"/>
          <w:sz w:val="28"/>
        </w:rPr>
      </w:pPr>
      <w:r>
        <w:rPr>
          <w:rFonts w:ascii="仿宋_GB2312" w:hAnsi="仿宋_GB2312" w:eastAsia="仿宋_GB2312" w:cs="仿宋_GB2312"/>
          <w:color w:val="000000"/>
        </w:rPr>
        <w:t>单位：万元</w:t>
      </w:r>
    </w:p>
    <w:tbl>
      <w:tblPr>
        <w:tblStyle w:val="5"/>
        <w:tblW w:w="8430" w:type="dxa"/>
        <w:tblInd w:w="98" w:type="dxa"/>
        <w:tblLayout w:type="fixed"/>
        <w:tblCellMar>
          <w:top w:w="0" w:type="dxa"/>
          <w:left w:w="10" w:type="dxa"/>
          <w:bottom w:w="0" w:type="dxa"/>
          <w:right w:w="10" w:type="dxa"/>
        </w:tblCellMar>
      </w:tblPr>
      <w:tblGrid>
        <w:gridCol w:w="697"/>
        <w:gridCol w:w="5153"/>
        <w:gridCol w:w="2580"/>
      </w:tblGrid>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序号</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实际数</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sz w:val="20"/>
              </w:rPr>
              <w:t>产业发展扶持资金（科技支出）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2712.18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信访维稳经费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256.97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被征地农民社保资金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166.96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农田补产</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194.20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中心工作</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268.60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易俗河居民供水保障经费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72.00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招商引资经费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247.77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财税工作经费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8.30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历史工程建设等资金支付</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3000.00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纪检监察专项支出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7.75</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企业项目服务经费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5.66</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投资评审经费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215.82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建设、规划、国土经费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163.39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应急管理、安全生产经费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7.65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创建国家级经开区、五好园区经费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112.91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环保经费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10.97</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水电气物业绿化经费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122.23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新闻宣传经费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72.98</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绩效薪酬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1126.96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债务利息支出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12155.00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法制经费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22.74</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调区扩区经费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87.36</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百十亿工程经费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28.00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党群经费（含非公）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44.12</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创新创业经费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70.00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市场监管、知识产权经费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9.00</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化债资金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222174.61</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PPP项目政府付费支出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4715.47</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产业基础及其配套设施建设支出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27005.54 </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征拆补偿（征拆经费）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201.44</w:t>
            </w:r>
          </w:p>
        </w:tc>
      </w:tr>
      <w:tr>
        <w:tblPrEx>
          <w:tblLayout w:type="fixed"/>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土地储备成本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4F81BD"/>
              </w:rPr>
              <w:t xml:space="preserve">8456.16 </w:t>
            </w:r>
          </w:p>
        </w:tc>
      </w:tr>
      <w:tr>
        <w:tblPrEx>
          <w:tblLayout w:type="fixed"/>
          <w:tblCellMar>
            <w:top w:w="0" w:type="dxa"/>
            <w:left w:w="10" w:type="dxa"/>
            <w:bottom w:w="0" w:type="dxa"/>
            <w:right w:w="10" w:type="dxa"/>
          </w:tblCellMar>
        </w:tblPrEx>
        <w:trPr>
          <w:trHeight w:val="340" w:hRule="atLeast"/>
        </w:trPr>
        <w:tc>
          <w:tcPr>
            <w:tcW w:w="585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r>
              <w:rPr>
                <w:rFonts w:ascii="宋体" w:hAnsi="宋体" w:eastAsia="宋体" w:cs="宋体"/>
                <w:sz w:val="22"/>
              </w:rPr>
              <w:t>283742.74</w:t>
            </w:r>
          </w:p>
        </w:tc>
      </w:tr>
    </w:tbl>
    <w:p>
      <w:pPr>
        <w:kinsoku w:val="0"/>
        <w:topLinePunct/>
        <w:spacing w:line="560" w:lineRule="exact"/>
        <w:ind w:firstLine="643"/>
        <w:jc w:val="left"/>
        <w:rPr>
          <w:rFonts w:ascii="仿宋_GB2312" w:hAnsi="仿宋_GB2312" w:eastAsia="仿宋_GB2312" w:cs="仿宋_GB2312"/>
          <w:color w:val="000000"/>
          <w:sz w:val="32"/>
        </w:rPr>
      </w:pPr>
      <w:r>
        <w:rPr>
          <w:rFonts w:ascii="仿宋_GB2312" w:hAnsi="仿宋_GB2312" w:eastAsia="仿宋_GB2312" w:cs="仿宋_GB2312"/>
          <w:b/>
          <w:color w:val="000000"/>
          <w:sz w:val="32"/>
        </w:rPr>
        <w:t>6．</w:t>
      </w:r>
      <w:r>
        <w:rPr>
          <w:rFonts w:ascii="仿宋_GB2312" w:hAnsi="仿宋_GB2312" w:eastAsia="仿宋_GB2312" w:cs="仿宋_GB2312"/>
          <w:color w:val="000000"/>
          <w:sz w:val="32"/>
        </w:rPr>
        <w:t>部门整体支出绩效目标：</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(1)按规定执行各项管理制度，加强预算管理；</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(2)完成主要经济指标年度任务；</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(3)提升招商质量；</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(4)推动项目建设；</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(5)促进产业升级；</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(6)深化改革创新；</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(7)盘活资源资产；</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(8)全力保障土地供给；</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(9)强力推进征地拆迁；</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(10)切实防范债务风险。</w:t>
      </w:r>
    </w:p>
    <w:p>
      <w:pPr>
        <w:kinsoku w:val="0"/>
        <w:topLinePunct/>
        <w:spacing w:line="560" w:lineRule="exact"/>
        <w:ind w:firstLine="640"/>
        <w:rPr>
          <w:rFonts w:ascii="黑体" w:hAnsi="黑体" w:eastAsia="黑体" w:cs="黑体"/>
          <w:color w:val="000000"/>
          <w:sz w:val="32"/>
        </w:rPr>
      </w:pPr>
      <w:r>
        <w:rPr>
          <w:rFonts w:ascii="黑体" w:hAnsi="黑体" w:eastAsia="黑体" w:cs="黑体"/>
          <w:color w:val="000000"/>
          <w:sz w:val="32"/>
        </w:rPr>
        <w:t>二、绩效完成情况</w:t>
      </w:r>
    </w:p>
    <w:p>
      <w:pPr>
        <w:kinsoku w:val="0"/>
        <w:topLinePunct/>
        <w:spacing w:line="560" w:lineRule="exact"/>
        <w:ind w:firstLine="643"/>
        <w:rPr>
          <w:rFonts w:ascii="楷体" w:hAnsi="楷体" w:eastAsia="楷体" w:cs="楷体"/>
          <w:b/>
          <w:color w:val="000000"/>
          <w:sz w:val="32"/>
        </w:rPr>
      </w:pPr>
      <w:r>
        <w:rPr>
          <w:rFonts w:ascii="楷体" w:hAnsi="楷体" w:eastAsia="楷体" w:cs="楷体"/>
          <w:b/>
          <w:color w:val="000000"/>
          <w:sz w:val="32"/>
        </w:rPr>
        <w:t>（一）预算执行</w:t>
      </w:r>
    </w:p>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1．预算调整率</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2022年初预算数为149771.00万元，年中预算内增加债券指标36875.00万元、调增化债资金指标78000.00万元，</w:t>
      </w:r>
      <w:r>
        <w:rPr>
          <w:rFonts w:ascii="仿宋_GB2312" w:hAnsi="仿宋_GB2312" w:eastAsia="仿宋_GB2312" w:cs="仿宋_GB2312"/>
          <w:color w:val="FF0000"/>
          <w:sz w:val="32"/>
        </w:rPr>
        <w:t>共计预算264646万元。</w:t>
      </w:r>
      <w:r>
        <w:rPr>
          <w:rFonts w:ascii="仿宋_GB2312" w:hAnsi="仿宋_GB2312" w:eastAsia="仿宋_GB2312" w:cs="仿宋_GB2312"/>
          <w:color w:val="000000"/>
          <w:sz w:val="32"/>
        </w:rPr>
        <w:t>年末决算数为285173.86万元。</w:t>
      </w:r>
    </w:p>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2．基本支出控制率</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2022年度基本支出预算数为1,808.00万元，实际基本支出1,431.12万元。基本支出预算控制率79.15%。具体情况如下表：</w:t>
      </w:r>
    </w:p>
    <w:p>
      <w:pPr>
        <w:kinsoku w:val="0"/>
        <w:topLinePunct/>
        <w:spacing w:line="560" w:lineRule="exact"/>
        <w:ind w:firstLine="7140"/>
        <w:rPr>
          <w:rFonts w:ascii="宋体" w:hAnsi="宋体" w:eastAsia="宋体" w:cs="宋体"/>
          <w:color w:val="000000"/>
        </w:rPr>
      </w:pPr>
      <w:r>
        <w:rPr>
          <w:rFonts w:ascii="宋体" w:hAnsi="宋体" w:eastAsia="宋体" w:cs="宋体"/>
          <w:color w:val="000000"/>
        </w:rPr>
        <w:t>单位：万元</w:t>
      </w:r>
    </w:p>
    <w:tbl>
      <w:tblPr>
        <w:tblStyle w:val="5"/>
        <w:tblW w:w="8435" w:type="dxa"/>
        <w:tblInd w:w="93" w:type="dxa"/>
        <w:tblLayout w:type="fixed"/>
        <w:tblCellMar>
          <w:top w:w="0" w:type="dxa"/>
          <w:left w:w="10" w:type="dxa"/>
          <w:bottom w:w="0" w:type="dxa"/>
          <w:right w:w="10" w:type="dxa"/>
        </w:tblCellMar>
      </w:tblPr>
      <w:tblGrid>
        <w:gridCol w:w="2894"/>
        <w:gridCol w:w="2151"/>
        <w:gridCol w:w="2151"/>
        <w:gridCol w:w="1239"/>
      </w:tblGrid>
      <w:tr>
        <w:tblPrEx>
          <w:tblLayout w:type="fixed"/>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预算数</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实际数</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ind w:left="-391" w:firstLine="390"/>
              <w:jc w:val="center"/>
            </w:pPr>
            <w:r>
              <w:rPr>
                <w:rFonts w:ascii="仿宋_GB2312" w:hAnsi="仿宋_GB2312" w:eastAsia="仿宋_GB2312" w:cs="仿宋_GB2312"/>
                <w:color w:val="000000"/>
              </w:rPr>
              <w:t>控制率</w:t>
            </w:r>
          </w:p>
        </w:tc>
      </w:tr>
      <w:tr>
        <w:tblPrEx>
          <w:tblLayout w:type="fixed"/>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人员经费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1603.90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1259.74</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78.54%</w:t>
            </w:r>
          </w:p>
        </w:tc>
      </w:tr>
      <w:tr>
        <w:tblPrEx>
          <w:tblLayout w:type="fixed"/>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日常公用经费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203.00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170.28</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83.88%</w:t>
            </w:r>
          </w:p>
        </w:tc>
      </w:tr>
      <w:tr>
        <w:tblPrEx>
          <w:tblLayout w:type="fixed"/>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000000"/>
              </w:rPr>
              <w:t>对个人和家庭的补助</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　</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100%</w:t>
            </w:r>
          </w:p>
        </w:tc>
      </w:tr>
      <w:tr>
        <w:tblPrEx>
          <w:tblLayout w:type="fixed"/>
          <w:tblCellMar>
            <w:top w:w="0" w:type="dxa"/>
            <w:left w:w="10" w:type="dxa"/>
            <w:bottom w:w="0" w:type="dxa"/>
            <w:right w:w="10" w:type="dxa"/>
          </w:tblCellMar>
        </w:tblPrEx>
        <w:trPr>
          <w:trHeight w:val="454" w:hRule="atLeast"/>
        </w:trPr>
        <w:tc>
          <w:tcPr>
            <w:tcW w:w="2894"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1808.00</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1431.12</w:t>
            </w:r>
          </w:p>
        </w:tc>
        <w:tc>
          <w:tcPr>
            <w:tcW w:w="123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79.15%</w:t>
            </w:r>
          </w:p>
        </w:tc>
      </w:tr>
    </w:tbl>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3．项目支出预算控制率</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2022年度项目支出预算数为262838.00万元，安排项目31个,实际项目支出</w:t>
      </w:r>
      <w:r>
        <w:rPr>
          <w:rFonts w:ascii="仿宋_GB2312" w:hAnsi="仿宋_GB2312" w:eastAsia="仿宋_GB2312" w:cs="仿宋_GB2312"/>
          <w:color w:val="FF0000"/>
          <w:sz w:val="32"/>
        </w:rPr>
        <w:t>283742.74</w:t>
      </w:r>
      <w:r>
        <w:rPr>
          <w:rFonts w:ascii="仿宋_GB2312" w:hAnsi="仿宋_GB2312" w:eastAsia="仿宋_GB2312" w:cs="仿宋_GB2312"/>
          <w:color w:val="000000"/>
          <w:sz w:val="32"/>
        </w:rPr>
        <w:t>万元，支出项目31个，项目支出预算控制率</w:t>
      </w:r>
      <w:r>
        <w:rPr>
          <w:rFonts w:ascii="仿宋_GB2312" w:hAnsi="仿宋_GB2312" w:eastAsia="仿宋_GB2312" w:cs="仿宋_GB2312"/>
          <w:color w:val="558ED5"/>
          <w:sz w:val="32"/>
        </w:rPr>
        <w:t>107.95</w:t>
      </w:r>
      <w:r>
        <w:rPr>
          <w:rFonts w:ascii="仿宋_GB2312" w:hAnsi="仿宋_GB2312" w:eastAsia="仿宋_GB2312" w:cs="仿宋_GB2312"/>
          <w:color w:val="000000"/>
          <w:sz w:val="32"/>
        </w:rPr>
        <w:t>%。具体情况如下:</w:t>
      </w:r>
    </w:p>
    <w:p>
      <w:pPr>
        <w:kinsoku w:val="0"/>
        <w:topLinePunct/>
        <w:spacing w:line="560" w:lineRule="exact"/>
        <w:ind w:firstLine="6930"/>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5"/>
        <w:tblW w:w="8424" w:type="dxa"/>
        <w:tblInd w:w="98" w:type="dxa"/>
        <w:tblLayout w:type="fixed"/>
        <w:tblCellMar>
          <w:top w:w="0" w:type="dxa"/>
          <w:left w:w="10" w:type="dxa"/>
          <w:bottom w:w="0" w:type="dxa"/>
          <w:right w:w="10" w:type="dxa"/>
        </w:tblCellMar>
      </w:tblPr>
      <w:tblGrid>
        <w:gridCol w:w="686"/>
        <w:gridCol w:w="4224"/>
        <w:gridCol w:w="1263"/>
        <w:gridCol w:w="1263"/>
        <w:gridCol w:w="988"/>
      </w:tblGrid>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序号</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预算数</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实际数</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控制率</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sz w:val="20"/>
              </w:rPr>
              <w:t>产业发展扶持资金（科技支出）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2712.18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54.24%</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信访维稳经费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256.97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57.10%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4F81BD"/>
              </w:rPr>
              <w:t>被征地农民社保资金</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166.96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16.70%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农田补产</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194.20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97.10%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中心工作</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300.00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268.60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89.53%</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易俗河居民供水保障经费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72.00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48.00%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招商引资经费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247.77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55.06%</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财税工作经费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8.30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16.60%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历史工程建设等资金支付</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3000.00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3000.00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100.00%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10</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纪检监察专项支出</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7.75</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15.50%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11</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企业项目服务经费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5.66</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11.32%</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12</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投资评审经费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300.00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215.82 </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71.94%</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建设、规划、国土经费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163.39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81.70%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应急管理、安全生产经费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7.65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5.10%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创建国家级经开区、五好园区经费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112.91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112.91%</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环保经费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10.97</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7.84%</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水电气物业绿化经费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430.00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122.23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28.43%</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新闻宣传经费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72.98</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72.98%</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19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绩效薪酬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1258.00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1126.96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89.58%</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债务利息支出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12155.00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12155.00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100.00%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法制经费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45.48%</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调区扩区经费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87.36</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87.36%</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百十亿工程经费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28.00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70.00%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党群经费（含非公）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44.12</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44.12%</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创新创业经费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70.00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70.00%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市场监管、知识产权经费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10.00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9.00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90.00%</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27</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化债资金</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196305.00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222174.61</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宋体" w:hAnsi="宋体" w:eastAsia="宋体" w:cs="宋体"/>
                <w:color w:val="FF0000"/>
                <w:sz w:val="22"/>
              </w:rPr>
              <w:t>113.17</w:t>
            </w:r>
            <w:r>
              <w:rPr>
                <w:rFonts w:ascii="仿宋_GB2312" w:hAnsi="仿宋_GB2312" w:eastAsia="仿宋_GB2312" w:cs="仿宋_GB2312"/>
                <w:color w:val="FF0000"/>
              </w:rPr>
              <w:t>%</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28</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PPP项目政府付费支出</w:t>
            </w:r>
          </w:p>
        </w:tc>
        <w:tc>
          <w:tcPr>
            <w:tcW w:w="1263"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40570.00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4715.47</w:t>
            </w:r>
          </w:p>
        </w:tc>
        <w:tc>
          <w:tcPr>
            <w:tcW w:w="988"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99.53%</w:t>
            </w: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29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产业基础及其配套设施建设支出</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27005.54 </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征拆补偿（征拆经费）</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201.44</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r>
      <w:tr>
        <w:tblPrEx>
          <w:tblLayout w:type="fixed"/>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31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558ED5"/>
              </w:rPr>
              <w:t>土地储备成本</w:t>
            </w:r>
          </w:p>
        </w:tc>
        <w:tc>
          <w:tcPr>
            <w:tcW w:w="1263"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558ED5"/>
              </w:rPr>
              <w:t xml:space="preserve">8456.16 </w:t>
            </w:r>
          </w:p>
        </w:tc>
        <w:tc>
          <w:tcPr>
            <w:tcW w:w="988"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r>
      <w:tr>
        <w:tblPrEx>
          <w:tblLayout w:type="fixed"/>
          <w:tblCellMar>
            <w:top w:w="0" w:type="dxa"/>
            <w:left w:w="10" w:type="dxa"/>
            <w:bottom w:w="0" w:type="dxa"/>
            <w:right w:w="10" w:type="dxa"/>
          </w:tblCellMar>
        </w:tblPrEx>
        <w:trPr>
          <w:trHeight w:val="397" w:hRule="atLeast"/>
        </w:trPr>
        <w:tc>
          <w:tcPr>
            <w:tcW w:w="491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Calibri" w:hAnsi="Calibri" w:eastAsia="Calibri" w:cs="Calibri"/>
                <w:color w:val="FF0000"/>
              </w:rPr>
              <w:t>262838.00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283742.74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宋体" w:hAnsi="宋体" w:eastAsia="宋体" w:cs="宋体"/>
                <w:color w:val="FF0000"/>
                <w:sz w:val="22"/>
              </w:rPr>
              <w:t>107.95</w:t>
            </w:r>
            <w:r>
              <w:rPr>
                <w:rFonts w:ascii="仿宋_GB2312" w:hAnsi="仿宋_GB2312" w:eastAsia="仿宋_GB2312" w:cs="仿宋_GB2312"/>
                <w:color w:val="FF0000"/>
              </w:rPr>
              <w:t>%</w:t>
            </w:r>
          </w:p>
        </w:tc>
      </w:tr>
    </w:tbl>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4．资金结余</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2022年年初预算资金14977.00万元，年中调增114875.00万元，2022年预算收入285173.86万元，2022年预算支出285173.86万元,年末无结余，具体情况如下：</w:t>
      </w:r>
    </w:p>
    <w:p>
      <w:pPr>
        <w:kinsoku w:val="0"/>
        <w:topLinePunct/>
        <w:spacing w:line="560" w:lineRule="exact"/>
        <w:ind w:firstLine="6930"/>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5"/>
        <w:tblW w:w="8430" w:type="dxa"/>
        <w:tblInd w:w="98" w:type="dxa"/>
        <w:tblLayout w:type="fixed"/>
        <w:tblCellMar>
          <w:top w:w="0" w:type="dxa"/>
          <w:left w:w="10" w:type="dxa"/>
          <w:bottom w:w="0" w:type="dxa"/>
          <w:right w:w="10" w:type="dxa"/>
        </w:tblCellMar>
      </w:tblPr>
      <w:tblGrid>
        <w:gridCol w:w="1134"/>
        <w:gridCol w:w="1524"/>
        <w:gridCol w:w="1349"/>
        <w:gridCol w:w="1200"/>
        <w:gridCol w:w="1244"/>
        <w:gridCol w:w="965"/>
        <w:gridCol w:w="1014"/>
      </w:tblGrid>
      <w:tr>
        <w:tblPrEx>
          <w:tblLayout w:type="fixed"/>
          <w:tblCellMar>
            <w:top w:w="0" w:type="dxa"/>
            <w:left w:w="10" w:type="dxa"/>
            <w:bottom w:w="0" w:type="dxa"/>
            <w:right w:w="10" w:type="dxa"/>
          </w:tblCellMar>
        </w:tblPrEx>
        <w:trPr>
          <w:trHeight w:val="454" w:hRule="atLeast"/>
        </w:trPr>
        <w:tc>
          <w:tcPr>
            <w:tcW w:w="113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15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年初预算数</w:t>
            </w:r>
          </w:p>
        </w:tc>
        <w:tc>
          <w:tcPr>
            <w:tcW w:w="134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rPr>
            </w:pPr>
            <w:r>
              <w:rPr>
                <w:rFonts w:ascii="宋体" w:hAnsi="宋体" w:eastAsia="宋体" w:cs="宋体"/>
              </w:rPr>
              <w:t>年中调增</w:t>
            </w:r>
          </w:p>
        </w:tc>
        <w:tc>
          <w:tcPr>
            <w:tcW w:w="1200"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本年收入</w:t>
            </w:r>
          </w:p>
        </w:tc>
        <w:tc>
          <w:tcPr>
            <w:tcW w:w="124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本年支出</w:t>
            </w:r>
          </w:p>
        </w:tc>
        <w:tc>
          <w:tcPr>
            <w:tcW w:w="96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结余分配</w:t>
            </w:r>
          </w:p>
        </w:tc>
        <w:tc>
          <w:tcPr>
            <w:tcW w:w="101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年末结余</w:t>
            </w:r>
          </w:p>
        </w:tc>
      </w:tr>
      <w:tr>
        <w:tblPrEx>
          <w:tblLayout w:type="fixed"/>
          <w:tblCellMar>
            <w:top w:w="0" w:type="dxa"/>
            <w:left w:w="10" w:type="dxa"/>
            <w:bottom w:w="0" w:type="dxa"/>
            <w:right w:w="10" w:type="dxa"/>
          </w:tblCellMar>
        </w:tblPrEx>
        <w:trPr>
          <w:trHeight w:val="454" w:hRule="atLeast"/>
        </w:trPr>
        <w:tc>
          <w:tcPr>
            <w:tcW w:w="1134"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left"/>
            </w:pPr>
            <w:r>
              <w:rPr>
                <w:rFonts w:ascii="仿宋_GB2312" w:hAnsi="仿宋_GB2312" w:eastAsia="仿宋_GB2312" w:cs="仿宋_GB2312"/>
                <w:color w:val="000000"/>
              </w:rPr>
              <w:t>预算内指标</w:t>
            </w:r>
          </w:p>
        </w:tc>
        <w:tc>
          <w:tcPr>
            <w:tcW w:w="15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r>
              <w:rPr>
                <w:rFonts w:ascii="宋体" w:hAnsi="宋体" w:eastAsia="宋体" w:cs="宋体"/>
                <w:sz w:val="22"/>
              </w:rPr>
              <w:t>149771.00</w:t>
            </w:r>
          </w:p>
        </w:tc>
        <w:tc>
          <w:tcPr>
            <w:tcW w:w="134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114875.00</w:t>
            </w:r>
          </w:p>
        </w:tc>
        <w:tc>
          <w:tcPr>
            <w:tcW w:w="1200"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285173.86</w:t>
            </w:r>
          </w:p>
        </w:tc>
        <w:tc>
          <w:tcPr>
            <w:tcW w:w="124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285173.86</w:t>
            </w:r>
          </w:p>
        </w:tc>
        <w:tc>
          <w:tcPr>
            <w:tcW w:w="96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0</w:t>
            </w:r>
          </w:p>
        </w:tc>
        <w:tc>
          <w:tcPr>
            <w:tcW w:w="101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r>
      <w:tr>
        <w:tblPrEx>
          <w:tblLayout w:type="fixed"/>
          <w:tblCellMar>
            <w:top w:w="0" w:type="dxa"/>
            <w:left w:w="10" w:type="dxa"/>
            <w:bottom w:w="0" w:type="dxa"/>
            <w:right w:w="10" w:type="dxa"/>
          </w:tblCellMar>
        </w:tblPrEx>
        <w:trPr>
          <w:trHeight w:val="454" w:hRule="atLeast"/>
        </w:trPr>
        <w:tc>
          <w:tcPr>
            <w:tcW w:w="1134"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15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r>
              <w:rPr>
                <w:rFonts w:ascii="宋体" w:hAnsi="宋体" w:eastAsia="宋体" w:cs="宋体"/>
                <w:sz w:val="22"/>
              </w:rPr>
              <w:t>149771.00</w:t>
            </w:r>
          </w:p>
        </w:tc>
        <w:tc>
          <w:tcPr>
            <w:tcW w:w="134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114875.00</w:t>
            </w:r>
          </w:p>
        </w:tc>
        <w:tc>
          <w:tcPr>
            <w:tcW w:w="1200"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285173.86</w:t>
            </w:r>
          </w:p>
        </w:tc>
        <w:tc>
          <w:tcPr>
            <w:tcW w:w="124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285173.86</w:t>
            </w:r>
          </w:p>
        </w:tc>
        <w:tc>
          <w:tcPr>
            <w:tcW w:w="96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0</w:t>
            </w:r>
          </w:p>
        </w:tc>
        <w:tc>
          <w:tcPr>
            <w:tcW w:w="101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r>
    </w:tbl>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5．“三公”经费情况</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2022年度“三公经费”预算数25.4万元，实际支出数24.33万元，“三公经费”控制率95.79%。具体情况如下：</w:t>
      </w:r>
    </w:p>
    <w:p>
      <w:pPr>
        <w:kinsoku w:val="0"/>
        <w:topLinePunct/>
        <w:spacing w:line="560" w:lineRule="exact"/>
        <w:ind w:firstLine="6825"/>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5"/>
        <w:tblW w:w="8435" w:type="dxa"/>
        <w:tblInd w:w="93" w:type="dxa"/>
        <w:tblLayout w:type="fixed"/>
        <w:tblCellMar>
          <w:top w:w="0" w:type="dxa"/>
          <w:left w:w="10" w:type="dxa"/>
          <w:bottom w:w="0" w:type="dxa"/>
          <w:right w:w="10" w:type="dxa"/>
        </w:tblCellMar>
      </w:tblPr>
      <w:tblGrid>
        <w:gridCol w:w="2222"/>
        <w:gridCol w:w="1277"/>
        <w:gridCol w:w="1278"/>
        <w:gridCol w:w="1278"/>
        <w:gridCol w:w="1278"/>
        <w:gridCol w:w="1102"/>
      </w:tblGrid>
      <w:tr>
        <w:tblPrEx>
          <w:tblLayout w:type="fixed"/>
          <w:tblCellMar>
            <w:top w:w="0" w:type="dxa"/>
            <w:left w:w="10" w:type="dxa"/>
            <w:bottom w:w="0" w:type="dxa"/>
            <w:right w:w="10" w:type="dxa"/>
          </w:tblCellMar>
        </w:tblPrEx>
        <w:trPr>
          <w:trHeight w:val="454" w:hRule="atLeast"/>
        </w:trPr>
        <w:tc>
          <w:tcPr>
            <w:tcW w:w="222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项目</w:t>
            </w:r>
          </w:p>
        </w:tc>
        <w:tc>
          <w:tcPr>
            <w:tcW w:w="2555"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rPr>
            </w:pPr>
            <w:r>
              <w:rPr>
                <w:rFonts w:ascii="宋体" w:hAnsi="宋体" w:eastAsia="宋体" w:cs="宋体"/>
                <w:color w:val="000000"/>
              </w:rPr>
              <w:t>预算数</w:t>
            </w:r>
          </w:p>
        </w:tc>
        <w:tc>
          <w:tcPr>
            <w:tcW w:w="2556"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rPr>
            </w:pPr>
            <w:r>
              <w:rPr>
                <w:rFonts w:ascii="宋体" w:hAnsi="宋体" w:eastAsia="宋体" w:cs="宋体"/>
                <w:color w:val="000000"/>
              </w:rPr>
              <w:t>实际数</w:t>
            </w:r>
          </w:p>
        </w:tc>
        <w:tc>
          <w:tcPr>
            <w:tcW w:w="1102" w:type="dxa"/>
            <w:vMerge w:val="restart"/>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rPr>
            </w:pPr>
            <w:r>
              <w:rPr>
                <w:rFonts w:ascii="宋体" w:hAnsi="宋体" w:eastAsia="宋体" w:cs="宋体"/>
                <w:color w:val="000000"/>
              </w:rPr>
              <w:t>控制率</w:t>
            </w:r>
          </w:p>
        </w:tc>
      </w:tr>
      <w:tr>
        <w:tblPrEx>
          <w:tblLayout w:type="fixed"/>
          <w:tblCellMar>
            <w:top w:w="0" w:type="dxa"/>
            <w:left w:w="10" w:type="dxa"/>
            <w:bottom w:w="0" w:type="dxa"/>
            <w:right w:w="10" w:type="dxa"/>
          </w:tblCellMar>
        </w:tblPrEx>
        <w:trPr>
          <w:trHeight w:val="454" w:hRule="atLeast"/>
        </w:trPr>
        <w:tc>
          <w:tcPr>
            <w:tcW w:w="222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本年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本年</w:t>
            </w:r>
          </w:p>
        </w:tc>
        <w:tc>
          <w:tcPr>
            <w:tcW w:w="1102" w:type="dxa"/>
            <w:vMerge w:val="continue"/>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rPr>
                <w:rFonts w:ascii="宋体" w:hAnsi="宋体" w:eastAsia="宋体" w:cs="宋体"/>
                <w:sz w:val="22"/>
              </w:rPr>
            </w:pPr>
          </w:p>
        </w:tc>
      </w:tr>
      <w:tr>
        <w:tblPrEx>
          <w:tblLayout w:type="fixed"/>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公务接待费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10.14</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10.05</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91.36%</w:t>
            </w:r>
          </w:p>
        </w:tc>
      </w:tr>
      <w:tr>
        <w:tblPrEx>
          <w:tblLayout w:type="fixed"/>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公务用车运行维护费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FF0000"/>
              </w:rPr>
              <w:t>44.40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37.71</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14.28</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99.17%</w:t>
            </w:r>
          </w:p>
        </w:tc>
      </w:tr>
      <w:tr>
        <w:tblPrEx>
          <w:tblLayout w:type="fixed"/>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pPr>
            <w:r>
              <w:rPr>
                <w:rFonts w:ascii="仿宋_GB2312" w:hAnsi="仿宋_GB2312" w:eastAsia="仿宋_GB2312" w:cs="仿宋_GB2312"/>
                <w:color w:val="000000"/>
              </w:rPr>
              <w:t>因公出国(境)经费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rPr>
                <w:rFonts w:ascii="宋体" w:hAnsi="宋体" w:eastAsia="宋体" w:cs="宋体"/>
              </w:rPr>
            </w:pPr>
            <w:r>
              <w:rPr>
                <w:rFonts w:ascii="宋体" w:hAnsi="宋体" w:eastAsia="宋体" w:cs="宋体"/>
                <w:color w:val="000000"/>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rPr>
                <w:rFonts w:ascii="宋体" w:hAnsi="宋体" w:eastAsia="宋体" w:cs="宋体"/>
                <w:sz w:val="22"/>
              </w:rPr>
            </w:pP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　</w:t>
            </w:r>
          </w:p>
        </w:tc>
      </w:tr>
      <w:tr>
        <w:tblPrEx>
          <w:tblLayout w:type="fixed"/>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center"/>
            </w:pPr>
            <w:r>
              <w:rPr>
                <w:rFonts w:ascii="仿宋_GB2312" w:hAnsi="仿宋_GB2312" w:eastAsia="仿宋_GB2312" w:cs="仿宋_GB2312"/>
                <w:color w:val="000000"/>
              </w:rPr>
              <w:t>合计</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55.40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47.85</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24.33</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pPr>
              <w:kinsoku w:val="0"/>
              <w:topLinePunct/>
              <w:spacing w:line="560" w:lineRule="exact"/>
              <w:jc w:val="right"/>
            </w:pPr>
            <w:r>
              <w:rPr>
                <w:rFonts w:ascii="仿宋_GB2312" w:hAnsi="仿宋_GB2312" w:eastAsia="仿宋_GB2312" w:cs="仿宋_GB2312"/>
                <w:color w:val="000000"/>
              </w:rPr>
              <w:t>95.79%</w:t>
            </w:r>
          </w:p>
        </w:tc>
      </w:tr>
    </w:tbl>
    <w:p>
      <w:pPr>
        <w:kinsoku w:val="0"/>
        <w:topLinePunct/>
        <w:spacing w:line="560" w:lineRule="exact"/>
        <w:ind w:firstLine="643"/>
        <w:rPr>
          <w:rFonts w:ascii="仿宋_GB2312" w:hAnsi="仿宋_GB2312" w:eastAsia="仿宋_GB2312" w:cs="仿宋_GB2312"/>
          <w:b/>
          <w:color w:val="000000"/>
          <w:sz w:val="32"/>
        </w:rPr>
      </w:pPr>
      <w:r>
        <w:rPr>
          <w:rFonts w:ascii="仿宋_GB2312" w:hAnsi="仿宋_GB2312" w:eastAsia="仿宋_GB2312" w:cs="仿宋_GB2312"/>
          <w:b/>
          <w:color w:val="000000"/>
          <w:sz w:val="32"/>
        </w:rPr>
        <w:t>6．预算管理</w:t>
      </w:r>
    </w:p>
    <w:p>
      <w:pPr>
        <w:kinsoku w:val="0"/>
        <w:topLinePunct/>
        <w:spacing w:line="560" w:lineRule="exact"/>
        <w:ind w:firstLine="640"/>
        <w:rPr>
          <w:rFonts w:ascii="仿宋_GB2312" w:hAnsi="仿宋_GB2312" w:eastAsia="仿宋_GB2312" w:cs="仿宋_GB2312"/>
          <w:color w:val="000000"/>
          <w:sz w:val="32"/>
        </w:rPr>
      </w:pPr>
      <w:r>
        <w:rPr>
          <w:rFonts w:ascii="仿宋_GB2312" w:hAnsi="仿宋_GB2312" w:eastAsia="仿宋_GB2312" w:cs="仿宋_GB2312"/>
          <w:color w:val="000000"/>
          <w:sz w:val="32"/>
        </w:rPr>
        <w:t>2022年天易经开区为贯彻落实好党中央国务院关于全面实施预算绩效管理的意见的决策部署，根据湘潭县财政局预算绩效管理工作安排，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pPr>
        <w:kinsoku w:val="0"/>
        <w:topLinePunct/>
        <w:spacing w:line="560" w:lineRule="exact"/>
        <w:ind w:firstLine="643"/>
        <w:rPr>
          <w:rFonts w:ascii="楷体_GB2312" w:hAnsi="楷体_GB2312" w:eastAsia="楷体_GB2312" w:cs="楷体_GB2312"/>
          <w:b/>
          <w:sz w:val="32"/>
        </w:rPr>
      </w:pPr>
      <w:r>
        <w:rPr>
          <w:rFonts w:ascii="楷体_GB2312" w:hAnsi="楷体_GB2312" w:eastAsia="楷体_GB2312" w:cs="楷体_GB2312"/>
          <w:b/>
          <w:sz w:val="32"/>
        </w:rPr>
        <w:t>（二）项目支出绩效</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1.主要经济指标完成情况</w:t>
      </w:r>
    </w:p>
    <w:p>
      <w:pPr>
        <w:kinsoku w:val="0"/>
        <w:topLinePunct/>
        <w:spacing w:line="560" w:lineRule="exact"/>
        <w:ind w:firstLine="640"/>
        <w:rPr>
          <w:rFonts w:ascii="仿宋_GB2312" w:hAnsi="仿宋_GB2312" w:eastAsia="仿宋_GB2312" w:cs="仿宋_GB2312"/>
          <w:sz w:val="32"/>
        </w:rPr>
      </w:pPr>
      <w:r>
        <w:rPr>
          <w:rFonts w:ascii="仿宋_GB2312" w:hAnsi="仿宋_GB2312" w:eastAsia="仿宋_GB2312" w:cs="仿宋_GB2312"/>
          <w:sz w:val="32"/>
        </w:rPr>
        <w:t>2022年，园区经济指标平稳增长。园区技工贸总收入1200亿元，增长2.1%；工业总产值897.5亿元，增长2.4%；规模工业总产值771.4亿元，增长10.4%，总量占全县83.7%，增速高于全县0.8个百分点；规模工业增加值225.6亿元，增长11%；全年新增规模工业企业14家；固定资产投资大口径238亿元，增长10.6%，小口径166.8亿元，增长11.2%，总量占全县54.9%，增速高于全县4.4个百分点。园区各项指标为全县乃至全市的经济发展提供了有力支撑。</w:t>
      </w:r>
    </w:p>
    <w:p>
      <w:pPr>
        <w:kinsoku w:val="0"/>
        <w:topLinePunct/>
        <w:spacing w:line="560" w:lineRule="exact"/>
        <w:ind w:firstLine="643"/>
        <w:rPr>
          <w:rFonts w:ascii="仿宋_GB2312" w:hAnsi="仿宋_GB2312" w:eastAsia="仿宋_GB2312" w:cs="仿宋_GB2312"/>
          <w:sz w:val="32"/>
        </w:rPr>
      </w:pPr>
      <w:r>
        <w:rPr>
          <w:rFonts w:ascii="仿宋_GB2312" w:hAnsi="仿宋_GB2312" w:eastAsia="仿宋_GB2312" w:cs="仿宋_GB2312"/>
          <w:b/>
          <w:sz w:val="32"/>
        </w:rPr>
        <w:t>2.招商引资持续发力。</w:t>
      </w:r>
      <w:r>
        <w:rPr>
          <w:rFonts w:hint="eastAsia" w:ascii="仿宋_GB2312" w:hAnsi="仿宋_GB2312" w:eastAsia="仿宋_GB2312" w:cs="仿宋_GB2312"/>
          <w:sz w:val="32"/>
        </w:rPr>
        <w:t>锁定龙头企业、紧扣产业链条、聚焦重点区域，全方位推进招商引资。积极利用重大项目签约暨集中开工仪式、第三届“潭商大会”湘潭县座谈会等大型活动、节会进行招商。截至目前，共引进各类项目91个，其中亿元以上项目</w:t>
      </w:r>
      <w:r>
        <w:rPr>
          <w:rFonts w:hint="eastAsia" w:ascii="仿宋_GB2312" w:hAnsi="Times New Roman" w:eastAsia="仿宋_GB2312" w:cs="Times New Roman"/>
          <w:sz w:val="32"/>
        </w:rPr>
        <w:t>17</w:t>
      </w:r>
      <w:r>
        <w:rPr>
          <w:rFonts w:hint="eastAsia" w:ascii="仿宋_GB2312" w:hAnsi="仿宋_GB2312" w:eastAsia="仿宋_GB2312" w:cs="仿宋_GB2312"/>
          <w:sz w:val="32"/>
        </w:rPr>
        <w:t>个，“三类</w:t>
      </w:r>
      <w:r>
        <w:rPr>
          <w:rFonts w:hint="eastAsia" w:ascii="仿宋_GB2312" w:hAnsi="Times New Roman" w:eastAsia="仿宋_GB2312" w:cs="Times New Roman"/>
          <w:sz w:val="32"/>
        </w:rPr>
        <w:t>500</w:t>
      </w:r>
      <w:r>
        <w:rPr>
          <w:rFonts w:hint="eastAsia" w:ascii="仿宋_GB2312" w:hAnsi="仿宋_GB2312" w:eastAsia="仿宋_GB2312" w:cs="仿宋_GB2312"/>
          <w:sz w:val="32"/>
        </w:rPr>
        <w:t>强”项目</w:t>
      </w:r>
      <w:r>
        <w:rPr>
          <w:rFonts w:hint="eastAsia" w:ascii="仿宋_GB2312" w:hAnsi="Times New Roman" w:eastAsia="仿宋_GB2312" w:cs="Times New Roman"/>
          <w:sz w:val="32"/>
        </w:rPr>
        <w:t>2</w:t>
      </w:r>
      <w:r>
        <w:rPr>
          <w:rFonts w:hint="eastAsia" w:ascii="仿宋_GB2312" w:hAnsi="仿宋_GB2312" w:eastAsia="仿宋_GB2312" w:cs="仿宋_GB2312"/>
          <w:sz w:val="32"/>
        </w:rPr>
        <w:t>个，包括隆华科技、润心科技、博鸿汽车、中天恒泽等优质项目。1-12月份内联引资到位105.32亿元，完成年度任务的100.96%,1-12月外商直接投资完成625万美元，完成年度任务的125%；1-12月进出口总额71536.09万元。</w:t>
      </w:r>
    </w:p>
    <w:p>
      <w:pPr>
        <w:kinsoku w:val="0"/>
        <w:topLinePunct/>
        <w:spacing w:line="560" w:lineRule="exact"/>
        <w:ind w:firstLine="643"/>
        <w:rPr>
          <w:rFonts w:ascii="仿宋_GB2312" w:hAnsi="仿宋_GB2312" w:eastAsia="仿宋_GB2312" w:cs="仿宋_GB2312"/>
          <w:sz w:val="32"/>
        </w:rPr>
      </w:pPr>
      <w:r>
        <w:rPr>
          <w:rFonts w:ascii="仿宋_GB2312" w:hAnsi="仿宋_GB2312" w:eastAsia="仿宋_GB2312" w:cs="仿宋_GB2312"/>
          <w:b/>
          <w:sz w:val="32"/>
        </w:rPr>
        <w:t>3．项目建设快速推进。</w:t>
      </w:r>
      <w:r>
        <w:rPr>
          <w:rFonts w:ascii="仿宋_GB2312" w:hAnsi="仿宋_GB2312" w:eastAsia="仿宋_GB2312" w:cs="仿宋_GB2312"/>
          <w:sz w:val="32"/>
        </w:rPr>
        <w:t>园区26个市级重点产业项目年度计划投资43.52亿元，全年投资完成率100%以上。柏屹智能配套园、润心科技、南铜二期、丰达铂赛、广酒二期等32个项目开工建设，振洋金属、佳海食品产业园一期E区等项目完成主体建设，网营物联、三龙轨道、煦华科技、博鸿等18个项目建成投产；振洋金属、柏屹二期等多次获评市“千百十”工程优秀项目。天易轨道交通配套产业园、天易食品医药产业园入选全市首批十大示范专业园区。实施基础设施重点项目3个，完成投资3800万元，湘南路一标、八斗坵路建成通车。</w:t>
      </w:r>
    </w:p>
    <w:p>
      <w:pPr>
        <w:kinsoku w:val="0"/>
        <w:topLinePunct/>
        <w:spacing w:line="560" w:lineRule="exact"/>
        <w:ind w:firstLine="643"/>
        <w:rPr>
          <w:rFonts w:ascii="仿宋_GB2312" w:hAnsi="仿宋_GB2312" w:eastAsia="仿宋_GB2312" w:cs="仿宋_GB2312"/>
          <w:sz w:val="32"/>
        </w:rPr>
      </w:pPr>
      <w:r>
        <w:rPr>
          <w:rFonts w:ascii="仿宋_GB2312" w:hAnsi="仿宋_GB2312" w:eastAsia="仿宋_GB2312" w:cs="仿宋_GB2312"/>
          <w:b/>
          <w:sz w:val="32"/>
        </w:rPr>
        <w:t>4.产业培育成果显现。</w:t>
      </w:r>
      <w:r>
        <w:rPr>
          <w:rFonts w:ascii="仿宋_GB2312" w:hAnsi="仿宋_GB2312" w:eastAsia="仿宋_GB2312" w:cs="仿宋_GB2312"/>
          <w:sz w:val="32"/>
        </w:rPr>
        <w:t>组织21家企业申报规模企业，预计规模企业总数达185家以上。</w:t>
      </w:r>
      <w:r>
        <w:rPr>
          <w:rFonts w:ascii="仿宋_GB2312" w:hAnsi="仿宋_GB2312" w:eastAsia="仿宋_GB2312" w:cs="仿宋_GB2312"/>
          <w:color w:val="000000"/>
          <w:sz w:val="32"/>
        </w:rPr>
        <w:t>1-12月</w:t>
      </w:r>
      <w:r>
        <w:rPr>
          <w:rFonts w:ascii="仿宋_GB2312" w:hAnsi="仿宋_GB2312" w:eastAsia="仿宋_GB2312" w:cs="仿宋_GB2312"/>
          <w:sz w:val="32"/>
        </w:rPr>
        <w:t>，园区规模工业增加值同比增长12.2%，分别超过全市、全市园区平均水平4.8个、3.5个百分点，排名全市园区第二；</w:t>
      </w:r>
      <w:r>
        <w:rPr>
          <w:rFonts w:ascii="仿宋_GB2312" w:hAnsi="仿宋_GB2312" w:eastAsia="仿宋_GB2312" w:cs="仿宋_GB2312"/>
          <w:color w:val="000000"/>
          <w:sz w:val="32"/>
        </w:rPr>
        <w:t>完成制造业税收6.12亿元，同比增长32.92%。胖哥鑫鸿实业公司成功上百亿元规模台阶，皇爷实业保持在50亿元规模，南铜集团等3家企业成功上10亿元规模台阶，炜达机电、福熙食品、祥豪新材料、复瑞生物等26家企业产值实现首次过亿元。预计伍子醉实业有望上百亿台阶，五洲通药业上10亿元台阶。“一主一特一先”三大产业实现规模工业产值分别为418.27亿元、198.27亿元、135.18亿元，分别同比增长2.9%、18.4%、24.1%。积极推进“金芙蓉”跃升行动，</w:t>
      </w:r>
      <w:r>
        <w:rPr>
          <w:rFonts w:ascii="仿宋_GB2312" w:hAnsi="仿宋_GB2312" w:eastAsia="仿宋_GB2312" w:cs="仿宋_GB2312"/>
          <w:sz w:val="32"/>
        </w:rPr>
        <w:t>飞山奇、傲派自动化等8家企业入选省上市企业后备资源库，市电机车厂启动主板（北交所）上市工作。</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5.行政审批服务优化提速。</w:t>
      </w:r>
    </w:p>
    <w:p>
      <w:pPr>
        <w:kinsoku w:val="0"/>
        <w:spacing w:line="560" w:lineRule="exact"/>
        <w:ind w:firstLine="641"/>
        <w:rPr>
          <w:rFonts w:ascii="仿宋_GB2312" w:hAnsi="仿宋_GB2312" w:eastAsia="仿宋_GB2312" w:cs="仿宋_GB2312"/>
          <w:sz w:val="32"/>
        </w:rPr>
      </w:pPr>
      <w:r>
        <w:rPr>
          <w:rFonts w:ascii="仿宋_GB2312" w:hAnsi="仿宋_GB2312" w:eastAsia="仿宋_GB2312" w:cs="仿宋_GB2312"/>
          <w:sz w:val="32"/>
        </w:rPr>
        <w:t>深化“放管服”改革，对入园项目实行“一会两函”“见章盖章”“见章换文”和容缺受理、并联审批、即审即办、多证联办及项目全程代理服务制等工作机制，大幅缩减审批流程，入园企业投资项目登记备案由原来的3至5个工作日缩减至1个小时，项目规划审批由原来的15个工作日缩短为5个工作日。</w:t>
      </w:r>
    </w:p>
    <w:p>
      <w:pPr>
        <w:kinsoku w:val="0"/>
        <w:topLinePunct/>
        <w:spacing w:line="560" w:lineRule="exact"/>
        <w:ind w:firstLine="643"/>
        <w:rPr>
          <w:rFonts w:ascii="仿宋_GB2312" w:hAnsi="仿宋_GB2312" w:eastAsia="仿宋_GB2312" w:cs="仿宋_GB2312"/>
          <w:sz w:val="32"/>
        </w:rPr>
      </w:pPr>
      <w:r>
        <w:rPr>
          <w:rFonts w:ascii="仿宋_GB2312" w:hAnsi="仿宋_GB2312" w:eastAsia="仿宋_GB2312" w:cs="仿宋_GB2312"/>
          <w:b/>
          <w:sz w:val="32"/>
        </w:rPr>
        <w:t>6.积极盘活资源。</w:t>
      </w:r>
      <w:r>
        <w:rPr>
          <w:rFonts w:hint="eastAsia" w:ascii="仿宋_GB2312" w:hAnsi="仿宋_GB2312" w:eastAsia="仿宋_GB2312" w:cs="仿宋_GB2312"/>
          <w:sz w:val="32"/>
        </w:rPr>
        <w:t>创新推进“商转工”，将415亩商业土地变性为工业土地，保障天易创新城实体经济发展用地，变房地产开发的一次性效益为产业发展的长期财源；建立 “一企一策”低效用地整改方案，</w:t>
      </w:r>
      <w:r>
        <w:rPr>
          <w:rFonts w:hint="eastAsia" w:ascii="仿宋_GB2312" w:hAnsi="仿宋_GB2312" w:eastAsia="仿宋_GB2312" w:cs="仿宋_GB2312"/>
          <w:color w:val="000000"/>
          <w:sz w:val="32"/>
        </w:rPr>
        <w:t>完成</w:t>
      </w:r>
      <w:r>
        <w:rPr>
          <w:rFonts w:hint="eastAsia" w:ascii="仿宋_GB2312" w:hAnsi="Times New Roman" w:eastAsia="仿宋_GB2312" w:cs="Times New Roman"/>
          <w:color w:val="000000"/>
          <w:sz w:val="32"/>
        </w:rPr>
        <w:t>7</w:t>
      </w:r>
      <w:r>
        <w:rPr>
          <w:rFonts w:hint="eastAsia" w:ascii="仿宋_GB2312" w:hAnsi="仿宋_GB2312" w:eastAsia="仿宋_GB2312" w:cs="仿宋_GB2312"/>
          <w:color w:val="000000"/>
          <w:sz w:val="32"/>
        </w:rPr>
        <w:t>宗</w:t>
      </w:r>
      <w:r>
        <w:rPr>
          <w:rFonts w:hint="eastAsia" w:ascii="仿宋_GB2312" w:hAnsi="Times New Roman" w:eastAsia="仿宋_GB2312" w:cs="Times New Roman"/>
          <w:color w:val="000000"/>
          <w:sz w:val="32"/>
        </w:rPr>
        <w:t>397.96</w:t>
      </w:r>
      <w:r>
        <w:rPr>
          <w:rFonts w:hint="eastAsia" w:ascii="仿宋_GB2312" w:hAnsi="仿宋_GB2312" w:eastAsia="仿宋_GB2312" w:cs="仿宋_GB2312"/>
          <w:color w:val="000000"/>
          <w:sz w:val="32"/>
        </w:rPr>
        <w:t>亩</w:t>
      </w:r>
      <w:r>
        <w:rPr>
          <w:rFonts w:hint="eastAsia" w:ascii="仿宋_GB2312" w:hAnsi="仿宋_GB2312" w:eastAsia="仿宋_GB2312" w:cs="仿宋_GB2312"/>
          <w:sz w:val="32"/>
        </w:rPr>
        <w:t>低效（空闲）</w:t>
      </w:r>
      <w:r>
        <w:rPr>
          <w:rFonts w:hint="eastAsia" w:ascii="仿宋_GB2312" w:hAnsi="仿宋_GB2312" w:eastAsia="仿宋_GB2312" w:cs="仿宋_GB2312"/>
          <w:color w:val="000000"/>
          <w:sz w:val="32"/>
        </w:rPr>
        <w:t>用地清理，完成年度任务的</w:t>
      </w:r>
      <w:r>
        <w:rPr>
          <w:rFonts w:hint="eastAsia" w:ascii="仿宋_GB2312" w:hAnsi="Times New Roman" w:eastAsia="仿宋_GB2312" w:cs="Times New Roman"/>
          <w:color w:val="000000"/>
          <w:sz w:val="32"/>
        </w:rPr>
        <w:t>144%</w:t>
      </w:r>
      <w:r>
        <w:rPr>
          <w:rFonts w:hint="eastAsia" w:ascii="仿宋_GB2312" w:hAnsi="仿宋_GB2312" w:eastAsia="仿宋_GB2312" w:cs="仿宋_GB2312"/>
          <w:color w:val="000000"/>
          <w:sz w:val="32"/>
        </w:rPr>
        <w:t>；</w:t>
      </w:r>
      <w:r>
        <w:rPr>
          <w:rFonts w:hint="eastAsia" w:ascii="仿宋_GB2312" w:hAnsi="仿宋_GB2312" w:eastAsia="仿宋_GB2312" w:cs="仿宋_GB2312"/>
          <w:sz w:val="32"/>
        </w:rPr>
        <w:t>大力清理处置僵尸企业，通过平台公司收储、司法拍卖等方式实施“退二优二”，推动僵尸企业土地和厂房向优质企业转移，实现“增资增效不增地”；全年综合利用存量土地1148.96亩，拉动社会投资40余亿元。园区集约节约用地在全省“五好”园区双月通报上推介。加大经营性用地推介，挂牌出让土地19宗1433.11亩，实现土地收入208125.69万元。其中注资至天易高科公司9宗703.17亩，实现土地收入127919万元；社会方摘牌10宗729.94亩，实现土地收入80206.69万元。</w:t>
      </w:r>
    </w:p>
    <w:p>
      <w:pPr>
        <w:kinsoku w:val="0"/>
        <w:topLinePunct/>
        <w:spacing w:line="560" w:lineRule="exact"/>
        <w:ind w:firstLine="643"/>
        <w:rPr>
          <w:rFonts w:ascii="楷体" w:hAnsi="楷体" w:eastAsia="楷体" w:cs="楷体"/>
          <w:b/>
          <w:sz w:val="32"/>
        </w:rPr>
      </w:pPr>
      <w:r>
        <w:rPr>
          <w:rFonts w:ascii="楷体" w:hAnsi="楷体" w:eastAsia="楷体" w:cs="楷体"/>
          <w:b/>
          <w:sz w:val="32"/>
        </w:rPr>
        <w:t>（三）三十万以上项目性专项情况</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1.投资评审支出专项</w:t>
      </w:r>
    </w:p>
    <w:p>
      <w:pPr>
        <w:kinsoku w:val="0"/>
        <w:topLinePunct/>
        <w:spacing w:line="560" w:lineRule="exact"/>
        <w:ind w:firstLine="627"/>
        <w:rPr>
          <w:rFonts w:ascii="仿宋_GB2312" w:hAnsi="仿宋_GB2312" w:eastAsia="仿宋_GB2312" w:cs="仿宋_GB2312"/>
          <w:sz w:val="32"/>
        </w:rPr>
      </w:pPr>
      <w:r>
        <w:rPr>
          <w:rFonts w:ascii="仿宋_GB2312" w:hAnsi="仿宋_GB2312" w:eastAsia="仿宋_GB2312" w:cs="仿宋_GB2312"/>
          <w:sz w:val="32"/>
        </w:rPr>
        <w:t>投资评审支出专项是为加强评审工作履职所需的辅助性服务，加强政府投资项目评审质量和效率，做到应审尽审而通过政府采购程序，将部分工程项目委托具有相关资质的第三方中介机构进行评审的服务费支出。2022年预算资金300.00万元，实际支出215.82万元，</w:t>
      </w:r>
      <w:r>
        <w:rPr>
          <w:rFonts w:ascii="仿宋_GB2312" w:hAnsi="仿宋_GB2312" w:eastAsia="仿宋_GB2312" w:cs="仿宋_GB2312"/>
          <w:color w:val="000000"/>
          <w:sz w:val="32"/>
        </w:rPr>
        <w:t>外审审结项目75个，内审审结项目40个，</w:t>
      </w:r>
      <w:r>
        <w:rPr>
          <w:rFonts w:ascii="仿宋_GB2312" w:hAnsi="仿宋_GB2312" w:eastAsia="仿宋_GB2312" w:cs="仿宋_GB2312"/>
          <w:sz w:val="32"/>
        </w:rPr>
        <w:t>为经开区节约财政资金2064.99万元</w:t>
      </w:r>
      <w:r>
        <w:rPr>
          <w:rFonts w:ascii="仿宋_GB2312" w:hAnsi="仿宋_GB2312" w:eastAsia="仿宋_GB2312" w:cs="仿宋_GB2312"/>
          <w:color w:val="000000"/>
          <w:sz w:val="32"/>
        </w:rPr>
        <w:t>。</w:t>
      </w:r>
      <w:r>
        <w:rPr>
          <w:rFonts w:ascii="仿宋_GB2312" w:hAnsi="仿宋_GB2312" w:eastAsia="仿宋_GB2312" w:cs="仿宋_GB2312"/>
          <w:sz w:val="32"/>
        </w:rPr>
        <w:t>完成云龙初中项目周边水系及便道工程等项目竣工收量35项;完成梧桐路（黄莺路-107国道）道路工程项目、贵竹北路雨污排水管道治理及疏通工程项目现场计量2项；完成县审计局对湘潭县海棠路提质改造弱电工程等26个项目的复审查勘工作；审议遗留工程结算问题项目62个。定期对益友科技有限公司等12家企业进行走访。</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2.媒体合作、新闻宣传专项</w:t>
      </w:r>
    </w:p>
    <w:p>
      <w:pPr>
        <w:kinsoku w:val="0"/>
        <w:topLinePunct/>
        <w:spacing w:line="560" w:lineRule="exact"/>
        <w:ind w:firstLine="640"/>
        <w:rPr>
          <w:rFonts w:ascii="仿宋_GB2312" w:hAnsi="仿宋_GB2312" w:eastAsia="仿宋_GB2312" w:cs="仿宋_GB2312"/>
          <w:sz w:val="32"/>
        </w:rPr>
      </w:pPr>
      <w:r>
        <w:rPr>
          <w:rFonts w:ascii="仿宋_GB2312" w:hAnsi="仿宋_GB2312" w:eastAsia="仿宋_GB2312" w:cs="仿宋_GB2312"/>
          <w:sz w:val="32"/>
        </w:rPr>
        <w:t>媒体合作、新闻宣传专项是为了不断开创天易经开区对外宣传新局面，充分展现天易经开区新成绩、新亮点、新形象，进一步提升天易经开区的知名度和美誉度。2022年预算资金100.00万元，实际支出72.98万元，新闻宣传中心始终坚持围绕中心，服务大局，积极开展宣传舆论引导，展现天易经开区新成绩、新亮点、新形象，进一步提升天易经开区的知名度和美誉度，在政治理论学习、精神文明创建、对外宣传推介等重点工作取得明显成效。全年</w:t>
      </w:r>
      <w:r>
        <w:rPr>
          <w:rFonts w:ascii="仿宋_GB2312" w:hAnsi="仿宋_GB2312" w:eastAsia="仿宋_GB2312" w:cs="仿宋_GB2312"/>
          <w:color w:val="000000"/>
          <w:sz w:val="32"/>
        </w:rPr>
        <w:t>组织党工委理论学习中心组学习12次，切实保障学习主题和效果；共编写各类信息300余条以上，在国家级媒体编发宣传稿件60条以上，省级媒体采编120条以上，市级媒体采编140条以上。《天易创新城的崛起之路》《以“存量”换“增量”：盘活闲置低效用地的“天易样本”》等稿件单篇阅读量超10万；人民网登发《湘潭天易经开区：“三大招式”做实优化营商环境“一号工程”》；湖南卫视播出《盘活闲置资源 释放发展潜力》；湖南经视播出《湘潭天易经开区：“惠企宝典”送上门 当好企业“娘家人”》等报道；湘潭新闻台播出天易经开区《解析柏屹成功模式》等报道；湖南日报刊发《盘活“沉睡地” 提升“含金量”丨湘潭天易经开区完成287亩低效（空闲）用地清理》</w:t>
      </w:r>
      <w:r>
        <w:rPr>
          <w:rFonts w:ascii="仿宋_GB2312" w:hAnsi="仿宋_GB2312" w:eastAsia="仿宋_GB2312" w:cs="仿宋_GB2312"/>
          <w:sz w:val="32"/>
        </w:rPr>
        <w:t>等报道；新湖南 “产业集群看天易”“天易味蕾”系列报道；湘潭日报刊登《天易经开区：“百十亿”工程稳步推进 园区“发展指数”节节攀升》等专版、头版头条报道等；全年回复市、县长信箱、12345热线等450起，回复红网等网络平台舆情50余起，回复率100%，并竭力提高群众满意度；</w:t>
      </w:r>
      <w:r>
        <w:rPr>
          <w:rFonts w:ascii="仿宋_GB2312" w:hAnsi="仿宋_GB2312" w:eastAsia="仿宋_GB2312" w:cs="仿宋_GB2312"/>
          <w:color w:val="000000"/>
          <w:sz w:val="32"/>
        </w:rPr>
        <w:t>组织各部门两次集中舆情风险隐患摸排，涉及融资化债、征收拆迁、信访个案等方面的隐患20余条，按照要求制定舆情应急预案，及时回复认真办理回复各类诉求和网络舆情。</w:t>
      </w:r>
    </w:p>
    <w:p>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3.创建国家级经开区、五好园区专项</w:t>
      </w:r>
    </w:p>
    <w:p>
      <w:pPr>
        <w:kinsoku w:val="0"/>
        <w:topLinePunct/>
        <w:spacing w:line="560" w:lineRule="exact"/>
        <w:ind w:firstLine="640"/>
        <w:rPr>
          <w:rFonts w:ascii="仿宋_GB2312" w:hAnsi="仿宋_GB2312" w:eastAsia="仿宋_GB2312" w:cs="仿宋_GB2312"/>
          <w:sz w:val="32"/>
        </w:rPr>
      </w:pPr>
      <w:r>
        <w:rPr>
          <w:rFonts w:hint="eastAsia" w:ascii="仿宋_GB2312" w:hAnsi="仿宋_GB2312" w:eastAsia="仿宋_GB2312" w:cs="仿宋_GB2312"/>
          <w:sz w:val="32"/>
        </w:rPr>
        <w:t>为深入贯彻党的二十大精神，紧紧围绕创建“五好”园区和国家级经开区两大目标，突出招商引资、项目建设、产业发展、融资化债等工作重点，努力把天易经开区打造成长株潭一体化的重要增长极、潭株融城的黄金纽带和中部地区产城融合示范区，区财政安排专项资金开展双创工作。2022年度预算收入100.00万元，实际支出112.91万元。全年园区完成技工贸总收入1200亿元，工业总产值430亿元；完成7宗39</w:t>
      </w:r>
      <w:bookmarkStart w:id="0" w:name="_GoBack"/>
      <w:bookmarkEnd w:id="0"/>
      <w:r>
        <w:rPr>
          <w:rFonts w:hint="eastAsia" w:ascii="仿宋_GB2312" w:hAnsi="仿宋_GB2312" w:eastAsia="仿宋_GB2312" w:cs="仿宋_GB2312"/>
          <w:sz w:val="32"/>
        </w:rPr>
        <w:t>7.96亩低效（空闲）用地清理，完成年度任务的144%，其中收回低效（空闲）用地4宗275.41亩；规划布局了西城片区食品医药产业园，东部片区轨道交通配套产业园，南部片区新材料产业园等三个产业板块，推动企业聚集发展；成功引入了投资</w:t>
      </w:r>
      <w:r>
        <w:rPr>
          <w:rFonts w:hint="eastAsia" w:ascii="仿宋_GB2312" w:hAnsi="Times New Roman" w:eastAsia="仿宋_GB2312" w:cs="Times New Roman"/>
          <w:sz w:val="32"/>
        </w:rPr>
        <w:t>1</w:t>
      </w:r>
      <w:r>
        <w:rPr>
          <w:rFonts w:hint="eastAsia" w:ascii="仿宋_GB2312" w:hAnsi="仿宋_GB2312" w:eastAsia="仿宋_GB2312" w:cs="仿宋_GB2312"/>
          <w:sz w:val="32"/>
        </w:rPr>
        <w:t>亿元的湘潭丰达铂赛项目；招商引进企业130余家，投产100余家，其中60%以上是轨道交通装备产业链配套企业；复瑞医药等6家企业成功申报省企业技术中心；全年共引进各类项目91个，总投资77.6亿元；新开工广酒二期、丰达铂赛等5000万元以上重大项目35个；26个市级重点产业项目年度计划投资43.52亿元，目前投资完成率90%以上；园区有金铠新材料等国家级专精特新“小巨人”企业5家，省级专精特新小巨人企业20家；全年完成全口径税收8.29亿元；树立“我是招商员、我是服务员、我是安全员”理念，着力优化园区营商环境；各类行政许可事项的办理时间较法定时限平均减少70%以上；</w:t>
      </w:r>
      <w:r>
        <w:rPr>
          <w:rFonts w:hint="eastAsia" w:ascii="仿宋_GB2312" w:hAnsi="仿宋_GB2312" w:eastAsia="仿宋_GB2312" w:cs="仿宋_GB2312"/>
          <w:sz w:val="32"/>
          <w:shd w:val="clear" w:color="auto" w:fill="FFFFFF"/>
        </w:rPr>
        <w:t>配备“心连心走基层，面对面解难题”记录本，全年共为企业解决困难问题100余个。</w:t>
      </w:r>
    </w:p>
    <w:p>
      <w:pPr>
        <w:kinsoku w:val="0"/>
        <w:topLinePunct/>
        <w:spacing w:line="560" w:lineRule="exact"/>
        <w:ind w:firstLine="640"/>
        <w:rPr>
          <w:rFonts w:ascii="黑体" w:hAnsi="黑体" w:eastAsia="黑体" w:cs="黑体"/>
          <w:sz w:val="32"/>
        </w:rPr>
      </w:pPr>
      <w:r>
        <w:rPr>
          <w:rFonts w:ascii="黑体" w:hAnsi="黑体" w:eastAsia="黑体" w:cs="黑体"/>
          <w:sz w:val="32"/>
        </w:rPr>
        <w:t>三、部门绩效自评结果</w:t>
      </w:r>
    </w:p>
    <w:p>
      <w:pPr>
        <w:kinsoku w:val="0"/>
        <w:topLinePunct/>
        <w:spacing w:line="560" w:lineRule="exact"/>
        <w:ind w:firstLine="640"/>
        <w:rPr>
          <w:rFonts w:ascii="仿宋_GB2312" w:hAnsi="仿宋_GB2312" w:eastAsia="仿宋_GB2312" w:cs="仿宋_GB2312"/>
          <w:b/>
          <w:color w:val="000000"/>
          <w:sz w:val="32"/>
        </w:rPr>
      </w:pPr>
      <w:r>
        <w:rPr>
          <w:rFonts w:ascii="仿宋_GB2312" w:hAnsi="仿宋_GB2312" w:eastAsia="仿宋_GB2312" w:cs="仿宋_GB2312"/>
          <w:sz w:val="32"/>
        </w:rPr>
        <w:t>天易经开区经过认真地自评，2022年度紧扣创建“五好”园区和国家级经开区目标，全面贯彻省委“三高四新”战略定位和使命任务、市委“四区一地一圈一强”建设、坚持一手抓发展、一手抓化债，全力保持园区良好的发展态势。根据2022年度部门整体支出绩效指标完成情况，</w:t>
      </w:r>
      <w:r>
        <w:rPr>
          <w:rFonts w:ascii="仿宋_GB2312" w:hAnsi="仿宋_GB2312" w:eastAsia="仿宋_GB2312" w:cs="仿宋_GB2312"/>
          <w:color w:val="000000"/>
          <w:sz w:val="32"/>
        </w:rPr>
        <w:t>自评综合得分96.5分。</w:t>
      </w:r>
    </w:p>
    <w:p>
      <w:pPr>
        <w:kinsoku w:val="0"/>
        <w:topLinePunct/>
        <w:spacing w:line="560" w:lineRule="exact"/>
        <w:ind w:firstLine="640"/>
        <w:rPr>
          <w:rFonts w:ascii="黑体" w:hAnsi="黑体" w:eastAsia="黑体" w:cs="黑体"/>
          <w:sz w:val="32"/>
        </w:rPr>
      </w:pPr>
      <w:r>
        <w:rPr>
          <w:rFonts w:ascii="黑体" w:hAnsi="黑体" w:eastAsia="黑体" w:cs="黑体"/>
          <w:sz w:val="32"/>
        </w:rPr>
        <w:t>四、存在的问题及改进措施</w:t>
      </w:r>
    </w:p>
    <w:p>
      <w:pPr>
        <w:kinsoku w:val="0"/>
        <w:topLinePunct/>
        <w:spacing w:line="560" w:lineRule="exact"/>
        <w:ind w:firstLine="560"/>
        <w:rPr>
          <w:rFonts w:ascii="楷体" w:hAnsi="楷体" w:eastAsia="楷体" w:cs="楷体"/>
          <w:b/>
          <w:color w:val="000000"/>
          <w:sz w:val="32"/>
        </w:rPr>
      </w:pPr>
      <w:r>
        <w:rPr>
          <w:rFonts w:ascii="楷体" w:hAnsi="楷体" w:eastAsia="楷体" w:cs="楷体"/>
          <w:b/>
          <w:color w:val="000000"/>
          <w:sz w:val="32"/>
        </w:rPr>
        <w:t>（一）存在的问题</w:t>
      </w:r>
    </w:p>
    <w:p>
      <w:pPr>
        <w:kinsoku w:val="0"/>
        <w:topLinePunct/>
        <w:spacing w:line="560" w:lineRule="exact"/>
        <w:ind w:firstLine="560"/>
        <w:rPr>
          <w:rFonts w:ascii="仿宋_GB2312" w:hAnsi="仿宋_GB2312" w:eastAsia="仿宋_GB2312" w:cs="仿宋_GB2312"/>
          <w:b/>
          <w:color w:val="000000"/>
          <w:sz w:val="32"/>
        </w:rPr>
      </w:pPr>
      <w:r>
        <w:rPr>
          <w:rFonts w:ascii="仿宋_GB2312" w:hAnsi="仿宋_GB2312" w:eastAsia="仿宋_GB2312" w:cs="仿宋_GB2312"/>
          <w:b/>
          <w:color w:val="000000"/>
          <w:sz w:val="32"/>
        </w:rPr>
        <w:t>1．预算绩效目标和定量指标的制定不够准确和全面。</w:t>
      </w:r>
    </w:p>
    <w:p>
      <w:pPr>
        <w:kinsoku w:val="0"/>
        <w:topLinePunct/>
        <w:spacing w:line="560" w:lineRule="exact"/>
        <w:ind w:firstLine="720" w:firstLineChars="225"/>
        <w:rPr>
          <w:rFonts w:ascii="仿宋_GB2312" w:hAnsi="仿宋_GB2312" w:eastAsia="仿宋_GB2312" w:cs="仿宋_GB2312"/>
          <w:color w:val="000000"/>
          <w:sz w:val="32"/>
        </w:rPr>
      </w:pPr>
      <w:r>
        <w:rPr>
          <w:rFonts w:ascii="仿宋_GB2312" w:hAnsi="仿宋_GB2312" w:eastAsia="仿宋_GB2312" w:cs="仿宋_GB2312"/>
          <w:color w:val="000000"/>
          <w:sz w:val="32"/>
        </w:rPr>
        <w:t>绩效目标申报表和监控表的指标设置科学性不够，未与本年度部门整体资金量相匹配，不能准确全面反映部门整体支出的实际实施效果。</w:t>
      </w:r>
      <w:r>
        <w:rPr>
          <w:rFonts w:hint="eastAsia" w:ascii="仿宋_GB2312" w:hAnsi="仿宋_GB2312" w:eastAsia="仿宋_GB2312" w:cs="仿宋_GB2312"/>
          <w:color w:val="000000"/>
          <w:sz w:val="32"/>
        </w:rPr>
        <w:t>今年超预算部分支出20527.86万元，是根据化债工作的需要，增加了化债资金的支出。</w:t>
      </w:r>
    </w:p>
    <w:p>
      <w:pPr>
        <w:kinsoku w:val="0"/>
        <w:topLinePunct/>
        <w:spacing w:line="560" w:lineRule="exact"/>
        <w:ind w:firstLine="560"/>
        <w:rPr>
          <w:rFonts w:ascii="仿宋_GB2312" w:hAnsi="仿宋_GB2312" w:eastAsia="仿宋_GB2312" w:cs="仿宋_GB2312"/>
          <w:b/>
          <w:color w:val="000000"/>
          <w:sz w:val="32"/>
        </w:rPr>
      </w:pPr>
      <w:r>
        <w:rPr>
          <w:rFonts w:ascii="仿宋_GB2312" w:hAnsi="仿宋_GB2312" w:eastAsia="仿宋_GB2312" w:cs="仿宋_GB2312"/>
          <w:b/>
          <w:color w:val="000000"/>
          <w:sz w:val="32"/>
        </w:rPr>
        <w:t>2．部分预算资金执行有效性不高。</w:t>
      </w:r>
    </w:p>
    <w:p>
      <w:pPr>
        <w:kinsoku w:val="0"/>
        <w:topLinePunct/>
        <w:spacing w:line="560" w:lineRule="exact"/>
        <w:ind w:firstLine="720" w:firstLineChars="225"/>
        <w:rPr>
          <w:rFonts w:ascii="仿宋_GB2312" w:hAnsi="仿宋_GB2312" w:eastAsia="仿宋_GB2312" w:cs="仿宋_GB2312"/>
          <w:sz w:val="32"/>
        </w:rPr>
      </w:pPr>
      <w:r>
        <w:rPr>
          <w:rFonts w:ascii="仿宋_GB2312" w:hAnsi="仿宋_GB2312" w:eastAsia="仿宋_GB2312" w:cs="仿宋_GB2312"/>
          <w:sz w:val="32"/>
        </w:rPr>
        <w:t>2022年部门预算部分专项资金支出进度偏低，控制力度不足，特别是</w:t>
      </w:r>
      <w:r>
        <w:rPr>
          <w:rFonts w:hint="eastAsia" w:ascii="仿宋_GB2312" w:hAnsi="仿宋_GB2312" w:eastAsia="仿宋_GB2312" w:cs="仿宋_GB2312"/>
          <w:sz w:val="32"/>
        </w:rPr>
        <w:t>进一步压缩支出、</w:t>
      </w:r>
      <w:r>
        <w:rPr>
          <w:rFonts w:ascii="仿宋_GB2312" w:hAnsi="仿宋_GB2312" w:eastAsia="仿宋_GB2312" w:cs="仿宋_GB2312"/>
          <w:sz w:val="32"/>
        </w:rPr>
        <w:t>项目受阻的情况下，</w:t>
      </w:r>
      <w:r>
        <w:rPr>
          <w:rFonts w:hint="eastAsia" w:ascii="仿宋_GB2312" w:hAnsi="仿宋_GB2312" w:eastAsia="仿宋_GB2312" w:cs="仿宋_GB2312"/>
          <w:sz w:val="32"/>
        </w:rPr>
        <w:t>加大了化债资金的支出，</w:t>
      </w:r>
      <w:r>
        <w:rPr>
          <w:rFonts w:ascii="仿宋_GB2312" w:hAnsi="仿宋_GB2312" w:eastAsia="仿宋_GB2312" w:cs="仿宋_GB2312"/>
          <w:sz w:val="32"/>
        </w:rPr>
        <w:t>没有根据实际情况对预算进行必要调整，延伸性监管不到位。</w:t>
      </w:r>
    </w:p>
    <w:p>
      <w:pPr>
        <w:kinsoku w:val="0"/>
        <w:topLinePunct/>
        <w:spacing w:line="560" w:lineRule="exact"/>
        <w:ind w:firstLine="560"/>
        <w:rPr>
          <w:rFonts w:ascii="楷体" w:hAnsi="楷体" w:eastAsia="楷体" w:cs="楷体"/>
          <w:b/>
          <w:sz w:val="32"/>
        </w:rPr>
      </w:pPr>
      <w:r>
        <w:rPr>
          <w:rFonts w:ascii="楷体" w:hAnsi="楷体" w:eastAsia="楷体" w:cs="楷体"/>
          <w:b/>
          <w:sz w:val="32"/>
        </w:rPr>
        <w:t>（二）改进措施</w:t>
      </w:r>
    </w:p>
    <w:p>
      <w:pPr>
        <w:kinsoku w:val="0"/>
        <w:topLinePunct/>
        <w:spacing w:line="560" w:lineRule="exact"/>
        <w:ind w:firstLine="560"/>
        <w:rPr>
          <w:rFonts w:ascii="仿宋_GB2312" w:hAnsi="仿宋_GB2312" w:eastAsia="仿宋_GB2312" w:cs="仿宋_GB2312"/>
          <w:sz w:val="32"/>
        </w:rPr>
      </w:pPr>
      <w:r>
        <w:rPr>
          <w:rFonts w:ascii="仿宋_GB2312" w:hAnsi="仿宋_GB2312" w:eastAsia="仿宋_GB2312" w:cs="仿宋_GB2312"/>
          <w:sz w:val="32"/>
        </w:rPr>
        <w:t>1.不断提高预算管理水平，督促基层部门开展预算绩效管理工作，从具体业务方面入手，制定适合部门支出特点的绩效指标。</w:t>
      </w:r>
    </w:p>
    <w:p>
      <w:pPr>
        <w:kinsoku w:val="0"/>
        <w:topLinePunct/>
        <w:spacing w:line="560" w:lineRule="exact"/>
        <w:ind w:firstLine="560"/>
        <w:rPr>
          <w:rFonts w:ascii="仿宋_GB2312" w:hAnsi="仿宋_GB2312" w:eastAsia="仿宋_GB2312" w:cs="仿宋_GB2312"/>
          <w:sz w:val="32"/>
        </w:rPr>
      </w:pPr>
      <w:r>
        <w:rPr>
          <w:rFonts w:ascii="仿宋_GB2312" w:hAnsi="仿宋_GB2312" w:eastAsia="仿宋_GB2312" w:cs="仿宋_GB2312"/>
          <w:sz w:val="32"/>
        </w:rPr>
        <w:t>2．积极主动作为，根据预算分解方案，监控预算执行进度和执行情况，资金使用单位应及时反馈项目实际情况，使主管部门及早对预算安排进行必要调整，避免资金闲置，提高公共预算资金使用效益。</w:t>
      </w:r>
    </w:p>
    <w:p>
      <w:pPr>
        <w:kinsoku w:val="0"/>
        <w:topLinePunct/>
        <w:spacing w:line="560" w:lineRule="exact"/>
        <w:ind w:firstLine="560"/>
        <w:rPr>
          <w:rFonts w:ascii="仿宋_GB2312" w:hAnsi="仿宋_GB2312" w:eastAsia="仿宋_GB2312" w:cs="仿宋_GB2312"/>
          <w:sz w:val="32"/>
        </w:rPr>
      </w:pPr>
    </w:p>
    <w:p>
      <w:pPr>
        <w:kinsoku w:val="0"/>
        <w:topLinePunct/>
        <w:spacing w:line="560" w:lineRule="exact"/>
        <w:ind w:firstLine="640"/>
        <w:rPr>
          <w:rFonts w:ascii="仿宋_GB2312" w:hAnsi="仿宋_GB2312" w:eastAsia="仿宋_GB2312" w:cs="仿宋_GB2312"/>
          <w:sz w:val="32"/>
        </w:rPr>
      </w:pPr>
    </w:p>
    <w:p>
      <w:pPr>
        <w:kinsoku w:val="0"/>
        <w:topLinePunct/>
        <w:spacing w:line="560" w:lineRule="exact"/>
        <w:ind w:firstLine="4800"/>
        <w:rPr>
          <w:rFonts w:ascii="仿宋_GB2312" w:hAnsi="仿宋_GB2312" w:eastAsia="仿宋_GB2312" w:cs="仿宋_GB2312"/>
          <w:sz w:val="32"/>
        </w:rPr>
      </w:pPr>
    </w:p>
    <w:p>
      <w:pPr>
        <w:kinsoku w:val="0"/>
        <w:topLinePunct/>
        <w:spacing w:line="560" w:lineRule="exact"/>
        <w:jc w:val="right"/>
        <w:rPr>
          <w:rFonts w:ascii="仿宋_GB2312" w:hAnsi="仿宋_GB2312" w:eastAsia="仿宋_GB2312" w:cs="仿宋_GB2312"/>
          <w:sz w:val="32"/>
        </w:rPr>
      </w:pPr>
    </w:p>
    <w:p>
      <w:pPr>
        <w:kinsoku w:val="0"/>
        <w:topLinePunct/>
        <w:spacing w:line="560" w:lineRule="exact"/>
        <w:jc w:val="right"/>
        <w:rPr>
          <w:rFonts w:ascii="仿宋_GB2312" w:hAnsi="仿宋_GB2312" w:eastAsia="仿宋_GB2312" w:cs="仿宋_GB2312"/>
          <w:sz w:val="32"/>
        </w:rPr>
      </w:pPr>
      <w:r>
        <w:rPr>
          <w:rFonts w:ascii="仿宋_GB2312" w:hAnsi="仿宋_GB2312" w:eastAsia="仿宋_GB2312" w:cs="仿宋_GB2312"/>
          <w:sz w:val="32"/>
        </w:rPr>
        <w:t>湖南湘潭天易经济开发区财政局</w:t>
      </w:r>
    </w:p>
    <w:p>
      <w:pPr>
        <w:kinsoku w:val="0"/>
        <w:topLinePunct/>
        <w:spacing w:line="560" w:lineRule="exact"/>
        <w:ind w:right="640" w:firstLine="5120" w:firstLineChars="1600"/>
        <w:rPr>
          <w:rFonts w:ascii="仿宋_GB2312" w:hAnsi="仿宋_GB2312" w:eastAsia="仿宋_GB2312" w:cs="仿宋_GB2312"/>
          <w:sz w:val="32"/>
        </w:rPr>
      </w:pPr>
      <w:r>
        <w:rPr>
          <w:rFonts w:ascii="仿宋_GB2312" w:hAnsi="仿宋_GB2312" w:eastAsia="仿宋_GB2312" w:cs="仿宋_GB2312"/>
          <w:sz w:val="32"/>
        </w:rPr>
        <w:t>202</w:t>
      </w:r>
      <w:r>
        <w:rPr>
          <w:rFonts w:hint="eastAsia" w:ascii="仿宋_GB2312" w:hAnsi="仿宋_GB2312" w:eastAsia="仿宋_GB2312" w:cs="仿宋_GB2312"/>
          <w:sz w:val="32"/>
        </w:rPr>
        <w:t>3</w:t>
      </w:r>
      <w:r>
        <w:rPr>
          <w:rFonts w:ascii="仿宋_GB2312" w:hAnsi="仿宋_GB2312" w:eastAsia="仿宋_GB2312" w:cs="仿宋_GB2312"/>
          <w:sz w:val="32"/>
        </w:rPr>
        <w:t xml:space="preserve">年5月27日            </w:t>
      </w:r>
    </w:p>
    <w:p>
      <w:pPr>
        <w:kinsoku w:val="0"/>
        <w:topLinePunct/>
        <w:spacing w:line="560" w:lineRule="exact"/>
        <w:ind w:firstLine="560"/>
        <w:rPr>
          <w:rFonts w:ascii="Times New Roman" w:hAnsi="Times New Roman" w:eastAsia="Times New Roman" w:cs="Times New Roman"/>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763"/>
    <w:rsid w:val="003133A4"/>
    <w:rsid w:val="00330763"/>
    <w:rsid w:val="00362345"/>
    <w:rsid w:val="00A805BD"/>
    <w:rsid w:val="00BC4D21"/>
    <w:rsid w:val="00EC4FDB"/>
    <w:rsid w:val="4E3C4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1378</Words>
  <Characters>7859</Characters>
  <Lines>65</Lines>
  <Paragraphs>18</Paragraphs>
  <TotalTime>11</TotalTime>
  <ScaleCrop>false</ScaleCrop>
  <LinksUpToDate>false</LinksUpToDate>
  <CharactersWithSpaces>9219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2023-09-19T02:05:00Z</dcterms:created>
  <dc:creator>li</dc:creator>
  <cp:lastModifiedBy>li</cp:lastModifiedBy>
  <cp:lastPrinted>2023-12-05T03:17:00Z</cp:lastPrinted>
  <dcterms:modified xsi:type="dcterms:W3CDTF">2024-08-21T07:36:20Z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