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cs="Times New Roman"/>
          <w:sz w:val="56"/>
          <w:szCs w:val="56"/>
        </w:rPr>
      </w:pPr>
    </w:p>
    <w:p>
      <w:pPr>
        <w:pStyle w:val="10"/>
        <w:jc w:val="center"/>
        <w:rPr>
          <w:rFonts w:cs="Times New Roman"/>
          <w:sz w:val="56"/>
          <w:szCs w:val="56"/>
        </w:rPr>
      </w:pPr>
    </w:p>
    <w:p>
      <w:pPr>
        <w:pStyle w:val="10"/>
        <w:jc w:val="center"/>
        <w:rPr>
          <w:sz w:val="84"/>
          <w:szCs w:val="84"/>
        </w:rPr>
      </w:pPr>
    </w:p>
    <w:p>
      <w:pPr>
        <w:pStyle w:val="10"/>
        <w:jc w:val="center"/>
        <w:rPr>
          <w:rFonts w:ascii="宋体" w:hAnsi="宋体" w:eastAsia="宋体" w:cs="宋体"/>
          <w:b/>
          <w:sz w:val="72"/>
          <w:szCs w:val="72"/>
        </w:rPr>
      </w:pPr>
      <w:r>
        <w:rPr>
          <w:rFonts w:hint="eastAsia" w:ascii="宋体" w:hAnsi="宋体" w:eastAsia="宋体" w:cs="宋体"/>
          <w:b/>
          <w:sz w:val="72"/>
          <w:szCs w:val="72"/>
        </w:rPr>
        <w:t>2020年度</w:t>
      </w:r>
    </w:p>
    <w:p>
      <w:pPr>
        <w:pStyle w:val="10"/>
        <w:jc w:val="center"/>
        <w:rPr>
          <w:rFonts w:ascii="宋体" w:hAnsi="宋体" w:eastAsia="宋体" w:cs="宋体"/>
          <w:b/>
          <w:sz w:val="72"/>
          <w:szCs w:val="72"/>
        </w:rPr>
      </w:pPr>
      <w:r>
        <w:rPr>
          <w:rFonts w:hint="eastAsia" w:ascii="宋体" w:hAnsi="宋体" w:eastAsia="宋体" w:cs="宋体"/>
          <w:b/>
          <w:sz w:val="72"/>
          <w:szCs w:val="72"/>
        </w:rPr>
        <w:t>湘潭县城市管理和综合执法局部门决算</w:t>
      </w:r>
    </w:p>
    <w:p>
      <w:pPr>
        <w:pStyle w:val="10"/>
        <w:jc w:val="both"/>
        <w:rPr>
          <w:rFonts w:cs="Times New Roman"/>
          <w:sz w:val="32"/>
          <w:szCs w:val="32"/>
        </w:rPr>
      </w:pPr>
    </w:p>
    <w:p>
      <w:pPr>
        <w:pStyle w:val="10"/>
        <w:jc w:val="both"/>
        <w:rPr>
          <w:rFonts w:cs="Times New Roman"/>
          <w:sz w:val="32"/>
          <w:szCs w:val="32"/>
        </w:rPr>
      </w:pPr>
    </w:p>
    <w:p>
      <w:pPr>
        <w:pStyle w:val="10"/>
        <w:jc w:val="both"/>
        <w:rPr>
          <w:rFonts w:cs="Times New Roman"/>
          <w:sz w:val="32"/>
          <w:szCs w:val="32"/>
        </w:rPr>
      </w:pPr>
    </w:p>
    <w:p>
      <w:pPr>
        <w:pStyle w:val="10"/>
        <w:jc w:val="both"/>
        <w:rPr>
          <w:rFonts w:cs="Times New Roman"/>
          <w:sz w:val="32"/>
          <w:szCs w:val="32"/>
        </w:rPr>
      </w:pPr>
    </w:p>
    <w:p>
      <w:pPr>
        <w:pStyle w:val="10"/>
        <w:jc w:val="both"/>
        <w:rPr>
          <w:rFonts w:cs="Times New Roman"/>
          <w:sz w:val="32"/>
          <w:szCs w:val="32"/>
        </w:rPr>
      </w:pPr>
    </w:p>
    <w:p>
      <w:pPr>
        <w:pStyle w:val="10"/>
        <w:spacing w:line="500" w:lineRule="exact"/>
        <w:jc w:val="center"/>
        <w:rPr>
          <w:b/>
          <w:bCs/>
          <w:sz w:val="36"/>
          <w:szCs w:val="36"/>
        </w:rPr>
        <w:sectPr>
          <w:pgSz w:w="16838" w:h="11906" w:orient="landscape"/>
          <w:pgMar w:top="1797" w:right="1440" w:bottom="1797" w:left="1440" w:header="851" w:footer="992" w:gutter="0"/>
          <w:cols w:space="0" w:num="1"/>
          <w:docGrid w:type="linesAndChars" w:linePitch="319" w:charSpace="640"/>
        </w:sectPr>
      </w:pPr>
    </w:p>
    <w:p>
      <w:pPr>
        <w:pStyle w:val="10"/>
        <w:spacing w:line="500" w:lineRule="exact"/>
        <w:jc w:val="center"/>
        <w:rPr>
          <w:rFonts w:cs="Times New Roman"/>
          <w:b/>
          <w:bCs/>
          <w:sz w:val="36"/>
          <w:szCs w:val="36"/>
        </w:rPr>
      </w:pPr>
      <w:r>
        <w:rPr>
          <w:rFonts w:hint="eastAsia"/>
          <w:b/>
          <w:bCs/>
          <w:sz w:val="36"/>
          <w:szCs w:val="36"/>
        </w:rPr>
        <w:t>目录</w:t>
      </w:r>
    </w:p>
    <w:p>
      <w:pPr>
        <w:pStyle w:val="10"/>
        <w:spacing w:line="460" w:lineRule="exact"/>
        <w:rPr>
          <w:rFonts w:ascii="仿宋_GB2312" w:eastAsia="仿宋_GB2312" w:cs="Times New Roman"/>
          <w:b/>
          <w:bCs/>
          <w:sz w:val="28"/>
          <w:szCs w:val="28"/>
        </w:rPr>
      </w:pPr>
      <w:r>
        <w:rPr>
          <w:rFonts w:hint="eastAsia"/>
          <w:b/>
          <w:bCs/>
          <w:sz w:val="28"/>
          <w:szCs w:val="28"/>
        </w:rPr>
        <w:t>第一部分单位概况</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0"/>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2020</w:t>
      </w:r>
      <w:r>
        <w:rPr>
          <w:rFonts w:hint="eastAsia" w:hAnsi="仿宋_GB2312"/>
          <w:b/>
          <w:bCs/>
          <w:sz w:val="28"/>
          <w:szCs w:val="28"/>
        </w:rPr>
        <w:t>年度部门决算表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0"/>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2020</w:t>
      </w:r>
      <w:r>
        <w:rPr>
          <w:rFonts w:hint="eastAsia" w:hAnsi="仿宋_GB2312"/>
          <w:b/>
          <w:bCs/>
          <w:sz w:val="28"/>
          <w:szCs w:val="28"/>
        </w:rPr>
        <w:t>年度部门决算情况说明</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hAnsi="仿宋_GB2312" w:cs="宋体"/>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hAnsi="仿宋_GB2312" w:cs="宋体"/>
          <w:color w:val="000000"/>
          <w:kern w:val="0"/>
          <w:sz w:val="28"/>
          <w:szCs w:val="28"/>
        </w:rPr>
      </w:pPr>
      <w:r>
        <w:rPr>
          <w:rFonts w:hint="eastAsia" w:ascii="仿宋_GB2312" w:hAnsi="仿宋_GB2312" w:cs="宋体"/>
          <w:color w:val="000000"/>
          <w:kern w:val="0"/>
          <w:sz w:val="28"/>
          <w:szCs w:val="28"/>
        </w:rPr>
        <w:t>九、国有资本经营预算财政拨款支出决算情况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十二、关于政府采购支出说明</w:t>
      </w:r>
    </w:p>
    <w:p>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十三、关于国有资产占用情况说明</w:t>
      </w:r>
    </w:p>
    <w:p>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十四、关</w:t>
      </w:r>
      <w:r>
        <w:rPr>
          <w:rFonts w:hint="eastAsia" w:ascii="宋体" w:hAnsi="宋体" w:eastAsia="宋体" w:cs="宋体"/>
          <w:sz w:val="28"/>
          <w:szCs w:val="28"/>
        </w:rPr>
        <w:t>于</w:t>
      </w:r>
      <w:r>
        <w:rPr>
          <w:rFonts w:ascii="宋体" w:hAnsi="宋体" w:eastAsia="宋体" w:cs="宋体"/>
          <w:sz w:val="28"/>
          <w:szCs w:val="28"/>
        </w:rPr>
        <w:t>2020</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0"/>
        <w:jc w:val="center"/>
        <w:rPr>
          <w:rFonts w:ascii="宋体" w:hAnsi="宋体" w:eastAsia="宋体" w:cs="宋体"/>
          <w:sz w:val="72"/>
          <w:szCs w:val="72"/>
        </w:rPr>
      </w:pPr>
      <w:r>
        <w:rPr>
          <w:rFonts w:hint="eastAsia" w:ascii="宋体" w:hAnsi="宋体" w:eastAsia="宋体" w:cs="宋体"/>
          <w:sz w:val="72"/>
          <w:szCs w:val="72"/>
        </w:rPr>
        <w:t>第一部分</w:t>
      </w:r>
    </w:p>
    <w:p>
      <w:pPr>
        <w:pStyle w:val="10"/>
        <w:jc w:val="both"/>
        <w:rPr>
          <w:rFonts w:ascii="宋体" w:hAnsi="宋体" w:eastAsia="宋体" w:cs="宋体"/>
          <w:sz w:val="72"/>
          <w:szCs w:val="72"/>
        </w:rPr>
      </w:pPr>
    </w:p>
    <w:p>
      <w:pPr>
        <w:pStyle w:val="10"/>
        <w:jc w:val="center"/>
        <w:rPr>
          <w:rFonts w:hAnsi="黑体" w:cs="Times New Roman"/>
          <w:sz w:val="72"/>
          <w:szCs w:val="72"/>
        </w:rPr>
      </w:pPr>
      <w:r>
        <w:rPr>
          <w:rFonts w:hint="eastAsia" w:ascii="宋体" w:hAnsi="宋体" w:eastAsia="宋体" w:cs="宋体"/>
          <w:sz w:val="72"/>
          <w:szCs w:val="72"/>
        </w:rPr>
        <w:t>单位概况</w:t>
      </w:r>
    </w:p>
    <w:p>
      <w:pPr>
        <w:ind w:firstLine="800" w:firstLineChars="250"/>
        <w:jc w:val="left"/>
        <w:rPr>
          <w:rFonts w:ascii="黑体" w:hAnsi="黑体" w:eastAsia="黑体" w:cs="黑体"/>
          <w:sz w:val="32"/>
          <w:szCs w:val="32"/>
        </w:rPr>
      </w:pPr>
    </w:p>
    <w:p>
      <w:pPr>
        <w:ind w:firstLine="800" w:firstLineChars="250"/>
        <w:jc w:val="left"/>
        <w:rPr>
          <w:rFonts w:ascii="黑体" w:hAnsi="黑体" w:eastAsia="黑体" w:cs="Times New Roman"/>
          <w:sz w:val="32"/>
          <w:szCs w:val="32"/>
        </w:rPr>
      </w:pPr>
      <w:r>
        <w:rPr>
          <w:rFonts w:hint="eastAsia" w:ascii="黑体" w:hAnsi="黑体" w:eastAsia="黑体" w:cs="黑体"/>
          <w:sz w:val="32"/>
          <w:szCs w:val="32"/>
        </w:rPr>
        <w:t>一、部门职责</w:t>
      </w:r>
    </w:p>
    <w:p>
      <w:pPr>
        <w:ind w:firstLine="640" w:firstLineChars="200"/>
        <w:rPr>
          <w:rFonts w:ascii="仿宋_GB2312" w:eastAsia="仿宋_GB2312"/>
          <w:sz w:val="32"/>
          <w:szCs w:val="32"/>
        </w:rPr>
      </w:pPr>
      <w:r>
        <w:rPr>
          <w:rFonts w:hint="eastAsia" w:ascii="仿宋_GB2312" w:eastAsia="仿宋_GB2312"/>
          <w:sz w:val="32"/>
          <w:szCs w:val="32"/>
        </w:rPr>
        <w:t>（一）贯彻执行国家有关城市管理的法律、法规、方针政策，落实县城规划和管理；拟订城市市容和环境卫生、园林绿化、市政、城区户外广告设置管理等发展规划、计划和规范性文件，并组织实施和监督管理；拟订并监督实施县城城市管理工作目标、标准和相关制度。</w:t>
      </w:r>
    </w:p>
    <w:p>
      <w:pPr>
        <w:ind w:firstLine="640" w:firstLineChars="200"/>
        <w:rPr>
          <w:rFonts w:ascii="仿宋_GB2312" w:eastAsia="仿宋_GB2312"/>
          <w:sz w:val="32"/>
          <w:szCs w:val="32"/>
        </w:rPr>
      </w:pPr>
      <w:r>
        <w:rPr>
          <w:rFonts w:hint="eastAsia" w:ascii="仿宋_GB2312" w:eastAsia="仿宋_GB2312"/>
          <w:sz w:val="32"/>
          <w:szCs w:val="32"/>
        </w:rPr>
        <w:t>（二）依据有关法律法规，做好城管宣传，负责县城城市各项管理和组织、指挥、协调、监督、检查，对县城实施综合执法管理;负责城区城市日常管理工作和行政执法工作，行使市容环境卫生管理、园林绿化管理、市政管理方面法律、法规、规章规定的行政处罚权和行使环境保护管理、工商行政管理方面法律、法规、规章规定的部分行政处罚权。</w:t>
      </w:r>
    </w:p>
    <w:p>
      <w:pPr>
        <w:ind w:firstLine="640" w:firstLineChars="200"/>
        <w:rPr>
          <w:rFonts w:ascii="仿宋_GB2312" w:eastAsia="仿宋_GB2312"/>
          <w:sz w:val="32"/>
          <w:szCs w:val="32"/>
        </w:rPr>
      </w:pPr>
      <w:r>
        <w:rPr>
          <w:rFonts w:hint="eastAsia" w:ascii="仿宋_GB2312" w:eastAsia="仿宋_GB2312"/>
          <w:sz w:val="32"/>
          <w:szCs w:val="32"/>
        </w:rPr>
        <w:t>（三）负责县城环卫设施规划、建设和管理，对市容环境卫生进行检查与监督；负责建成城区主次干道、公共广场的环境卫生管理工作；负责垃圾中转站、公共厕所等环卫设施的管理与维护工作；负责城区垃圾清运和垃圾处理工作；为城市各企事业单位、居民提供环卫清扫、垃圾处理有偿服务。</w:t>
      </w:r>
    </w:p>
    <w:p>
      <w:pPr>
        <w:ind w:firstLine="640" w:firstLineChars="200"/>
        <w:rPr>
          <w:rFonts w:ascii="仿宋_GB2312" w:eastAsia="仿宋_GB2312"/>
          <w:sz w:val="32"/>
          <w:szCs w:val="32"/>
        </w:rPr>
      </w:pPr>
      <w:r>
        <w:rPr>
          <w:rFonts w:hint="eastAsia" w:ascii="仿宋_GB2312" w:eastAsia="仿宋_GB2312"/>
          <w:sz w:val="32"/>
          <w:szCs w:val="32"/>
        </w:rPr>
        <w:t>（四）负责对县城户外广告规划、设置审批和管理；负责起草户外广告管理规定和政策；负责牵头编制户外广告的专项规划；负责对户外广告设置的受理、审批和日常监督管理工作；负责组织户外广告公共资源的出让活动。</w:t>
      </w:r>
    </w:p>
    <w:p>
      <w:pPr>
        <w:ind w:firstLine="640" w:firstLineChars="200"/>
        <w:rPr>
          <w:rFonts w:ascii="仿宋_GB2312" w:eastAsia="仿宋_GB2312"/>
          <w:sz w:val="32"/>
          <w:szCs w:val="32"/>
        </w:rPr>
      </w:pPr>
      <w:r>
        <w:rPr>
          <w:rFonts w:hint="eastAsia" w:ascii="仿宋_GB2312" w:eastAsia="仿宋_GB2312"/>
          <w:sz w:val="32"/>
          <w:szCs w:val="32"/>
        </w:rPr>
        <w:t>（五）负责县城园林绿化的规划、建设和管理；参与城市建设项目的设计方案审批、竣工验收；负责城市建设项目配套绿化工程的设计方案审批、施工质量监督、竣工验收备案和移交接收工作；负责城市绿线管理、绿地占用审批和异地绿化的组织实施工作；会同县城乡规划行政主管部门编制和修订城市绿地系统规划。</w:t>
      </w:r>
    </w:p>
    <w:p>
      <w:pPr>
        <w:ind w:firstLine="640" w:firstLineChars="200"/>
        <w:rPr>
          <w:rFonts w:ascii="仿宋_GB2312" w:eastAsia="仿宋_GB2312"/>
          <w:sz w:val="32"/>
          <w:szCs w:val="32"/>
        </w:rPr>
      </w:pPr>
      <w:r>
        <w:rPr>
          <w:rFonts w:hint="eastAsia" w:ascii="仿宋_GB2312" w:eastAsia="仿宋_GB2312"/>
          <w:sz w:val="32"/>
          <w:szCs w:val="32"/>
        </w:rPr>
        <w:t>（六）负责相应市政工程、公用设施交接和管理工作；负责对城区城市管理相关基础设施建设与维护项目进行指导、协调、检查监督；参与城区相应的公用设施、市政工程的规划编制、设计审核、竣工验收和项目后评估工作。</w:t>
      </w:r>
    </w:p>
    <w:p>
      <w:pPr>
        <w:ind w:firstLine="640" w:firstLineChars="200"/>
        <w:rPr>
          <w:rFonts w:ascii="仿宋_GB2312" w:eastAsia="仿宋_GB2312"/>
          <w:sz w:val="32"/>
          <w:szCs w:val="32"/>
        </w:rPr>
      </w:pPr>
      <w:r>
        <w:rPr>
          <w:rFonts w:hint="eastAsia" w:ascii="仿宋_GB2312" w:eastAsia="仿宋_GB2312"/>
          <w:sz w:val="32"/>
          <w:szCs w:val="32"/>
        </w:rPr>
        <w:t>（七）负责县城道路、排水等市政设施的规划、建设、维护和管理，参与防洪设施的规划建设和管理；负责县城道路占破审批、管理与监察；负责城市生活垃圾和城市建筑垃圾、工程渣土的处置管理工作。</w:t>
      </w:r>
    </w:p>
    <w:p>
      <w:pPr>
        <w:ind w:firstLine="640" w:firstLineChars="200"/>
        <w:rPr>
          <w:rFonts w:ascii="仿宋_GB2312" w:eastAsia="仿宋_GB2312"/>
          <w:sz w:val="32"/>
          <w:szCs w:val="32"/>
        </w:rPr>
      </w:pPr>
      <w:r>
        <w:rPr>
          <w:rFonts w:hint="eastAsia" w:ascii="仿宋_GB2312" w:eastAsia="仿宋_GB2312"/>
          <w:sz w:val="32"/>
          <w:szCs w:val="32"/>
        </w:rPr>
        <w:t>（八）负责县城城市规划区内城市照明设施的日常管理工作；建立健全各项监管制度，确保城市照明设施的完好和正常运行；负责城市照明设施的安全运行与维护及其监督检查。</w:t>
      </w:r>
    </w:p>
    <w:p>
      <w:pPr>
        <w:ind w:firstLine="640" w:firstLineChars="200"/>
        <w:rPr>
          <w:rFonts w:ascii="仿宋_GB2312" w:eastAsia="仿宋_GB2312"/>
          <w:sz w:val="32"/>
          <w:szCs w:val="32"/>
        </w:rPr>
      </w:pPr>
      <w:r>
        <w:rPr>
          <w:rFonts w:hint="eastAsia" w:ascii="仿宋_GB2312" w:eastAsia="仿宋_GB2312"/>
          <w:sz w:val="32"/>
          <w:szCs w:val="32"/>
        </w:rPr>
        <w:t>（九）负责职责范围内的城市维护管理资金年度预算编报工作；负责职责范围内城市维护费的管理和使用。</w:t>
      </w:r>
    </w:p>
    <w:p>
      <w:pPr>
        <w:ind w:firstLine="640" w:firstLineChars="200"/>
        <w:rPr>
          <w:rFonts w:ascii="仿宋_GB2312" w:hAnsi="宋体" w:eastAsia="仿宋_GB2312" w:cs="Times New Roman"/>
          <w:sz w:val="28"/>
          <w:szCs w:val="28"/>
        </w:rPr>
      </w:pPr>
      <w:r>
        <w:rPr>
          <w:rFonts w:hint="eastAsia" w:ascii="仿宋_GB2312" w:eastAsia="仿宋_GB2312"/>
          <w:sz w:val="32"/>
          <w:szCs w:val="32"/>
        </w:rPr>
        <w:t>（十）承办县人民政府交办的其他事项。</w:t>
      </w:r>
    </w:p>
    <w:p>
      <w:pPr>
        <w:widowControl/>
        <w:spacing w:line="600" w:lineRule="exact"/>
        <w:ind w:firstLine="800" w:firstLineChars="250"/>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ind w:firstLine="640" w:firstLineChars="200"/>
        <w:rPr>
          <w:rFonts w:ascii="仿宋_GB2312" w:eastAsia="仿宋_GB2312"/>
          <w:b/>
          <w:color w:val="000000" w:themeColor="text1"/>
          <w:sz w:val="32"/>
          <w:szCs w:val="32"/>
        </w:rPr>
      </w:pPr>
      <w:r>
        <w:rPr>
          <w:rFonts w:hint="eastAsia" w:ascii="仿宋_GB2312" w:eastAsia="仿宋_GB2312"/>
          <w:sz w:val="32"/>
          <w:szCs w:val="32"/>
        </w:rPr>
        <w:t>（一）</w:t>
      </w:r>
      <w:r>
        <w:rPr>
          <w:rFonts w:hint="eastAsia" w:ascii="仿宋_GB2312" w:hAnsi="宋体" w:eastAsia="仿宋_GB2312" w:cs="宋体"/>
          <w:kern w:val="0"/>
          <w:sz w:val="32"/>
          <w:szCs w:val="32"/>
        </w:rPr>
        <w:t>内设机构设置。单位内设机构包括：</w:t>
      </w:r>
      <w:r>
        <w:rPr>
          <w:rFonts w:hint="eastAsia" w:ascii="仿宋_GB2312" w:eastAsia="仿宋_GB2312"/>
          <w:sz w:val="32"/>
          <w:szCs w:val="32"/>
        </w:rPr>
        <w:t>内设6个股室，分别为办公室、计财股、督查室、规划建设股、行政审批股、政策法规股；下设9个二级事业机构，分别为城市管理综合执法大队、环境卫生服务中心、园林管理处、市政设施维护管理处、城市照明设施维护站、渣土管理大队、义务监督员管理大队、市场服务中心、金霞山公园管理处。</w:t>
      </w:r>
      <w:r>
        <w:rPr>
          <w:rFonts w:hint="eastAsia" w:ascii="仿宋_GB2312" w:eastAsia="仿宋_GB2312"/>
          <w:color w:val="000000" w:themeColor="text1"/>
          <w:sz w:val="32"/>
          <w:szCs w:val="32"/>
        </w:rPr>
        <w:t>行政编制16个，事业编制119个，机关后勤服务1个。目前在编在岗148人，退休人员37人。</w:t>
      </w:r>
    </w:p>
    <w:p>
      <w:pPr>
        <w:ind w:firstLine="640" w:firstLineChars="200"/>
        <w:rPr>
          <w:rFonts w:ascii="仿宋_GB2312" w:eastAsia="仿宋_GB2312"/>
          <w:sz w:val="32"/>
          <w:szCs w:val="32"/>
        </w:rPr>
      </w:pPr>
      <w:r>
        <w:rPr>
          <w:rFonts w:hint="eastAsia" w:ascii="仿宋_GB2312" w:eastAsia="仿宋_GB2312"/>
          <w:sz w:val="32"/>
          <w:szCs w:val="32"/>
        </w:rPr>
        <w:t>（二）决算单位构成。本单位2020年部门决算汇总公开单位构成包括：湘潭县城市管理和综合执法局所有部门</w:t>
      </w:r>
    </w:p>
    <w:p>
      <w:pPr>
        <w:ind w:firstLine="640" w:firstLineChars="200"/>
        <w:rPr>
          <w:rFonts w:ascii="仿宋_GB2312" w:eastAsia="仿宋_GB2312"/>
          <w:sz w:val="32"/>
          <w:szCs w:val="32"/>
        </w:rPr>
      </w:pP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宋体"/>
          <w:sz w:val="72"/>
          <w:szCs w:val="72"/>
        </w:rPr>
      </w:pPr>
      <w:r>
        <w:rPr>
          <w:rFonts w:hint="eastAsia" w:cs="宋体"/>
          <w:sz w:val="72"/>
          <w:szCs w:val="72"/>
        </w:rPr>
        <w:t>部门决算表</w:t>
      </w:r>
    </w:p>
    <w:p>
      <w:pPr>
        <w:jc w:val="center"/>
        <w:rPr>
          <w:rFonts w:cs="宋体"/>
          <w:sz w:val="72"/>
          <w:szCs w:val="72"/>
        </w:rPr>
      </w:pPr>
    </w:p>
    <w:p>
      <w:pPr>
        <w:rPr>
          <w:rFonts w:cs="宋体"/>
          <w:sz w:val="72"/>
          <w:szCs w:val="72"/>
        </w:rPr>
      </w:pPr>
    </w:p>
    <w:p>
      <w:pPr>
        <w:rPr>
          <w:rFonts w:cs="宋体"/>
          <w:sz w:val="72"/>
          <w:szCs w:val="72"/>
        </w:rPr>
      </w:pPr>
    </w:p>
    <w:p>
      <w:pPr>
        <w:rPr>
          <w:rFonts w:cs="宋体"/>
          <w:sz w:val="72"/>
          <w:szCs w:val="72"/>
        </w:rPr>
      </w:pPr>
    </w:p>
    <w:p>
      <w:pPr>
        <w:rPr>
          <w:rFonts w:cs="宋体"/>
          <w:sz w:val="72"/>
          <w:szCs w:val="72"/>
        </w:rPr>
        <w:sectPr>
          <w:pgSz w:w="11906" w:h="16838"/>
          <w:pgMar w:top="1440" w:right="1797" w:bottom="1440" w:left="1797" w:header="851" w:footer="992" w:gutter="0"/>
          <w:cols w:space="0" w:num="1"/>
          <w:docGrid w:type="lines" w:linePitch="319" w:charSpace="640"/>
        </w:sectPr>
      </w:pPr>
    </w:p>
    <w:tbl>
      <w:tblPr>
        <w:tblStyle w:val="6"/>
        <w:tblW w:w="14184" w:type="dxa"/>
        <w:tblInd w:w="-106" w:type="dxa"/>
        <w:tblLayout w:type="fixed"/>
        <w:tblCellMar>
          <w:top w:w="0" w:type="dxa"/>
          <w:left w:w="108" w:type="dxa"/>
          <w:bottom w:w="0" w:type="dxa"/>
          <w:right w:w="108" w:type="dxa"/>
        </w:tblCellMar>
      </w:tblPr>
      <w:tblGrid>
        <w:gridCol w:w="3757"/>
        <w:gridCol w:w="815"/>
        <w:gridCol w:w="631"/>
        <w:gridCol w:w="599"/>
        <w:gridCol w:w="98"/>
        <w:gridCol w:w="236"/>
        <w:gridCol w:w="3467"/>
        <w:gridCol w:w="845"/>
        <w:gridCol w:w="1460"/>
        <w:gridCol w:w="657"/>
        <w:gridCol w:w="1619"/>
      </w:tblGrid>
      <w:tr>
        <w:tblPrEx>
          <w:tblCellMar>
            <w:top w:w="0" w:type="dxa"/>
            <w:left w:w="108" w:type="dxa"/>
            <w:bottom w:w="0" w:type="dxa"/>
            <w:right w:w="108" w:type="dxa"/>
          </w:tblCellMar>
        </w:tblPrEx>
        <w:trPr>
          <w:trHeight w:val="360" w:hRule="atLeast"/>
        </w:trPr>
        <w:tc>
          <w:tcPr>
            <w:tcW w:w="14184" w:type="dxa"/>
            <w:gridSpan w:val="11"/>
            <w:tcBorders>
              <w:top w:val="nil"/>
              <w:left w:val="nil"/>
              <w:bottom w:val="nil"/>
              <w:right w:val="nil"/>
            </w:tcBorders>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3"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6"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2"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19" w:type="dxa"/>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37" w:hRule="atLeast"/>
        </w:trPr>
        <w:tc>
          <w:tcPr>
            <w:tcW w:w="5203" w:type="dxa"/>
            <w:gridSpan w:val="3"/>
            <w:tcBorders>
              <w:top w:val="nil"/>
              <w:left w:val="nil"/>
              <w:bottom w:val="nil"/>
              <w:right w:val="nil"/>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部门：湘潭县城市管理和综合执法局</w:t>
            </w:r>
          </w:p>
        </w:tc>
        <w:tc>
          <w:tcPr>
            <w:tcW w:w="697" w:type="dxa"/>
            <w:gridSpan w:val="2"/>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6"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2"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19" w:type="dxa"/>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2"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382" w:type="dxa"/>
            <w:gridSpan w:val="7"/>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474" w:hRule="atLeast"/>
        </w:trPr>
        <w:tc>
          <w:tcPr>
            <w:tcW w:w="375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801" w:type="dxa"/>
            <w:gridSpan w:val="3"/>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736" w:type="dxa"/>
            <w:gridSpan w:val="3"/>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375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801" w:type="dxa"/>
            <w:gridSpan w:val="3"/>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736" w:type="dxa"/>
            <w:gridSpan w:val="3"/>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3757"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10,596.67</w:t>
            </w:r>
          </w:p>
        </w:tc>
        <w:tc>
          <w:tcPr>
            <w:tcW w:w="3801" w:type="dxa"/>
            <w:gridSpan w:val="3"/>
            <w:tcBorders>
              <w:top w:val="nil"/>
              <w:left w:val="nil"/>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373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3757"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1.24</w:t>
            </w:r>
          </w:p>
        </w:tc>
        <w:tc>
          <w:tcPr>
            <w:tcW w:w="3801" w:type="dxa"/>
            <w:gridSpan w:val="3"/>
            <w:tcBorders>
              <w:top w:val="nil"/>
              <w:left w:val="nil"/>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373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3757"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801" w:type="dxa"/>
            <w:gridSpan w:val="3"/>
            <w:tcBorders>
              <w:top w:val="nil"/>
              <w:left w:val="nil"/>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373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280" w:hRule="atLeast"/>
        </w:trPr>
        <w:tc>
          <w:tcPr>
            <w:tcW w:w="3757"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801" w:type="dxa"/>
            <w:gridSpan w:val="3"/>
            <w:tcBorders>
              <w:top w:val="nil"/>
              <w:left w:val="nil"/>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373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267" w:hRule="atLeast"/>
        </w:trPr>
        <w:tc>
          <w:tcPr>
            <w:tcW w:w="3757"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801" w:type="dxa"/>
            <w:gridSpan w:val="3"/>
            <w:tcBorders>
              <w:top w:val="nil"/>
              <w:left w:val="nil"/>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373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250" w:hRule="atLeast"/>
        </w:trPr>
        <w:tc>
          <w:tcPr>
            <w:tcW w:w="3757"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801" w:type="dxa"/>
            <w:gridSpan w:val="3"/>
            <w:tcBorders>
              <w:top w:val="nil"/>
              <w:left w:val="nil"/>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23</w:t>
            </w:r>
          </w:p>
        </w:tc>
        <w:tc>
          <w:tcPr>
            <w:tcW w:w="373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3757"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801" w:type="dxa"/>
            <w:gridSpan w:val="3"/>
            <w:tcBorders>
              <w:top w:val="nil"/>
              <w:left w:val="nil"/>
              <w:bottom w:val="single" w:color="auto" w:sz="4" w:space="0"/>
              <w:right w:val="single" w:color="auto" w:sz="4" w:space="0"/>
            </w:tcBorders>
            <w:vAlign w:val="bottom"/>
          </w:tcPr>
          <w:p>
            <w:pPr>
              <w:widowControl/>
              <w:jc w:val="left"/>
              <w:rPr>
                <w:rFonts w:ascii="宋体" w:hAnsi="宋体" w:cs="宋体"/>
                <w:kern w:val="0"/>
                <w:sz w:val="22"/>
                <w:szCs w:val="22"/>
              </w:rPr>
            </w:pPr>
            <w:r>
              <w:rPr>
                <w:rFonts w:ascii="宋体" w:hAnsi="宋体" w:cs="宋体"/>
                <w:kern w:val="0"/>
                <w:sz w:val="22"/>
                <w:szCs w:val="22"/>
              </w:rPr>
              <w:t>七、文化旅游体育与传媒支出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24</w:t>
            </w:r>
          </w:p>
        </w:tc>
        <w:tc>
          <w:tcPr>
            <w:tcW w:w="373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295" w:hRule="atLeast"/>
        </w:trPr>
        <w:tc>
          <w:tcPr>
            <w:tcW w:w="3757"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15,810.12</w:t>
            </w:r>
          </w:p>
        </w:tc>
        <w:tc>
          <w:tcPr>
            <w:tcW w:w="3801" w:type="dxa"/>
            <w:gridSpan w:val="3"/>
            <w:tcBorders>
              <w:top w:val="nil"/>
              <w:left w:val="nil"/>
              <w:bottom w:val="single" w:color="auto" w:sz="4" w:space="0"/>
              <w:right w:val="single" w:color="auto" w:sz="4" w:space="0"/>
            </w:tcBorders>
            <w:vAlign w:val="bottom"/>
          </w:tcPr>
          <w:p>
            <w:pPr>
              <w:widowControl/>
              <w:jc w:val="left"/>
              <w:rPr>
                <w:rFonts w:ascii="宋体" w:hAnsi="宋体" w:cs="宋体"/>
                <w:kern w:val="0"/>
                <w:sz w:val="22"/>
                <w:szCs w:val="22"/>
              </w:rPr>
            </w:pPr>
            <w:r>
              <w:rPr>
                <w:rFonts w:ascii="宋体" w:hAnsi="宋体" w:cs="宋体"/>
                <w:kern w:val="0"/>
                <w:sz w:val="22"/>
                <w:szCs w:val="22"/>
              </w:rPr>
              <w:t>八、社会保障和就业支出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25</w:t>
            </w:r>
          </w:p>
        </w:tc>
        <w:tc>
          <w:tcPr>
            <w:tcW w:w="3736" w:type="dxa"/>
            <w:gridSpan w:val="3"/>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3.6</w:t>
            </w:r>
          </w:p>
        </w:tc>
      </w:tr>
      <w:tr>
        <w:tblPrEx>
          <w:tblCellMar>
            <w:top w:w="0" w:type="dxa"/>
            <w:left w:w="108" w:type="dxa"/>
            <w:bottom w:w="0" w:type="dxa"/>
            <w:right w:w="108" w:type="dxa"/>
          </w:tblCellMar>
        </w:tblPrEx>
        <w:trPr>
          <w:trHeight w:val="235" w:hRule="atLeast"/>
        </w:trPr>
        <w:tc>
          <w:tcPr>
            <w:tcW w:w="3757" w:type="dxa"/>
            <w:tcBorders>
              <w:top w:val="nil"/>
              <w:left w:val="single" w:color="auto" w:sz="4" w:space="0"/>
              <w:bottom w:val="single" w:color="auto" w:sz="4" w:space="0"/>
              <w:right w:val="single" w:color="auto" w:sz="4" w:space="0"/>
            </w:tcBorders>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801" w:type="dxa"/>
            <w:gridSpan w:val="3"/>
            <w:tcBorders>
              <w:top w:val="nil"/>
              <w:left w:val="nil"/>
              <w:bottom w:val="single" w:color="auto" w:sz="4" w:space="0"/>
              <w:right w:val="single" w:color="auto" w:sz="4" w:space="0"/>
            </w:tcBorders>
            <w:vAlign w:val="bottom"/>
          </w:tcPr>
          <w:p>
            <w:pPr>
              <w:widowControl/>
              <w:jc w:val="left"/>
              <w:rPr>
                <w:rFonts w:ascii="宋体" w:hAnsi="宋体" w:cs="宋体"/>
                <w:kern w:val="0"/>
                <w:sz w:val="22"/>
                <w:szCs w:val="22"/>
              </w:rPr>
            </w:pPr>
            <w:r>
              <w:rPr>
                <w:rFonts w:ascii="宋体" w:hAnsi="宋体" w:cs="宋体"/>
                <w:kern w:val="0"/>
                <w:sz w:val="22"/>
                <w:szCs w:val="22"/>
              </w:rPr>
              <w:t>九、卫生健康支出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w:t>
            </w:r>
            <w:r>
              <w:rPr>
                <w:rFonts w:hint="eastAsia" w:ascii="宋体" w:hAnsi="宋体" w:cs="宋体"/>
                <w:kern w:val="0"/>
                <w:sz w:val="22"/>
                <w:szCs w:val="22"/>
              </w:rPr>
              <w:t>6</w:t>
            </w:r>
          </w:p>
        </w:tc>
        <w:tc>
          <w:tcPr>
            <w:tcW w:w="3736" w:type="dxa"/>
            <w:gridSpan w:val="3"/>
            <w:tcBorders>
              <w:top w:val="nil"/>
              <w:left w:val="nil"/>
              <w:bottom w:val="single" w:color="auto" w:sz="4" w:space="0"/>
              <w:right w:val="single" w:color="auto" w:sz="4" w:space="0"/>
            </w:tcBorders>
            <w:vAlign w:val="center"/>
          </w:tcPr>
          <w:p>
            <w:pPr>
              <w:widowControl/>
              <w:jc w:val="right"/>
              <w:textAlignment w:val="center"/>
              <w:rPr>
                <w:rFonts w:ascii="宋体" w:cs="Times New Roman"/>
                <w:b/>
                <w:bCs/>
                <w:kern w:val="0"/>
                <w:sz w:val="22"/>
                <w:szCs w:val="22"/>
              </w:rPr>
            </w:pPr>
            <w:r>
              <w:rPr>
                <w:rFonts w:hint="eastAsia" w:ascii="宋体" w:hAnsi="宋体" w:cs="宋体"/>
                <w:color w:val="000000"/>
                <w:kern w:val="0"/>
                <w:sz w:val="22"/>
                <w:szCs w:val="22"/>
              </w:rPr>
              <w:t>0.00</w:t>
            </w:r>
          </w:p>
        </w:tc>
      </w:tr>
      <w:tr>
        <w:tblPrEx>
          <w:tblCellMar>
            <w:top w:w="0" w:type="dxa"/>
            <w:left w:w="108" w:type="dxa"/>
            <w:bottom w:w="0" w:type="dxa"/>
            <w:right w:w="108" w:type="dxa"/>
          </w:tblCellMar>
        </w:tblPrEx>
        <w:trPr>
          <w:trHeight w:val="340" w:hRule="atLeast"/>
        </w:trPr>
        <w:tc>
          <w:tcPr>
            <w:tcW w:w="3757" w:type="dxa"/>
            <w:tcBorders>
              <w:top w:val="nil"/>
              <w:left w:val="single" w:color="auto" w:sz="4" w:space="0"/>
              <w:bottom w:val="single" w:color="auto" w:sz="4" w:space="0"/>
              <w:right w:val="single" w:color="auto" w:sz="4" w:space="0"/>
            </w:tcBorders>
            <w:vAlign w:val="center"/>
          </w:tcPr>
          <w:p>
            <w:pPr>
              <w:widowControl/>
              <w:jc w:val="right"/>
              <w:rPr>
                <w:rFonts w:ascii="宋体" w:hAnsi="宋体" w:cs="宋体"/>
                <w:kern w:val="0"/>
                <w:sz w:val="20"/>
                <w:szCs w:val="20"/>
              </w:rPr>
            </w:pP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ascii="宋体" w:hAnsi="宋体" w:cs="宋体"/>
                <w:kern w:val="0"/>
                <w:sz w:val="22"/>
                <w:szCs w:val="22"/>
              </w:rPr>
              <w:t>10</w:t>
            </w:r>
          </w:p>
        </w:tc>
        <w:tc>
          <w:tcPr>
            <w:tcW w:w="1230" w:type="dxa"/>
            <w:gridSpan w:val="2"/>
            <w:tcBorders>
              <w:top w:val="nil"/>
              <w:left w:val="nil"/>
              <w:bottom w:val="single" w:color="auto" w:sz="4" w:space="0"/>
              <w:right w:val="single" w:color="auto" w:sz="4" w:space="0"/>
            </w:tcBorders>
            <w:vAlign w:val="center"/>
          </w:tcPr>
          <w:p>
            <w:pPr>
              <w:widowControl/>
              <w:jc w:val="right"/>
              <w:rPr>
                <w:rFonts w:ascii="宋体" w:hAnsi="宋体" w:cs="宋体"/>
                <w:kern w:val="0"/>
                <w:sz w:val="22"/>
                <w:szCs w:val="22"/>
              </w:rPr>
            </w:pPr>
          </w:p>
        </w:tc>
        <w:tc>
          <w:tcPr>
            <w:tcW w:w="3801" w:type="dxa"/>
            <w:gridSpan w:val="3"/>
            <w:tcBorders>
              <w:top w:val="nil"/>
              <w:left w:val="nil"/>
              <w:bottom w:val="single" w:color="auto" w:sz="4" w:space="0"/>
              <w:right w:val="single" w:color="auto" w:sz="4" w:space="0"/>
            </w:tcBorders>
            <w:vAlign w:val="bottom"/>
          </w:tcPr>
          <w:p>
            <w:pPr>
              <w:widowControl/>
              <w:jc w:val="left"/>
              <w:rPr>
                <w:rFonts w:ascii="宋体" w:hAnsi="宋体" w:cs="宋体"/>
                <w:kern w:val="0"/>
                <w:sz w:val="22"/>
                <w:szCs w:val="22"/>
              </w:rPr>
            </w:pPr>
            <w:r>
              <w:rPr>
                <w:rFonts w:ascii="宋体" w:hAnsi="宋体" w:cs="宋体"/>
                <w:kern w:val="0"/>
                <w:sz w:val="22"/>
                <w:szCs w:val="22"/>
              </w:rPr>
              <w:t>十、节能环保支出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ascii="宋体" w:hAnsi="宋体" w:cs="宋体"/>
                <w:kern w:val="0"/>
                <w:sz w:val="22"/>
                <w:szCs w:val="22"/>
              </w:rPr>
              <w:t>2</w:t>
            </w:r>
            <w:r>
              <w:rPr>
                <w:rFonts w:hint="eastAsia" w:ascii="宋体" w:hAnsi="宋体" w:cs="宋体"/>
                <w:kern w:val="0"/>
                <w:sz w:val="22"/>
                <w:szCs w:val="22"/>
              </w:rPr>
              <w:t>7</w:t>
            </w:r>
          </w:p>
        </w:tc>
        <w:tc>
          <w:tcPr>
            <w:tcW w:w="3736" w:type="dxa"/>
            <w:gridSpan w:val="3"/>
            <w:tcBorders>
              <w:top w:val="nil"/>
              <w:left w:val="nil"/>
              <w:bottom w:val="single" w:color="auto" w:sz="4" w:space="0"/>
              <w:right w:val="single" w:color="auto" w:sz="4" w:space="0"/>
            </w:tcBorders>
            <w:vAlign w:val="center"/>
          </w:tcPr>
          <w:p>
            <w:pPr>
              <w:widowControl/>
              <w:jc w:val="right"/>
              <w:textAlignment w:val="center"/>
              <w:rPr>
                <w:rFonts w:ascii="宋体" w:hAnsi="宋体" w:cs="宋体"/>
                <w:b/>
                <w:bCs/>
                <w:kern w:val="0"/>
                <w:sz w:val="22"/>
                <w:szCs w:val="22"/>
              </w:rPr>
            </w:pPr>
            <w:r>
              <w:rPr>
                <w:rFonts w:hint="eastAsia" w:ascii="宋体" w:hAnsi="宋体" w:cs="宋体"/>
                <w:color w:val="000000"/>
                <w:kern w:val="0"/>
                <w:sz w:val="22"/>
                <w:szCs w:val="22"/>
              </w:rPr>
              <w:t>500.00</w:t>
            </w:r>
          </w:p>
        </w:tc>
      </w:tr>
      <w:tr>
        <w:tblPrEx>
          <w:tblCellMar>
            <w:top w:w="0" w:type="dxa"/>
            <w:left w:w="108" w:type="dxa"/>
            <w:bottom w:w="0" w:type="dxa"/>
            <w:right w:w="108" w:type="dxa"/>
          </w:tblCellMar>
        </w:tblPrEx>
        <w:trPr>
          <w:trHeight w:val="325" w:hRule="atLeast"/>
        </w:trPr>
        <w:tc>
          <w:tcPr>
            <w:tcW w:w="3757" w:type="dxa"/>
            <w:tcBorders>
              <w:top w:val="nil"/>
              <w:left w:val="single" w:color="auto" w:sz="4" w:space="0"/>
              <w:bottom w:val="single" w:color="auto" w:sz="4" w:space="0"/>
              <w:right w:val="single" w:color="auto" w:sz="4" w:space="0"/>
            </w:tcBorders>
            <w:vAlign w:val="center"/>
          </w:tcPr>
          <w:p>
            <w:pPr>
              <w:widowControl/>
              <w:jc w:val="right"/>
              <w:rPr>
                <w:rFonts w:ascii="宋体" w:hAnsi="宋体" w:cs="宋体"/>
                <w:kern w:val="0"/>
                <w:sz w:val="20"/>
                <w:szCs w:val="20"/>
              </w:rPr>
            </w:pP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ascii="宋体" w:hAnsi="宋体" w:cs="宋体"/>
                <w:kern w:val="0"/>
                <w:sz w:val="22"/>
                <w:szCs w:val="22"/>
              </w:rPr>
              <w:t>11</w:t>
            </w:r>
          </w:p>
        </w:tc>
        <w:tc>
          <w:tcPr>
            <w:tcW w:w="1230" w:type="dxa"/>
            <w:gridSpan w:val="2"/>
            <w:tcBorders>
              <w:top w:val="nil"/>
              <w:left w:val="nil"/>
              <w:bottom w:val="single" w:color="auto" w:sz="4" w:space="0"/>
              <w:right w:val="single" w:color="auto" w:sz="4" w:space="0"/>
            </w:tcBorders>
            <w:vAlign w:val="center"/>
          </w:tcPr>
          <w:p>
            <w:pPr>
              <w:widowControl/>
              <w:jc w:val="right"/>
              <w:rPr>
                <w:rFonts w:ascii="宋体" w:hAnsi="宋体" w:cs="宋体"/>
                <w:kern w:val="0"/>
                <w:sz w:val="22"/>
                <w:szCs w:val="22"/>
              </w:rPr>
            </w:pPr>
          </w:p>
        </w:tc>
        <w:tc>
          <w:tcPr>
            <w:tcW w:w="3801" w:type="dxa"/>
            <w:gridSpan w:val="3"/>
            <w:tcBorders>
              <w:top w:val="nil"/>
              <w:left w:val="nil"/>
              <w:bottom w:val="single" w:color="auto" w:sz="4" w:space="0"/>
              <w:right w:val="single" w:color="auto" w:sz="4" w:space="0"/>
            </w:tcBorders>
            <w:vAlign w:val="bottom"/>
          </w:tcPr>
          <w:p>
            <w:pPr>
              <w:widowControl/>
              <w:jc w:val="left"/>
              <w:rPr>
                <w:rFonts w:ascii="宋体" w:hAnsi="宋体" w:cs="宋体"/>
                <w:kern w:val="0"/>
                <w:sz w:val="22"/>
                <w:szCs w:val="22"/>
              </w:rPr>
            </w:pPr>
            <w:r>
              <w:rPr>
                <w:rFonts w:ascii="宋体" w:hAnsi="宋体" w:cs="宋体"/>
                <w:kern w:val="0"/>
                <w:sz w:val="22"/>
                <w:szCs w:val="22"/>
              </w:rPr>
              <w:t>十一、城乡社区支出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ascii="宋体" w:hAnsi="宋体" w:cs="宋体"/>
                <w:kern w:val="0"/>
                <w:sz w:val="22"/>
                <w:szCs w:val="22"/>
              </w:rPr>
              <w:t>2</w:t>
            </w:r>
            <w:r>
              <w:rPr>
                <w:rFonts w:hint="eastAsia" w:ascii="宋体" w:hAnsi="宋体" w:cs="宋体"/>
                <w:kern w:val="0"/>
                <w:sz w:val="22"/>
                <w:szCs w:val="22"/>
              </w:rPr>
              <w:t>8</w:t>
            </w:r>
          </w:p>
        </w:tc>
        <w:tc>
          <w:tcPr>
            <w:tcW w:w="3736" w:type="dxa"/>
            <w:gridSpan w:val="3"/>
            <w:tcBorders>
              <w:top w:val="nil"/>
              <w:left w:val="nil"/>
              <w:bottom w:val="single" w:color="auto" w:sz="4" w:space="0"/>
              <w:right w:val="single" w:color="auto" w:sz="4" w:space="0"/>
            </w:tcBorders>
            <w:vAlign w:val="center"/>
          </w:tcPr>
          <w:p>
            <w:pPr>
              <w:widowControl/>
              <w:jc w:val="right"/>
              <w:textAlignment w:val="center"/>
              <w:rPr>
                <w:rFonts w:ascii="宋体" w:hAnsi="宋体" w:cs="宋体"/>
                <w:b/>
                <w:bCs/>
                <w:kern w:val="0"/>
                <w:sz w:val="22"/>
                <w:szCs w:val="22"/>
              </w:rPr>
            </w:pPr>
            <w:r>
              <w:rPr>
                <w:rFonts w:hint="eastAsia" w:ascii="宋体" w:hAnsi="宋体" w:cs="宋体"/>
                <w:color w:val="000000"/>
                <w:kern w:val="0"/>
                <w:sz w:val="22"/>
                <w:szCs w:val="22"/>
              </w:rPr>
              <w:t>25,895.81</w:t>
            </w:r>
          </w:p>
        </w:tc>
      </w:tr>
      <w:tr>
        <w:tblPrEx>
          <w:tblCellMar>
            <w:top w:w="0" w:type="dxa"/>
            <w:left w:w="108" w:type="dxa"/>
            <w:bottom w:w="0" w:type="dxa"/>
            <w:right w:w="108" w:type="dxa"/>
          </w:tblCellMar>
        </w:tblPrEx>
        <w:trPr>
          <w:trHeight w:val="192" w:hRule="atLeast"/>
        </w:trPr>
        <w:tc>
          <w:tcPr>
            <w:tcW w:w="3757" w:type="dxa"/>
            <w:tcBorders>
              <w:top w:val="nil"/>
              <w:left w:val="single" w:color="auto" w:sz="4" w:space="0"/>
              <w:bottom w:val="single" w:color="auto" w:sz="4" w:space="0"/>
              <w:right w:val="single" w:color="auto" w:sz="4" w:space="0"/>
            </w:tcBorders>
            <w:vAlign w:val="center"/>
          </w:tcPr>
          <w:p>
            <w:pPr>
              <w:widowControl/>
              <w:jc w:val="right"/>
              <w:rPr>
                <w:rFonts w:ascii="宋体" w:hAnsi="宋体" w:cs="宋体"/>
                <w:kern w:val="0"/>
                <w:sz w:val="20"/>
                <w:szCs w:val="20"/>
              </w:rPr>
            </w:pP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ascii="宋体" w:hAnsi="宋体" w:cs="宋体"/>
                <w:kern w:val="0"/>
                <w:sz w:val="22"/>
                <w:szCs w:val="22"/>
              </w:rPr>
              <w:t>12</w:t>
            </w:r>
          </w:p>
        </w:tc>
        <w:tc>
          <w:tcPr>
            <w:tcW w:w="1230" w:type="dxa"/>
            <w:gridSpan w:val="2"/>
            <w:tcBorders>
              <w:top w:val="nil"/>
              <w:left w:val="nil"/>
              <w:bottom w:val="single" w:color="auto" w:sz="4" w:space="0"/>
              <w:right w:val="single" w:color="auto" w:sz="4" w:space="0"/>
            </w:tcBorders>
            <w:vAlign w:val="center"/>
          </w:tcPr>
          <w:p>
            <w:pPr>
              <w:widowControl/>
              <w:jc w:val="right"/>
              <w:rPr>
                <w:rFonts w:ascii="宋体" w:hAnsi="宋体" w:cs="宋体"/>
                <w:kern w:val="0"/>
                <w:sz w:val="22"/>
                <w:szCs w:val="22"/>
              </w:rPr>
            </w:pPr>
          </w:p>
        </w:tc>
        <w:tc>
          <w:tcPr>
            <w:tcW w:w="3801" w:type="dxa"/>
            <w:gridSpan w:val="3"/>
            <w:tcBorders>
              <w:top w:val="nil"/>
              <w:left w:val="nil"/>
              <w:bottom w:val="single" w:color="auto" w:sz="4" w:space="0"/>
              <w:right w:val="single" w:color="auto" w:sz="4" w:space="0"/>
            </w:tcBorders>
            <w:vAlign w:val="center"/>
          </w:tcPr>
          <w:p>
            <w:pPr>
              <w:widowControl/>
              <w:rPr>
                <w:rFonts w:ascii="宋体" w:hAnsi="宋体" w:cs="宋体"/>
                <w:kern w:val="0"/>
                <w:sz w:val="20"/>
                <w:szCs w:val="20"/>
              </w:rPr>
            </w:pPr>
            <w:r>
              <w:rPr>
                <w:rFonts w:hint="eastAsia" w:ascii="宋体" w:hAnsi="宋体" w:cs="宋体"/>
                <w:kern w:val="0"/>
                <w:sz w:val="24"/>
                <w:szCs w:val="24"/>
              </w:rPr>
              <w:t>……</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ascii="宋体" w:hAnsi="宋体" w:cs="宋体"/>
                <w:kern w:val="0"/>
                <w:sz w:val="22"/>
                <w:szCs w:val="22"/>
              </w:rPr>
              <w:t>2</w:t>
            </w:r>
            <w:r>
              <w:rPr>
                <w:rFonts w:hint="eastAsia" w:ascii="宋体" w:hAnsi="宋体" w:cs="宋体"/>
                <w:kern w:val="0"/>
                <w:sz w:val="22"/>
                <w:szCs w:val="22"/>
              </w:rPr>
              <w:t>9</w:t>
            </w:r>
          </w:p>
        </w:tc>
        <w:tc>
          <w:tcPr>
            <w:tcW w:w="3736" w:type="dxa"/>
            <w:gridSpan w:val="3"/>
            <w:tcBorders>
              <w:top w:val="nil"/>
              <w:left w:val="nil"/>
              <w:bottom w:val="single" w:color="auto" w:sz="4" w:space="0"/>
              <w:right w:val="single" w:color="auto" w:sz="4" w:space="0"/>
            </w:tcBorders>
            <w:vAlign w:val="center"/>
          </w:tcPr>
          <w:p>
            <w:pPr>
              <w:widowControl/>
              <w:jc w:val="left"/>
              <w:rPr>
                <w:rFonts w:ascii="宋体" w:hAnsi="宋体" w:cs="宋体"/>
                <w:b/>
                <w:bCs/>
                <w:kern w:val="0"/>
                <w:sz w:val="22"/>
                <w:szCs w:val="22"/>
              </w:rPr>
            </w:pPr>
          </w:p>
        </w:tc>
      </w:tr>
      <w:tr>
        <w:tblPrEx>
          <w:tblCellMar>
            <w:top w:w="0" w:type="dxa"/>
            <w:left w:w="108" w:type="dxa"/>
            <w:bottom w:w="0" w:type="dxa"/>
            <w:right w:w="108" w:type="dxa"/>
          </w:tblCellMar>
        </w:tblPrEx>
        <w:trPr>
          <w:trHeight w:val="90" w:hRule="atLeast"/>
        </w:trPr>
        <w:tc>
          <w:tcPr>
            <w:tcW w:w="375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ascii="宋体" w:hAnsi="宋体" w:cs="宋体"/>
                <w:kern w:val="0"/>
                <w:sz w:val="22"/>
                <w:szCs w:val="22"/>
              </w:rPr>
              <w:t>13</w:t>
            </w:r>
          </w:p>
        </w:tc>
        <w:tc>
          <w:tcPr>
            <w:tcW w:w="1230" w:type="dxa"/>
            <w:gridSpan w:val="2"/>
            <w:tcBorders>
              <w:top w:val="nil"/>
              <w:left w:val="nil"/>
              <w:bottom w:val="single" w:color="auto" w:sz="4" w:space="0"/>
              <w:right w:val="single" w:color="auto" w:sz="4" w:space="0"/>
            </w:tcBorders>
            <w:vAlign w:val="center"/>
          </w:tcPr>
          <w:p>
            <w:pPr>
              <w:widowControl/>
              <w:jc w:val="right"/>
              <w:textAlignment w:val="center"/>
              <w:rPr>
                <w:rFonts w:ascii="宋体" w:hAnsi="宋体" w:cs="宋体"/>
                <w:color w:val="000000"/>
                <w:kern w:val="0"/>
                <w:sz w:val="22"/>
                <w:szCs w:val="22"/>
              </w:rPr>
            </w:pPr>
          </w:p>
        </w:tc>
        <w:tc>
          <w:tcPr>
            <w:tcW w:w="3801" w:type="dxa"/>
            <w:gridSpan w:val="3"/>
            <w:tcBorders>
              <w:top w:val="nil"/>
              <w:left w:val="nil"/>
              <w:bottom w:val="single" w:color="auto" w:sz="4" w:space="0"/>
              <w:right w:val="single" w:color="auto" w:sz="4" w:space="0"/>
            </w:tcBorders>
            <w:vAlign w:val="bottom"/>
          </w:tcPr>
          <w:p>
            <w:pPr>
              <w:widowControl/>
              <w:jc w:val="left"/>
              <w:textAlignment w:val="bottom"/>
              <w:rPr>
                <w:rFonts w:ascii="宋体" w:hAnsi="宋体" w:cs="宋体"/>
                <w:b/>
                <w:bCs/>
                <w:kern w:val="0"/>
                <w:sz w:val="22"/>
                <w:szCs w:val="22"/>
              </w:rPr>
            </w:pPr>
            <w:r>
              <w:rPr>
                <w:rFonts w:ascii="Arial" w:hAnsi="Arial" w:cs="Arial"/>
                <w:color w:val="000000"/>
                <w:kern w:val="0"/>
                <w:sz w:val="20"/>
                <w:szCs w:val="20"/>
              </w:rPr>
              <w:t>二十六、抗疫特别国债安排的支出</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hint="eastAsia" w:ascii="宋体" w:hAnsi="宋体" w:cs="宋体"/>
                <w:kern w:val="0"/>
                <w:sz w:val="22"/>
                <w:szCs w:val="22"/>
              </w:rPr>
              <w:t>30</w:t>
            </w:r>
          </w:p>
        </w:tc>
        <w:tc>
          <w:tcPr>
            <w:tcW w:w="3736" w:type="dxa"/>
            <w:gridSpan w:val="3"/>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2"/>
                <w:szCs w:val="22"/>
              </w:rPr>
            </w:pPr>
            <w:r>
              <w:rPr>
                <w:rFonts w:hint="eastAsia" w:ascii="宋体" w:hAnsi="宋体" w:cs="宋体"/>
                <w:color w:val="000000"/>
                <w:kern w:val="0"/>
                <w:sz w:val="22"/>
                <w:szCs w:val="22"/>
              </w:rPr>
              <w:t>1.24</w:t>
            </w:r>
          </w:p>
        </w:tc>
      </w:tr>
      <w:tr>
        <w:tblPrEx>
          <w:tblCellMar>
            <w:top w:w="0" w:type="dxa"/>
            <w:left w:w="108" w:type="dxa"/>
            <w:bottom w:w="0" w:type="dxa"/>
            <w:right w:w="108" w:type="dxa"/>
          </w:tblCellMar>
        </w:tblPrEx>
        <w:trPr>
          <w:trHeight w:val="340" w:hRule="atLeast"/>
        </w:trPr>
        <w:tc>
          <w:tcPr>
            <w:tcW w:w="3757"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230"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26,408.03</w:t>
            </w:r>
          </w:p>
        </w:tc>
        <w:tc>
          <w:tcPr>
            <w:tcW w:w="3801" w:type="dxa"/>
            <w:gridSpan w:val="3"/>
            <w:tcBorders>
              <w:top w:val="nil"/>
              <w:left w:val="nil"/>
              <w:bottom w:val="single" w:color="auto" w:sz="4" w:space="0"/>
              <w:right w:val="single" w:color="auto" w:sz="4" w:space="0"/>
            </w:tcBorders>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cs="Times New Roman"/>
                <w:kern w:val="0"/>
                <w:sz w:val="22"/>
                <w:szCs w:val="22"/>
              </w:rPr>
              <w:t>31</w:t>
            </w:r>
          </w:p>
        </w:tc>
        <w:tc>
          <w:tcPr>
            <w:tcW w:w="3736" w:type="dxa"/>
            <w:gridSpan w:val="3"/>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26,400.65</w:t>
            </w:r>
          </w:p>
        </w:tc>
      </w:tr>
      <w:tr>
        <w:tblPrEx>
          <w:tblCellMar>
            <w:top w:w="0" w:type="dxa"/>
            <w:left w:w="108" w:type="dxa"/>
            <w:bottom w:w="0" w:type="dxa"/>
            <w:right w:w="108" w:type="dxa"/>
          </w:tblCellMar>
        </w:tblPrEx>
        <w:trPr>
          <w:trHeight w:val="340" w:hRule="atLeast"/>
        </w:trPr>
        <w:tc>
          <w:tcPr>
            <w:tcW w:w="3757"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使用非财政拨款结余</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230"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80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cs="Times New Roman"/>
                <w:kern w:val="0"/>
                <w:sz w:val="22"/>
                <w:szCs w:val="22"/>
              </w:rPr>
              <w:t>32</w:t>
            </w:r>
          </w:p>
        </w:tc>
        <w:tc>
          <w:tcPr>
            <w:tcW w:w="3736"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3757"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年初结转和结余</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230"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125.76</w:t>
            </w:r>
          </w:p>
        </w:tc>
        <w:tc>
          <w:tcPr>
            <w:tcW w:w="380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cs="Times New Roman"/>
                <w:kern w:val="0"/>
                <w:sz w:val="22"/>
                <w:szCs w:val="22"/>
              </w:rPr>
              <w:t>33</w:t>
            </w:r>
          </w:p>
        </w:tc>
        <w:tc>
          <w:tcPr>
            <w:tcW w:w="3736" w:type="dxa"/>
            <w:gridSpan w:val="3"/>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133.14</w:t>
            </w:r>
          </w:p>
        </w:tc>
      </w:tr>
      <w:tr>
        <w:tblPrEx>
          <w:tblCellMar>
            <w:top w:w="0" w:type="dxa"/>
            <w:left w:w="108" w:type="dxa"/>
            <w:bottom w:w="0" w:type="dxa"/>
            <w:right w:w="108" w:type="dxa"/>
          </w:tblCellMar>
        </w:tblPrEx>
        <w:trPr>
          <w:trHeight w:val="340" w:hRule="atLeast"/>
        </w:trPr>
        <w:tc>
          <w:tcPr>
            <w:tcW w:w="375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1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230"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26,533.79</w:t>
            </w:r>
          </w:p>
        </w:tc>
        <w:tc>
          <w:tcPr>
            <w:tcW w:w="3801" w:type="dxa"/>
            <w:gridSpan w:val="3"/>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cs="Times New Roman"/>
                <w:kern w:val="0"/>
                <w:sz w:val="22"/>
                <w:szCs w:val="22"/>
              </w:rPr>
              <w:t>34</w:t>
            </w:r>
          </w:p>
        </w:tc>
        <w:tc>
          <w:tcPr>
            <w:tcW w:w="3736" w:type="dxa"/>
            <w:gridSpan w:val="3"/>
            <w:tcBorders>
              <w:top w:val="nil"/>
              <w:left w:val="nil"/>
              <w:bottom w:val="single" w:color="auto" w:sz="4" w:space="0"/>
              <w:right w:val="single" w:color="auto" w:sz="4" w:space="0"/>
            </w:tcBorders>
            <w:vAlign w:val="center"/>
          </w:tcPr>
          <w:p>
            <w:pPr>
              <w:widowControl/>
              <w:jc w:val="right"/>
              <w:textAlignment w:val="center"/>
              <w:rPr>
                <w:rFonts w:ascii="宋体" w:cs="Times New Roman"/>
                <w:b/>
                <w:bCs/>
                <w:kern w:val="0"/>
                <w:sz w:val="22"/>
                <w:szCs w:val="22"/>
              </w:rPr>
            </w:pPr>
            <w:r>
              <w:rPr>
                <w:rFonts w:hint="eastAsia" w:ascii="宋体" w:hAnsi="宋体" w:cs="宋体"/>
                <w:color w:val="000000"/>
                <w:kern w:val="0"/>
                <w:sz w:val="22"/>
                <w:szCs w:val="22"/>
              </w:rPr>
              <w:t>26,533.79</w:t>
            </w:r>
          </w:p>
        </w:tc>
      </w:tr>
      <w:tr>
        <w:tblPrEx>
          <w:tblCellMar>
            <w:top w:w="0" w:type="dxa"/>
            <w:left w:w="108" w:type="dxa"/>
            <w:bottom w:w="0" w:type="dxa"/>
            <w:right w:w="108" w:type="dxa"/>
          </w:tblCellMar>
        </w:tblPrEx>
        <w:trPr>
          <w:trHeight w:val="1020" w:hRule="atLeast"/>
        </w:trPr>
        <w:tc>
          <w:tcPr>
            <w:tcW w:w="14184"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361" w:right="1440" w:bottom="1021" w:left="1440" w:header="851" w:footer="992" w:gutter="0"/>
          <w:cols w:space="0" w:num="1"/>
          <w:docGrid w:type="linesAndChars" w:linePitch="319" w:charSpace="640"/>
        </w:sectPr>
      </w:pPr>
    </w:p>
    <w:tbl>
      <w:tblPr>
        <w:tblStyle w:val="6"/>
        <w:tblW w:w="14725" w:type="dxa"/>
        <w:tblInd w:w="-127" w:type="dxa"/>
        <w:tblLayout w:type="fixed"/>
        <w:tblCellMar>
          <w:top w:w="0" w:type="dxa"/>
          <w:left w:w="0" w:type="dxa"/>
          <w:bottom w:w="0" w:type="dxa"/>
          <w:right w:w="0" w:type="dxa"/>
        </w:tblCellMar>
      </w:tblPr>
      <w:tblGrid>
        <w:gridCol w:w="90"/>
        <w:gridCol w:w="1810"/>
        <w:gridCol w:w="358"/>
        <w:gridCol w:w="3642"/>
        <w:gridCol w:w="358"/>
        <w:gridCol w:w="1031"/>
        <w:gridCol w:w="400"/>
        <w:gridCol w:w="742"/>
        <w:gridCol w:w="1025"/>
        <w:gridCol w:w="358"/>
        <w:gridCol w:w="676"/>
        <w:gridCol w:w="358"/>
        <w:gridCol w:w="635"/>
        <w:gridCol w:w="358"/>
        <w:gridCol w:w="688"/>
        <w:gridCol w:w="358"/>
        <w:gridCol w:w="1197"/>
        <w:gridCol w:w="283"/>
        <w:gridCol w:w="358"/>
      </w:tblGrid>
      <w:tr>
        <w:tblPrEx>
          <w:tblCellMar>
            <w:top w:w="0" w:type="dxa"/>
            <w:left w:w="0" w:type="dxa"/>
            <w:bottom w:w="0" w:type="dxa"/>
            <w:right w:w="0" w:type="dxa"/>
          </w:tblCellMar>
        </w:tblPrEx>
        <w:trPr>
          <w:gridAfter w:val="1"/>
          <w:wAfter w:w="358" w:type="dxa"/>
          <w:trHeight w:val="435" w:hRule="atLeast"/>
        </w:trPr>
        <w:tc>
          <w:tcPr>
            <w:tcW w:w="14367" w:type="dxa"/>
            <w:gridSpan w:val="18"/>
            <w:tcBorders>
              <w:top w:val="nil"/>
              <w:left w:val="nil"/>
              <w:bottom w:val="nil"/>
              <w:right w:val="nil"/>
            </w:tcBorders>
            <w:tcMar>
              <w:top w:w="15" w:type="dxa"/>
              <w:left w:w="15" w:type="dxa"/>
              <w:bottom w:w="0" w:type="dxa"/>
              <w:right w:w="15" w:type="dxa"/>
            </w:tcMar>
            <w:vAlign w:val="center"/>
          </w:tcPr>
          <w:p>
            <w:pPr>
              <w:spacing w:line="360" w:lineRule="exact"/>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4000"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742" w:type="dxa"/>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1383"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1034"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993"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p>
        </w:tc>
        <w:tc>
          <w:tcPr>
            <w:tcW w:w="1046" w:type="dxa"/>
            <w:gridSpan w:val="2"/>
            <w:tcBorders>
              <w:top w:val="nil"/>
              <w:left w:val="nil"/>
              <w:bottom w:val="nil"/>
              <w:right w:val="nil"/>
            </w:tcBorders>
            <w:shd w:val="clear" w:color="000000" w:fill="FFFFFF"/>
            <w:tcMar>
              <w:top w:w="15" w:type="dxa"/>
              <w:left w:w="15" w:type="dxa"/>
              <w:bottom w:w="0" w:type="dxa"/>
              <w:right w:w="15" w:type="dxa"/>
            </w:tcMar>
            <w:vAlign w:val="center"/>
          </w:tcPr>
          <w:p>
            <w:pPr>
              <w:wordWrap w:val="0"/>
              <w:spacing w:line="280" w:lineRule="exact"/>
              <w:jc w:val="right"/>
              <w:rPr>
                <w:rFonts w:ascii="宋体" w:cs="Times New Roman"/>
                <w:sz w:val="24"/>
                <w:szCs w:val="24"/>
              </w:rPr>
            </w:pPr>
          </w:p>
        </w:tc>
        <w:tc>
          <w:tcPr>
            <w:tcW w:w="1838" w:type="dxa"/>
            <w:gridSpan w:val="3"/>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ind w:right="404"/>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gridAfter w:val="2"/>
          <w:wAfter w:w="641" w:type="dxa"/>
          <w:trHeight w:val="285" w:hRule="atLeast"/>
        </w:trPr>
        <w:tc>
          <w:tcPr>
            <w:tcW w:w="1900"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rPr>
                <w:rFonts w:ascii="宋体" w:cs="Times New Roman"/>
                <w:color w:val="000000"/>
                <w:sz w:val="20"/>
                <w:szCs w:val="20"/>
              </w:rPr>
            </w:pPr>
            <w:r>
              <w:rPr>
                <w:rFonts w:hint="eastAsia" w:cs="宋体"/>
                <w:color w:val="000000"/>
                <w:sz w:val="20"/>
                <w:szCs w:val="20"/>
              </w:rPr>
              <w:t>部门：</w:t>
            </w:r>
            <w:r>
              <w:rPr>
                <w:rFonts w:hint="eastAsia" w:ascii="宋体" w:hAnsi="宋体" w:cs="宋体"/>
                <w:color w:val="000000"/>
                <w:kern w:val="0"/>
                <w:sz w:val="20"/>
                <w:szCs w:val="20"/>
              </w:rPr>
              <w:t>湘潭县城市管理和综合执法局</w:t>
            </w:r>
          </w:p>
        </w:tc>
        <w:tc>
          <w:tcPr>
            <w:tcW w:w="4000"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1389"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1142"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1025" w:type="dxa"/>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center"/>
              <w:rPr>
                <w:rFonts w:ascii="宋体" w:cs="Times New Roman"/>
                <w:color w:val="000000"/>
                <w:sz w:val="20"/>
                <w:szCs w:val="20"/>
              </w:rPr>
            </w:pPr>
            <w:r>
              <w:rPr>
                <w:rFonts w:hint="eastAsia" w:cs="宋体"/>
                <w:color w:val="000000"/>
                <w:sz w:val="20"/>
                <w:szCs w:val="20"/>
              </w:rPr>
              <w:t>　</w:t>
            </w:r>
          </w:p>
        </w:tc>
        <w:tc>
          <w:tcPr>
            <w:tcW w:w="1034"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993"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1046"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jc w:val="right"/>
              <w:rPr>
                <w:rFonts w:ascii="宋体" w:cs="Times New Roman"/>
                <w:sz w:val="24"/>
                <w:szCs w:val="24"/>
              </w:rPr>
            </w:pPr>
            <w:r>
              <w:rPr>
                <w:rFonts w:hint="eastAsia" w:cs="宋体"/>
              </w:rPr>
              <w:t>　</w:t>
            </w:r>
          </w:p>
        </w:tc>
        <w:tc>
          <w:tcPr>
            <w:tcW w:w="1555" w:type="dxa"/>
            <w:gridSpan w:val="2"/>
            <w:tcBorders>
              <w:top w:val="nil"/>
              <w:left w:val="nil"/>
              <w:bottom w:val="nil"/>
              <w:right w:val="nil"/>
            </w:tcBorders>
            <w:shd w:val="clear" w:color="000000" w:fill="FFFFFF"/>
            <w:tcMar>
              <w:top w:w="15" w:type="dxa"/>
              <w:left w:w="15" w:type="dxa"/>
              <w:bottom w:w="0" w:type="dxa"/>
              <w:right w:w="15" w:type="dxa"/>
            </w:tcMar>
            <w:vAlign w:val="center"/>
          </w:tcPr>
          <w:p>
            <w:pPr>
              <w:spacing w:line="280" w:lineRule="exact"/>
              <w:ind w:right="101"/>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gridAfter w:val="2"/>
          <w:wAfter w:w="641" w:type="dxa"/>
          <w:trHeight w:val="362" w:hRule="atLeast"/>
        </w:trPr>
        <w:tc>
          <w:tcPr>
            <w:tcW w:w="5900"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项目</w:t>
            </w:r>
          </w:p>
        </w:tc>
        <w:tc>
          <w:tcPr>
            <w:tcW w:w="138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本年收入合计</w:t>
            </w:r>
          </w:p>
        </w:tc>
        <w:tc>
          <w:tcPr>
            <w:tcW w:w="1142"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rPr>
              <w:t>财政拨款收入</w:t>
            </w:r>
          </w:p>
        </w:tc>
        <w:tc>
          <w:tcPr>
            <w:tcW w:w="10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上级补助收入</w:t>
            </w:r>
          </w:p>
        </w:tc>
        <w:tc>
          <w:tcPr>
            <w:tcW w:w="103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事业收入</w:t>
            </w:r>
          </w:p>
        </w:tc>
        <w:tc>
          <w:tcPr>
            <w:tcW w:w="99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经营收入</w:t>
            </w:r>
          </w:p>
        </w:tc>
        <w:tc>
          <w:tcPr>
            <w:tcW w:w="104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附属单位上缴收入</w:t>
            </w:r>
          </w:p>
        </w:tc>
        <w:tc>
          <w:tcPr>
            <w:tcW w:w="155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其他收入</w:t>
            </w:r>
          </w:p>
        </w:tc>
      </w:tr>
      <w:tr>
        <w:tblPrEx>
          <w:tblCellMar>
            <w:top w:w="0" w:type="dxa"/>
            <w:left w:w="0" w:type="dxa"/>
            <w:bottom w:w="0" w:type="dxa"/>
            <w:right w:w="0" w:type="dxa"/>
          </w:tblCellMar>
        </w:tblPrEx>
        <w:trPr>
          <w:gridAfter w:val="2"/>
          <w:wAfter w:w="641" w:type="dxa"/>
          <w:trHeight w:val="362"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spacing w:line="240" w:lineRule="exact"/>
              <w:jc w:val="center"/>
              <w:rPr>
                <w:rFonts w:ascii="宋体" w:cs="Times New Roman"/>
                <w:sz w:val="24"/>
                <w:szCs w:val="24"/>
              </w:rPr>
            </w:pPr>
            <w:r>
              <w:rPr>
                <w:rFonts w:hint="eastAsia" w:cs="宋体"/>
              </w:rPr>
              <w:t>功能分类科目编码</w:t>
            </w:r>
          </w:p>
        </w:tc>
        <w:tc>
          <w:tcPr>
            <w:tcW w:w="4000"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spacing w:line="240" w:lineRule="exact"/>
              <w:jc w:val="center"/>
              <w:rPr>
                <w:rFonts w:ascii="宋体" w:cs="Times New Roman"/>
                <w:sz w:val="24"/>
                <w:szCs w:val="24"/>
              </w:rPr>
            </w:pPr>
            <w:r>
              <w:rPr>
                <w:rFonts w:hint="eastAsia" w:cs="宋体"/>
              </w:rPr>
              <w:t>科目名称</w:t>
            </w:r>
          </w:p>
        </w:tc>
        <w:tc>
          <w:tcPr>
            <w:tcW w:w="138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4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2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3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99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46"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55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gridAfter w:val="2"/>
          <w:wAfter w:w="641" w:type="dxa"/>
          <w:trHeight w:val="319"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4000" w:type="dxa"/>
            <w:gridSpan w:val="2"/>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rPr>
            </w:pPr>
          </w:p>
        </w:tc>
        <w:tc>
          <w:tcPr>
            <w:tcW w:w="138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4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2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3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99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46"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55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gridAfter w:val="2"/>
          <w:wAfter w:w="641" w:type="dxa"/>
          <w:trHeight w:val="381" w:hRule="atLeast"/>
        </w:trPr>
        <w:tc>
          <w:tcPr>
            <w:tcW w:w="5900"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栏次</w:t>
            </w:r>
          </w:p>
        </w:tc>
        <w:tc>
          <w:tcPr>
            <w:tcW w:w="1389"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1</w:t>
            </w:r>
          </w:p>
        </w:tc>
        <w:tc>
          <w:tcPr>
            <w:tcW w:w="1142"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2</w:t>
            </w:r>
          </w:p>
        </w:tc>
        <w:tc>
          <w:tcPr>
            <w:tcW w:w="102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3</w:t>
            </w:r>
          </w:p>
        </w:tc>
        <w:tc>
          <w:tcPr>
            <w:tcW w:w="1034"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4</w:t>
            </w:r>
          </w:p>
        </w:tc>
        <w:tc>
          <w:tcPr>
            <w:tcW w:w="99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5</w:t>
            </w:r>
          </w:p>
        </w:tc>
        <w:tc>
          <w:tcPr>
            <w:tcW w:w="1046"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6</w:t>
            </w:r>
          </w:p>
        </w:tc>
        <w:tc>
          <w:tcPr>
            <w:tcW w:w="1555"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7</w:t>
            </w:r>
          </w:p>
        </w:tc>
      </w:tr>
      <w:tr>
        <w:tblPrEx>
          <w:tblCellMar>
            <w:top w:w="0" w:type="dxa"/>
            <w:left w:w="0" w:type="dxa"/>
            <w:bottom w:w="0" w:type="dxa"/>
            <w:right w:w="0" w:type="dxa"/>
          </w:tblCellMar>
        </w:tblPrEx>
        <w:trPr>
          <w:gridAfter w:val="2"/>
          <w:wAfter w:w="641" w:type="dxa"/>
          <w:trHeight w:val="381" w:hRule="atLeast"/>
        </w:trPr>
        <w:tc>
          <w:tcPr>
            <w:tcW w:w="5900"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合计</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26,408.03</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10,597.91</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hAnsi="宋体" w:cs="宋体"/>
                <w:color w:val="000000"/>
                <w:kern w:val="0"/>
                <w:sz w:val="22"/>
                <w:szCs w:val="22"/>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hAnsi="宋体" w:cs="宋体"/>
                <w:color w:val="000000"/>
                <w:kern w:val="0"/>
                <w:sz w:val="22"/>
                <w:szCs w:val="22"/>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hAnsi="宋体" w:cs="宋体"/>
                <w:color w:val="000000"/>
                <w:kern w:val="0"/>
                <w:sz w:val="22"/>
                <w:szCs w:val="22"/>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hAnsi="宋体" w:cs="宋体"/>
                <w:color w:val="000000"/>
                <w:kern w:val="0"/>
                <w:sz w:val="22"/>
                <w:szCs w:val="22"/>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15,810.12</w:t>
            </w: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ascii="宋体" w:cs="Times New Roman"/>
                <w:sz w:val="24"/>
                <w:szCs w:val="24"/>
              </w:rPr>
            </w:pPr>
            <w:r>
              <w:rPr>
                <w:rFonts w:hint="eastAsia" w:ascii="宋体" w:hAnsi="宋体" w:cs="宋体"/>
                <w:color w:val="000000"/>
                <w:kern w:val="0"/>
                <w:sz w:val="22"/>
                <w:szCs w:val="22"/>
              </w:rPr>
              <w:t>208</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ascii="宋体" w:cs="Times New Roman"/>
                <w:sz w:val="24"/>
                <w:szCs w:val="24"/>
              </w:rPr>
            </w:pPr>
            <w:r>
              <w:rPr>
                <w:rFonts w:hint="eastAsia" w:ascii="宋体" w:hAnsi="宋体" w:cs="宋体"/>
                <w:color w:val="000000"/>
                <w:kern w:val="0"/>
                <w:sz w:val="22"/>
                <w:szCs w:val="22"/>
              </w:rPr>
              <w:t>社会保障和就业支出</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r>
              <w:rPr>
                <w:rFonts w:hint="eastAsia" w:ascii="宋体" w:hAnsi="宋体" w:cs="宋体"/>
                <w:color w:val="000000"/>
                <w:kern w:val="0"/>
                <w:sz w:val="22"/>
                <w:szCs w:val="22"/>
              </w:rPr>
              <w:t>3.6</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r>
              <w:rPr>
                <w:rFonts w:hint="eastAsia" w:ascii="宋体" w:hAnsi="宋体" w:cs="宋体"/>
                <w:color w:val="000000"/>
                <w:kern w:val="0"/>
                <w:sz w:val="22"/>
                <w:szCs w:val="22"/>
              </w:rPr>
              <w:t>3.6</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ascii="宋体" w:cs="Times New Roman"/>
                <w:sz w:val="24"/>
                <w:szCs w:val="24"/>
              </w:rPr>
            </w:pPr>
            <w:r>
              <w:rPr>
                <w:rFonts w:hint="eastAsia" w:ascii="宋体" w:hAnsi="宋体" w:cs="宋体"/>
                <w:color w:val="000000"/>
                <w:kern w:val="0"/>
                <w:sz w:val="22"/>
                <w:szCs w:val="22"/>
              </w:rPr>
              <w:t>20808</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ascii="宋体" w:cs="Times New Roman"/>
                <w:sz w:val="24"/>
                <w:szCs w:val="24"/>
              </w:rPr>
            </w:pPr>
            <w:r>
              <w:rPr>
                <w:rFonts w:hint="eastAsia" w:ascii="宋体" w:hAnsi="宋体" w:cs="宋体"/>
                <w:color w:val="000000"/>
                <w:kern w:val="0"/>
                <w:sz w:val="22"/>
                <w:szCs w:val="22"/>
              </w:rPr>
              <w:t>抚恤</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华文中宋" w:hAnsi="华文中宋" w:eastAsia="华文中宋" w:cs="Times New Roman"/>
                <w:sz w:val="24"/>
                <w:szCs w:val="24"/>
              </w:rPr>
            </w:pPr>
            <w:r>
              <w:rPr>
                <w:rFonts w:hint="eastAsia" w:ascii="宋体" w:hAnsi="宋体" w:cs="宋体"/>
                <w:color w:val="000000"/>
                <w:kern w:val="0"/>
                <w:sz w:val="22"/>
                <w:szCs w:val="22"/>
              </w:rPr>
              <w:t>3.6</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r>
              <w:rPr>
                <w:rFonts w:hint="eastAsia" w:ascii="宋体" w:hAnsi="宋体" w:cs="宋体"/>
                <w:color w:val="000000"/>
                <w:kern w:val="0"/>
                <w:sz w:val="22"/>
                <w:szCs w:val="22"/>
              </w:rPr>
              <w:t>3.6</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ascii="宋体" w:cs="Times New Roman"/>
                <w:sz w:val="24"/>
                <w:szCs w:val="24"/>
              </w:rPr>
            </w:pPr>
            <w:r>
              <w:rPr>
                <w:rFonts w:hint="eastAsia" w:ascii="宋体" w:hAnsi="宋体" w:cs="宋体"/>
                <w:color w:val="000000"/>
                <w:kern w:val="0"/>
                <w:sz w:val="22"/>
                <w:szCs w:val="22"/>
              </w:rPr>
              <w:t>2080801</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ascii="宋体" w:cs="Times New Roman"/>
                <w:sz w:val="24"/>
                <w:szCs w:val="24"/>
              </w:rPr>
            </w:pPr>
            <w:r>
              <w:rPr>
                <w:rFonts w:hint="eastAsia" w:ascii="宋体" w:hAnsi="宋体" w:cs="宋体"/>
                <w:color w:val="000000"/>
                <w:kern w:val="0"/>
                <w:sz w:val="22"/>
                <w:szCs w:val="22"/>
              </w:rPr>
              <w:t xml:space="preserve">  死亡抚恤</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r>
              <w:rPr>
                <w:rFonts w:hint="eastAsia" w:ascii="宋体" w:hAnsi="宋体" w:cs="宋体"/>
                <w:color w:val="000000"/>
                <w:kern w:val="0"/>
                <w:sz w:val="22"/>
                <w:szCs w:val="22"/>
              </w:rPr>
              <w:t>3.6</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r>
              <w:rPr>
                <w:rFonts w:hint="eastAsia" w:ascii="宋体" w:hAnsi="宋体" w:cs="宋体"/>
                <w:color w:val="000000"/>
                <w:kern w:val="0"/>
                <w:sz w:val="22"/>
                <w:szCs w:val="22"/>
              </w:rPr>
              <w:t>3.6</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ascii="宋体" w:cs="Times New Roman"/>
                <w:sz w:val="24"/>
                <w:szCs w:val="24"/>
              </w:rPr>
            </w:pPr>
            <w:r>
              <w:rPr>
                <w:rFonts w:hint="eastAsia" w:ascii="宋体" w:hAnsi="宋体" w:cs="宋体"/>
                <w:color w:val="000000"/>
                <w:kern w:val="0"/>
                <w:sz w:val="22"/>
                <w:szCs w:val="22"/>
              </w:rPr>
              <w:t>211</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ascii="宋体" w:cs="Times New Roman"/>
                <w:sz w:val="24"/>
                <w:szCs w:val="24"/>
              </w:rPr>
            </w:pPr>
            <w:r>
              <w:rPr>
                <w:rFonts w:hint="eastAsia" w:ascii="宋体" w:hAnsi="宋体" w:cs="宋体"/>
                <w:color w:val="000000"/>
                <w:kern w:val="0"/>
                <w:sz w:val="22"/>
                <w:szCs w:val="22"/>
              </w:rPr>
              <w:t>节能环保支出</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r>
              <w:rPr>
                <w:rFonts w:hint="eastAsia" w:ascii="宋体" w:hAnsi="宋体" w:cs="宋体"/>
                <w:color w:val="000000"/>
                <w:kern w:val="0"/>
                <w:sz w:val="22"/>
                <w:szCs w:val="22"/>
              </w:rPr>
              <w:t>500.00</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r>
              <w:rPr>
                <w:rFonts w:hint="eastAsia" w:ascii="宋体" w:hAnsi="宋体" w:cs="宋体"/>
                <w:color w:val="000000"/>
                <w:kern w:val="0"/>
                <w:sz w:val="22"/>
                <w:szCs w:val="22"/>
              </w:rPr>
              <w:t>500.00</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ascii="宋体" w:cs="Times New Roman"/>
                <w:sz w:val="24"/>
                <w:szCs w:val="24"/>
              </w:rPr>
            </w:pPr>
            <w:r>
              <w:rPr>
                <w:rFonts w:hint="eastAsia" w:ascii="宋体" w:hAnsi="宋体" w:cs="宋体"/>
                <w:color w:val="000000"/>
                <w:kern w:val="0"/>
                <w:sz w:val="22"/>
                <w:szCs w:val="22"/>
              </w:rPr>
              <w:t>21199</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ascii="宋体" w:cs="Times New Roman"/>
                <w:sz w:val="24"/>
                <w:szCs w:val="24"/>
              </w:rPr>
            </w:pPr>
            <w:r>
              <w:rPr>
                <w:rFonts w:hint="eastAsia" w:ascii="宋体" w:hAnsi="宋体" w:cs="宋体"/>
                <w:color w:val="000000"/>
                <w:kern w:val="0"/>
                <w:sz w:val="22"/>
                <w:szCs w:val="22"/>
              </w:rPr>
              <w:t>其他节能环保支出</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r>
              <w:rPr>
                <w:rFonts w:hint="eastAsia" w:ascii="宋体" w:hAnsi="宋体" w:cs="宋体"/>
                <w:color w:val="000000"/>
                <w:kern w:val="0"/>
                <w:sz w:val="22"/>
                <w:szCs w:val="22"/>
              </w:rPr>
              <w:t>500.00</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r>
              <w:rPr>
                <w:rFonts w:hint="eastAsia" w:ascii="宋体" w:hAnsi="宋体" w:cs="宋体"/>
                <w:color w:val="000000"/>
                <w:kern w:val="0"/>
                <w:sz w:val="22"/>
                <w:szCs w:val="22"/>
              </w:rPr>
              <w:t>500.00</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ascii="宋体" w:cs="Times New Roman"/>
                <w:sz w:val="24"/>
                <w:szCs w:val="24"/>
              </w:rPr>
            </w:pPr>
            <w:r>
              <w:rPr>
                <w:rFonts w:hint="eastAsia" w:ascii="宋体" w:hAnsi="宋体" w:cs="宋体"/>
                <w:color w:val="000000"/>
                <w:kern w:val="0"/>
                <w:sz w:val="22"/>
                <w:szCs w:val="22"/>
              </w:rPr>
              <w:t>2119901</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ascii="宋体" w:cs="Times New Roman"/>
                <w:sz w:val="24"/>
                <w:szCs w:val="24"/>
              </w:rPr>
            </w:pPr>
            <w:r>
              <w:rPr>
                <w:rFonts w:hint="eastAsia" w:ascii="宋体" w:hAnsi="宋体" w:cs="宋体"/>
                <w:color w:val="000000"/>
                <w:kern w:val="0"/>
                <w:sz w:val="22"/>
                <w:szCs w:val="22"/>
              </w:rPr>
              <w:t xml:space="preserve">  其他节能环保支出</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r>
              <w:rPr>
                <w:rFonts w:hint="eastAsia" w:ascii="宋体" w:hAnsi="宋体" w:cs="宋体"/>
                <w:color w:val="000000"/>
                <w:kern w:val="0"/>
                <w:sz w:val="22"/>
                <w:szCs w:val="22"/>
              </w:rPr>
              <w:t>500.00</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r>
              <w:rPr>
                <w:rFonts w:hint="eastAsia" w:ascii="宋体" w:hAnsi="宋体" w:cs="宋体"/>
                <w:color w:val="000000"/>
                <w:kern w:val="0"/>
                <w:sz w:val="22"/>
                <w:szCs w:val="22"/>
              </w:rPr>
              <w:t>500.00</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ascii="宋体" w:cs="Times New Roman"/>
                <w:sz w:val="24"/>
                <w:szCs w:val="24"/>
              </w:rPr>
            </w:pP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212</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城乡社区支出</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25,903.19</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10,093.07</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15,810.12</w:t>
            </w: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21201</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城乡社区管理事务</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25,903.19</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10,093.07</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15,810.12</w:t>
            </w: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2120101</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 xml:space="preserve">  行政运行</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1,562.64</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1,562.64</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2120102</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 xml:space="preserve">  一般行政管理事务</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1,678.45</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1,678.45</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2120199</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 xml:space="preserve">  其他城乡社区管理事务支出</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22,662.1</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6,851.98</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15,810.12</w:t>
            </w: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234</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抗疫特别国债安排的支出</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1.24</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1.24</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23402</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抗疫相关支出</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1.24</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1.24</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r>
      <w:tr>
        <w:tblPrEx>
          <w:tblCellMar>
            <w:top w:w="0" w:type="dxa"/>
            <w:left w:w="0" w:type="dxa"/>
            <w:bottom w:w="0" w:type="dxa"/>
            <w:right w:w="0" w:type="dxa"/>
          </w:tblCellMar>
        </w:tblPrEx>
        <w:trPr>
          <w:gridAfter w:val="2"/>
          <w:wAfter w:w="641" w:type="dxa"/>
          <w:trHeight w:val="381"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2340299</w:t>
            </w:r>
          </w:p>
        </w:tc>
        <w:tc>
          <w:tcPr>
            <w:tcW w:w="400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widowControl/>
              <w:jc w:val="left"/>
              <w:textAlignment w:val="center"/>
              <w:rPr>
                <w:rFonts w:cs="宋体"/>
              </w:rPr>
            </w:pPr>
            <w:r>
              <w:rPr>
                <w:rFonts w:hint="eastAsia" w:ascii="宋体" w:hAnsi="宋体" w:cs="宋体"/>
                <w:color w:val="000000"/>
                <w:kern w:val="0"/>
                <w:sz w:val="22"/>
                <w:szCs w:val="22"/>
              </w:rPr>
              <w:t xml:space="preserve">  其他抗疫相关支出</w:t>
            </w:r>
          </w:p>
        </w:tc>
        <w:tc>
          <w:tcPr>
            <w:tcW w:w="138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1.24</w:t>
            </w:r>
          </w:p>
        </w:tc>
        <w:tc>
          <w:tcPr>
            <w:tcW w:w="1142"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r>
              <w:rPr>
                <w:rFonts w:hint="eastAsia" w:ascii="宋体" w:hAnsi="宋体" w:cs="宋体"/>
                <w:color w:val="000000"/>
                <w:kern w:val="0"/>
                <w:sz w:val="22"/>
                <w:szCs w:val="22"/>
              </w:rPr>
              <w:t>1.24</w:t>
            </w:r>
          </w:p>
        </w:tc>
        <w:tc>
          <w:tcPr>
            <w:tcW w:w="1025" w:type="dxa"/>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34"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99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046"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c>
          <w:tcPr>
            <w:tcW w:w="1555"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widowControl/>
              <w:jc w:val="right"/>
              <w:textAlignment w:val="center"/>
              <w:rPr>
                <w:rFonts w:cs="宋体"/>
              </w:rPr>
            </w:pPr>
          </w:p>
        </w:tc>
      </w:tr>
      <w:tr>
        <w:tblPrEx>
          <w:tblCellMar>
            <w:top w:w="0" w:type="dxa"/>
            <w:left w:w="0" w:type="dxa"/>
            <w:bottom w:w="0" w:type="dxa"/>
            <w:right w:w="0" w:type="dxa"/>
          </w:tblCellMar>
        </w:tblPrEx>
        <w:trPr>
          <w:gridAfter w:val="2"/>
          <w:wAfter w:w="641" w:type="dxa"/>
          <w:trHeight w:val="615" w:hRule="atLeast"/>
        </w:trPr>
        <w:tc>
          <w:tcPr>
            <w:tcW w:w="14084" w:type="dxa"/>
            <w:gridSpan w:val="17"/>
            <w:tcBorders>
              <w:top w:val="nil"/>
              <w:left w:val="nil"/>
              <w:bottom w:val="nil"/>
              <w:right w:val="nil"/>
            </w:tcBorders>
            <w:tcMar>
              <w:top w:w="15" w:type="dxa"/>
              <w:left w:w="15" w:type="dxa"/>
              <w:bottom w:w="0" w:type="dxa"/>
              <w:right w:w="15" w:type="dxa"/>
            </w:tcMar>
            <w:vAlign w:val="center"/>
          </w:tcPr>
          <w:p>
            <w:pPr>
              <w:spacing w:line="280" w:lineRule="exact"/>
              <w:rPr>
                <w:rFonts w:ascii="宋体" w:cs="Times New Roman"/>
                <w:sz w:val="24"/>
                <w:szCs w:val="24"/>
              </w:rPr>
            </w:pPr>
            <w:r>
              <w:rPr>
                <w:rFonts w:hint="eastAsia" w:cs="宋体"/>
              </w:rPr>
              <w:t>注：本表反映部门本年度取得的各项收入情况。</w:t>
            </w:r>
          </w:p>
        </w:tc>
      </w:tr>
    </w:tbl>
    <w:p>
      <w:pPr>
        <w:widowControl/>
        <w:spacing w:line="120" w:lineRule="exact"/>
        <w:ind w:left="91"/>
        <w:jc w:val="center"/>
        <w:rPr>
          <w:rFonts w:ascii="Times New Roman" w:hAnsi="Times New Roman" w:eastAsia="方正小标宋_GBK" w:cs="Times New Roman"/>
          <w:color w:val="000000"/>
          <w:kern w:val="0"/>
          <w:sz w:val="36"/>
          <w:szCs w:val="36"/>
        </w:rPr>
      </w:pPr>
    </w:p>
    <w:tbl>
      <w:tblPr>
        <w:tblStyle w:val="6"/>
        <w:tblW w:w="15363" w:type="dxa"/>
        <w:tblInd w:w="-127" w:type="dxa"/>
        <w:tblLayout w:type="fixed"/>
        <w:tblCellMar>
          <w:top w:w="0" w:type="dxa"/>
          <w:left w:w="108" w:type="dxa"/>
          <w:bottom w:w="0" w:type="dxa"/>
          <w:right w:w="108" w:type="dxa"/>
        </w:tblCellMar>
      </w:tblPr>
      <w:tblGrid>
        <w:gridCol w:w="21"/>
        <w:gridCol w:w="659"/>
        <w:gridCol w:w="974"/>
        <w:gridCol w:w="1963"/>
        <w:gridCol w:w="436"/>
        <w:gridCol w:w="860"/>
        <w:gridCol w:w="567"/>
        <w:gridCol w:w="1483"/>
        <w:gridCol w:w="1673"/>
        <w:gridCol w:w="255"/>
        <w:gridCol w:w="624"/>
        <w:gridCol w:w="8"/>
        <w:gridCol w:w="236"/>
        <w:gridCol w:w="285"/>
        <w:gridCol w:w="964"/>
        <w:gridCol w:w="244"/>
        <w:gridCol w:w="431"/>
        <w:gridCol w:w="719"/>
        <w:gridCol w:w="244"/>
        <w:gridCol w:w="322"/>
        <w:gridCol w:w="734"/>
        <w:gridCol w:w="244"/>
        <w:gridCol w:w="478"/>
        <w:gridCol w:w="695"/>
        <w:gridCol w:w="244"/>
      </w:tblGrid>
      <w:tr>
        <w:tblPrEx>
          <w:tblCellMar>
            <w:top w:w="0" w:type="dxa"/>
            <w:left w:w="108" w:type="dxa"/>
            <w:bottom w:w="0" w:type="dxa"/>
            <w:right w:w="108" w:type="dxa"/>
          </w:tblCellMar>
        </w:tblPrEx>
        <w:trPr>
          <w:gridAfter w:val="2"/>
          <w:wAfter w:w="939" w:type="dxa"/>
          <w:trHeight w:val="435" w:hRule="atLeast"/>
        </w:trPr>
        <w:tc>
          <w:tcPr>
            <w:tcW w:w="14424" w:type="dxa"/>
            <w:gridSpan w:val="23"/>
            <w:tcBorders>
              <w:top w:val="nil"/>
              <w:left w:val="nil"/>
              <w:bottom w:val="nil"/>
              <w:right w:val="nil"/>
            </w:tcBorders>
            <w:vAlign w:val="center"/>
          </w:tcPr>
          <w:p>
            <w:pPr>
              <w:widowControl/>
              <w:jc w:val="center"/>
              <w:rPr>
                <w:rFonts w:ascii="华文中宋" w:hAnsi="华文中宋" w:eastAsia="华文中宋" w:cs="Times New Roman"/>
                <w:color w:val="000000"/>
                <w:kern w:val="0"/>
                <w:sz w:val="32"/>
                <w:szCs w:val="32"/>
              </w:rPr>
            </w:pPr>
            <w:r>
              <w:rPr>
                <w:rFonts w:ascii="Times New Roman" w:hAnsi="Times New Roman" w:eastAsia="黑体" w:cs="Times New Roman"/>
                <w:kern w:val="0"/>
                <w:sz w:val="32"/>
                <w:szCs w:val="32"/>
              </w:rPr>
              <w:br w:type="page"/>
            </w: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gridAfter w:val="2"/>
          <w:wAfter w:w="939" w:type="dxa"/>
          <w:trHeight w:val="285" w:hRule="atLeast"/>
        </w:trPr>
        <w:tc>
          <w:tcPr>
            <w:tcW w:w="680" w:type="dxa"/>
            <w:gridSpan w:val="2"/>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974"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259"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050" w:type="dxa"/>
            <w:gridSpan w:val="2"/>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3"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08" w:type="dxa"/>
            <w:gridSpan w:val="5"/>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39"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6" w:type="dxa"/>
            <w:gridSpan w:val="3"/>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gridAfter w:val="2"/>
          <w:wAfter w:w="939" w:type="dxa"/>
          <w:trHeight w:val="285" w:hRule="atLeast"/>
        </w:trPr>
        <w:tc>
          <w:tcPr>
            <w:tcW w:w="1654" w:type="dxa"/>
            <w:gridSpan w:val="3"/>
            <w:tcBorders>
              <w:top w:val="nil"/>
              <w:left w:val="nil"/>
              <w:bottom w:val="nil"/>
              <w:right w:val="nil"/>
            </w:tcBorders>
            <w:shd w:val="clear" w:color="000000" w:fill="FFFFFF"/>
            <w:vAlign w:val="center"/>
          </w:tcPr>
          <w:p>
            <w:pPr>
              <w:widowControl/>
              <w:jc w:val="left"/>
              <w:rPr>
                <w:rFonts w:ascii="宋体" w:cs="Times New Roman"/>
                <w:kern w:val="0"/>
                <w:sz w:val="24"/>
                <w:szCs w:val="24"/>
              </w:rPr>
            </w:pPr>
            <w:r>
              <w:rPr>
                <w:rFonts w:hint="eastAsia" w:ascii="宋体" w:hAnsi="宋体" w:cs="宋体"/>
                <w:color w:val="000000"/>
                <w:kern w:val="0"/>
                <w:sz w:val="20"/>
                <w:szCs w:val="20"/>
              </w:rPr>
              <w:t>部门：</w:t>
            </w:r>
            <w:r>
              <w:rPr>
                <w:rFonts w:hint="eastAsia" w:ascii="宋体" w:hAnsi="宋体" w:cs="宋体"/>
                <w:kern w:val="0"/>
                <w:sz w:val="24"/>
                <w:szCs w:val="24"/>
              </w:rPr>
              <w:t>　</w:t>
            </w:r>
            <w:r>
              <w:rPr>
                <w:rFonts w:hint="eastAsia" w:ascii="宋体" w:hAnsi="宋体" w:cs="宋体"/>
                <w:color w:val="000000"/>
                <w:kern w:val="0"/>
                <w:sz w:val="20"/>
                <w:szCs w:val="20"/>
              </w:rPr>
              <w:t>湘潭县城市管理和综合执法局</w:t>
            </w:r>
          </w:p>
        </w:tc>
        <w:tc>
          <w:tcPr>
            <w:tcW w:w="3259"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050" w:type="dxa"/>
            <w:gridSpan w:val="2"/>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3"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08" w:type="dxa"/>
            <w:gridSpan w:val="5"/>
            <w:tcBorders>
              <w:top w:val="nil"/>
              <w:left w:val="nil"/>
              <w:bottom w:val="nil"/>
              <w:right w:val="nil"/>
            </w:tcBorders>
            <w:shd w:val="clear" w:color="000000" w:fill="FFFFFF"/>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639"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6" w:type="dxa"/>
            <w:gridSpan w:val="3"/>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gridAfter w:val="2"/>
          <w:wAfter w:w="939" w:type="dxa"/>
          <w:trHeight w:val="450" w:hRule="atLeast"/>
        </w:trPr>
        <w:tc>
          <w:tcPr>
            <w:tcW w:w="4913"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w:t>
            </w:r>
          </w:p>
        </w:tc>
        <w:tc>
          <w:tcPr>
            <w:tcW w:w="205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67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1408" w:type="dxa"/>
            <w:gridSpan w:val="5"/>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c>
          <w:tcPr>
            <w:tcW w:w="1639"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285"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经营支出</w:t>
            </w:r>
          </w:p>
        </w:tc>
        <w:tc>
          <w:tcPr>
            <w:tcW w:w="1456"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gridAfter w:val="2"/>
          <w:wAfter w:w="939" w:type="dxa"/>
          <w:trHeight w:val="450" w:hRule="atLeast"/>
        </w:trPr>
        <w:tc>
          <w:tcPr>
            <w:tcW w:w="1654"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3259" w:type="dxa"/>
            <w:gridSpan w:val="3"/>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05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408"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3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456"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gridAfter w:val="2"/>
          <w:wAfter w:w="939" w:type="dxa"/>
          <w:trHeight w:val="319" w:hRule="atLeast"/>
        </w:trPr>
        <w:tc>
          <w:tcPr>
            <w:tcW w:w="1654"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3259"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05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408"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3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456"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gridAfter w:val="2"/>
          <w:wAfter w:w="939" w:type="dxa"/>
          <w:trHeight w:val="384" w:hRule="atLeast"/>
        </w:trPr>
        <w:tc>
          <w:tcPr>
            <w:tcW w:w="4913"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050"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673"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408" w:type="dxa"/>
            <w:gridSpan w:val="5"/>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639" w:type="dxa"/>
            <w:gridSpan w:val="3"/>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285" w:type="dxa"/>
            <w:gridSpan w:val="3"/>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5</w:t>
            </w:r>
          </w:p>
        </w:tc>
        <w:tc>
          <w:tcPr>
            <w:tcW w:w="1456" w:type="dxa"/>
            <w:gridSpan w:val="3"/>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6</w:t>
            </w:r>
          </w:p>
        </w:tc>
      </w:tr>
      <w:tr>
        <w:tblPrEx>
          <w:tblCellMar>
            <w:top w:w="0" w:type="dxa"/>
            <w:left w:w="108" w:type="dxa"/>
            <w:bottom w:w="0" w:type="dxa"/>
            <w:right w:w="108" w:type="dxa"/>
          </w:tblCellMar>
        </w:tblPrEx>
        <w:trPr>
          <w:gridAfter w:val="2"/>
          <w:wAfter w:w="939" w:type="dxa"/>
          <w:trHeight w:val="384" w:hRule="atLeast"/>
        </w:trPr>
        <w:tc>
          <w:tcPr>
            <w:tcW w:w="4913"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26,400.65</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2,085.58</w:t>
            </w: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24,315.07</w:t>
            </w:r>
          </w:p>
        </w:tc>
        <w:tc>
          <w:tcPr>
            <w:tcW w:w="1639"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cs="Times New Roman"/>
                <w:kern w:val="0"/>
                <w:sz w:val="24"/>
                <w:szCs w:val="24"/>
              </w:rPr>
            </w:pPr>
            <w:r>
              <w:rPr>
                <w:rFonts w:hint="eastAsia" w:ascii="宋体" w:hAnsi="宋体" w:cs="宋体"/>
                <w:color w:val="000000"/>
                <w:kern w:val="0"/>
                <w:sz w:val="22"/>
                <w:szCs w:val="22"/>
              </w:rPr>
              <w:t>208</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cs="Times New Roman"/>
                <w:kern w:val="0"/>
                <w:sz w:val="24"/>
                <w:szCs w:val="24"/>
              </w:rPr>
            </w:pPr>
            <w:r>
              <w:rPr>
                <w:rFonts w:hint="eastAsia" w:ascii="宋体" w:hAnsi="宋体" w:cs="宋体"/>
                <w:color w:val="000000"/>
                <w:kern w:val="0"/>
                <w:sz w:val="22"/>
                <w:szCs w:val="22"/>
              </w:rPr>
              <w:t>社会保障和就业支出</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r>
              <w:rPr>
                <w:rFonts w:hint="eastAsia" w:ascii="宋体" w:hAnsi="宋体" w:cs="宋体"/>
                <w:color w:val="000000"/>
                <w:kern w:val="0"/>
                <w:sz w:val="22"/>
                <w:szCs w:val="22"/>
              </w:rPr>
              <w:t>3.6</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r>
              <w:rPr>
                <w:rFonts w:hint="eastAsia" w:ascii="宋体" w:hAnsi="宋体" w:cs="宋体"/>
                <w:color w:val="000000"/>
                <w:kern w:val="0"/>
                <w:sz w:val="22"/>
                <w:szCs w:val="22"/>
              </w:rPr>
              <w:t>3.6</w:t>
            </w: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p>
        </w:tc>
        <w:tc>
          <w:tcPr>
            <w:tcW w:w="1639"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cs="Times New Roman"/>
                <w:kern w:val="0"/>
                <w:sz w:val="24"/>
                <w:szCs w:val="24"/>
              </w:rPr>
            </w:pPr>
            <w:r>
              <w:rPr>
                <w:rFonts w:hint="eastAsia" w:ascii="宋体" w:hAnsi="宋体" w:cs="宋体"/>
                <w:color w:val="000000"/>
                <w:kern w:val="0"/>
                <w:sz w:val="22"/>
                <w:szCs w:val="22"/>
              </w:rPr>
              <w:t>20808</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cs="Times New Roman"/>
                <w:kern w:val="0"/>
                <w:sz w:val="24"/>
                <w:szCs w:val="24"/>
              </w:rPr>
            </w:pPr>
            <w:r>
              <w:rPr>
                <w:rFonts w:hint="eastAsia" w:ascii="宋体" w:hAnsi="宋体" w:cs="宋体"/>
                <w:color w:val="000000"/>
                <w:kern w:val="0"/>
                <w:sz w:val="22"/>
                <w:szCs w:val="22"/>
              </w:rPr>
              <w:t>抚恤</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r>
              <w:rPr>
                <w:rFonts w:hint="eastAsia" w:ascii="宋体" w:hAnsi="宋体" w:cs="宋体"/>
                <w:color w:val="000000"/>
                <w:kern w:val="0"/>
                <w:sz w:val="22"/>
                <w:szCs w:val="22"/>
              </w:rPr>
              <w:t>3.6</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r>
              <w:rPr>
                <w:rFonts w:hint="eastAsia" w:ascii="宋体" w:hAnsi="宋体" w:cs="宋体"/>
                <w:color w:val="000000"/>
                <w:kern w:val="0"/>
                <w:sz w:val="22"/>
                <w:szCs w:val="22"/>
              </w:rPr>
              <w:t>3.6</w:t>
            </w: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p>
        </w:tc>
        <w:tc>
          <w:tcPr>
            <w:tcW w:w="1639"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cs="Times New Roman"/>
                <w:kern w:val="0"/>
                <w:sz w:val="24"/>
                <w:szCs w:val="24"/>
              </w:rPr>
            </w:pPr>
            <w:r>
              <w:rPr>
                <w:rFonts w:hint="eastAsia" w:ascii="宋体" w:hAnsi="宋体" w:cs="宋体"/>
                <w:color w:val="000000"/>
                <w:kern w:val="0"/>
                <w:sz w:val="22"/>
                <w:szCs w:val="22"/>
              </w:rPr>
              <w:t>2080801</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cs="Times New Roman"/>
                <w:kern w:val="0"/>
                <w:sz w:val="24"/>
                <w:szCs w:val="24"/>
              </w:rPr>
            </w:pPr>
            <w:r>
              <w:rPr>
                <w:rFonts w:hint="eastAsia" w:ascii="宋体" w:hAnsi="宋体" w:cs="宋体"/>
                <w:color w:val="000000"/>
                <w:kern w:val="0"/>
                <w:sz w:val="22"/>
                <w:szCs w:val="22"/>
              </w:rPr>
              <w:t xml:space="preserve">  死亡抚恤</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r>
              <w:rPr>
                <w:rFonts w:hint="eastAsia" w:ascii="宋体" w:hAnsi="宋体" w:cs="宋体"/>
                <w:color w:val="000000"/>
                <w:kern w:val="0"/>
                <w:sz w:val="22"/>
                <w:szCs w:val="22"/>
              </w:rPr>
              <w:t>3.6</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r>
              <w:rPr>
                <w:rFonts w:hint="eastAsia" w:ascii="宋体" w:hAnsi="宋体" w:cs="宋体"/>
                <w:color w:val="000000"/>
                <w:kern w:val="0"/>
                <w:sz w:val="22"/>
                <w:szCs w:val="22"/>
              </w:rPr>
              <w:t>3.6</w:t>
            </w: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p>
        </w:tc>
        <w:tc>
          <w:tcPr>
            <w:tcW w:w="1639"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cs="Times New Roman"/>
                <w:kern w:val="0"/>
                <w:sz w:val="24"/>
                <w:szCs w:val="24"/>
              </w:rPr>
            </w:pPr>
            <w:r>
              <w:rPr>
                <w:rFonts w:hint="eastAsia" w:ascii="宋体" w:hAnsi="宋体" w:cs="宋体"/>
                <w:color w:val="000000"/>
                <w:kern w:val="0"/>
                <w:sz w:val="22"/>
                <w:szCs w:val="22"/>
              </w:rPr>
              <w:t>211</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cs="Times New Roman"/>
                <w:kern w:val="0"/>
                <w:sz w:val="24"/>
                <w:szCs w:val="24"/>
              </w:rPr>
            </w:pPr>
            <w:r>
              <w:rPr>
                <w:rFonts w:hint="eastAsia" w:ascii="宋体" w:hAnsi="宋体" w:cs="宋体"/>
                <w:color w:val="000000"/>
                <w:kern w:val="0"/>
                <w:sz w:val="22"/>
                <w:szCs w:val="22"/>
              </w:rPr>
              <w:t>节能环保支出</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r>
              <w:rPr>
                <w:rFonts w:hint="eastAsia" w:ascii="宋体" w:hAnsi="宋体" w:cs="宋体"/>
                <w:color w:val="000000"/>
                <w:kern w:val="0"/>
                <w:sz w:val="22"/>
                <w:szCs w:val="22"/>
              </w:rPr>
              <w:t>500.00</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r>
              <w:rPr>
                <w:rFonts w:hint="eastAsia" w:ascii="宋体" w:hAnsi="宋体" w:cs="宋体"/>
                <w:color w:val="000000"/>
                <w:kern w:val="0"/>
                <w:sz w:val="22"/>
                <w:szCs w:val="22"/>
              </w:rPr>
              <w:t>500.00</w:t>
            </w:r>
          </w:p>
        </w:tc>
        <w:tc>
          <w:tcPr>
            <w:tcW w:w="1639"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cs="Times New Roman"/>
                <w:kern w:val="0"/>
                <w:sz w:val="24"/>
                <w:szCs w:val="24"/>
              </w:rPr>
            </w:pPr>
            <w:r>
              <w:rPr>
                <w:rFonts w:hint="eastAsia" w:ascii="宋体" w:hAnsi="宋体" w:cs="宋体"/>
                <w:color w:val="000000"/>
                <w:kern w:val="0"/>
                <w:sz w:val="22"/>
                <w:szCs w:val="22"/>
              </w:rPr>
              <w:t>21199</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cs="Times New Roman"/>
                <w:kern w:val="0"/>
                <w:sz w:val="24"/>
                <w:szCs w:val="24"/>
              </w:rPr>
            </w:pPr>
            <w:r>
              <w:rPr>
                <w:rFonts w:hint="eastAsia" w:ascii="宋体" w:hAnsi="宋体" w:cs="宋体"/>
                <w:color w:val="000000"/>
                <w:kern w:val="0"/>
                <w:sz w:val="22"/>
                <w:szCs w:val="22"/>
              </w:rPr>
              <w:t>其他节能环保支出</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r>
              <w:rPr>
                <w:rFonts w:hint="eastAsia" w:ascii="宋体" w:hAnsi="宋体" w:cs="宋体"/>
                <w:color w:val="000000"/>
                <w:kern w:val="0"/>
                <w:sz w:val="22"/>
                <w:szCs w:val="22"/>
              </w:rPr>
              <w:t>500.00</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r>
              <w:rPr>
                <w:rFonts w:hint="eastAsia" w:ascii="宋体" w:hAnsi="宋体" w:cs="宋体"/>
                <w:color w:val="000000"/>
                <w:kern w:val="0"/>
                <w:sz w:val="22"/>
                <w:szCs w:val="22"/>
              </w:rPr>
              <w:t>500.00</w:t>
            </w:r>
          </w:p>
        </w:tc>
        <w:tc>
          <w:tcPr>
            <w:tcW w:w="1639"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cs="Times New Roman"/>
                <w:kern w:val="0"/>
                <w:sz w:val="24"/>
                <w:szCs w:val="24"/>
              </w:rPr>
            </w:pPr>
            <w:r>
              <w:rPr>
                <w:rFonts w:hint="eastAsia" w:ascii="宋体" w:hAnsi="宋体" w:cs="宋体"/>
                <w:color w:val="000000"/>
                <w:kern w:val="0"/>
                <w:sz w:val="22"/>
                <w:szCs w:val="22"/>
              </w:rPr>
              <w:t>2119901</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cs="Times New Roman"/>
                <w:kern w:val="0"/>
                <w:sz w:val="24"/>
                <w:szCs w:val="24"/>
              </w:rPr>
            </w:pPr>
            <w:r>
              <w:rPr>
                <w:rFonts w:hint="eastAsia" w:ascii="宋体" w:hAnsi="宋体" w:cs="宋体"/>
                <w:color w:val="000000"/>
                <w:kern w:val="0"/>
                <w:sz w:val="22"/>
                <w:szCs w:val="22"/>
              </w:rPr>
              <w:t xml:space="preserve">  其他节能环保支出</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r>
              <w:rPr>
                <w:rFonts w:hint="eastAsia" w:ascii="宋体" w:hAnsi="宋体" w:cs="宋体"/>
                <w:color w:val="000000"/>
                <w:kern w:val="0"/>
                <w:sz w:val="22"/>
                <w:szCs w:val="22"/>
              </w:rPr>
              <w:t>500.00</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4"/>
                <w:szCs w:val="24"/>
              </w:rPr>
            </w:pPr>
            <w:r>
              <w:rPr>
                <w:rFonts w:hint="eastAsia" w:ascii="宋体" w:hAnsi="宋体" w:cs="宋体"/>
                <w:color w:val="000000"/>
                <w:kern w:val="0"/>
                <w:sz w:val="22"/>
                <w:szCs w:val="22"/>
              </w:rPr>
              <w:t>500.00</w:t>
            </w:r>
          </w:p>
        </w:tc>
        <w:tc>
          <w:tcPr>
            <w:tcW w:w="1639"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6"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212</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城乡社区支出</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25,895.81</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2,081.98</w:t>
            </w: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23,813.83</w:t>
            </w:r>
          </w:p>
        </w:tc>
        <w:tc>
          <w:tcPr>
            <w:tcW w:w="1639"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285"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456"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21201</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城乡社区管理事务</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25,895.81</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2,081.98</w:t>
            </w: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23,813.83</w:t>
            </w:r>
          </w:p>
        </w:tc>
        <w:tc>
          <w:tcPr>
            <w:tcW w:w="1639"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285"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456"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2120101</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 xml:space="preserve">  行政运行</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1,562.64</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1,562.64</w:t>
            </w: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p>
        </w:tc>
        <w:tc>
          <w:tcPr>
            <w:tcW w:w="1639"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285"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456"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2120102</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 xml:space="preserve">  一般行政管理事务</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1,678.45</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519.34</w:t>
            </w: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1,159.11</w:t>
            </w:r>
          </w:p>
        </w:tc>
        <w:tc>
          <w:tcPr>
            <w:tcW w:w="1639"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285"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456"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2120199</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 xml:space="preserve">  其他城乡社区管理事务支出</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22,654.72</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22,654.72</w:t>
            </w:r>
          </w:p>
        </w:tc>
        <w:tc>
          <w:tcPr>
            <w:tcW w:w="1639"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285"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456"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234</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抗疫特别国债安排的支出</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1.24</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1.24</w:t>
            </w:r>
          </w:p>
        </w:tc>
        <w:tc>
          <w:tcPr>
            <w:tcW w:w="1639"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285"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456"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23402</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抗疫相关支出</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1.24</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1.24</w:t>
            </w:r>
          </w:p>
        </w:tc>
        <w:tc>
          <w:tcPr>
            <w:tcW w:w="1639"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285"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456"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gridAfter w:val="2"/>
          <w:wAfter w:w="939" w:type="dxa"/>
          <w:trHeight w:val="384" w:hRule="atLeast"/>
        </w:trPr>
        <w:tc>
          <w:tcPr>
            <w:tcW w:w="165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2340299</w:t>
            </w:r>
          </w:p>
        </w:tc>
        <w:tc>
          <w:tcPr>
            <w:tcW w:w="3259" w:type="dxa"/>
            <w:gridSpan w:val="3"/>
            <w:tcBorders>
              <w:top w:val="nil"/>
              <w:left w:val="nil"/>
              <w:bottom w:val="single" w:color="auto" w:sz="4" w:space="0"/>
              <w:right w:val="single" w:color="auto" w:sz="4" w:space="0"/>
            </w:tcBorders>
            <w:shd w:val="clear" w:color="000000" w:fill="FFFFFF"/>
            <w:vAlign w:val="center"/>
          </w:tcPr>
          <w:p>
            <w:pPr>
              <w:widowControl/>
              <w:jc w:val="left"/>
              <w:textAlignment w:val="center"/>
              <w:rPr>
                <w:rFonts w:ascii="宋体" w:hAnsi="宋体" w:cs="宋体"/>
                <w:kern w:val="0"/>
                <w:sz w:val="24"/>
                <w:szCs w:val="24"/>
              </w:rPr>
            </w:pPr>
            <w:r>
              <w:rPr>
                <w:rFonts w:hint="eastAsia" w:ascii="宋体" w:hAnsi="宋体" w:cs="宋体"/>
                <w:color w:val="000000"/>
                <w:kern w:val="0"/>
                <w:sz w:val="22"/>
                <w:szCs w:val="22"/>
              </w:rPr>
              <w:t xml:space="preserve">  其他抗疫相关支出</w:t>
            </w:r>
          </w:p>
        </w:tc>
        <w:tc>
          <w:tcPr>
            <w:tcW w:w="2050" w:type="dxa"/>
            <w:gridSpan w:val="2"/>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1.24</w:t>
            </w:r>
          </w:p>
        </w:tc>
        <w:tc>
          <w:tcPr>
            <w:tcW w:w="1673" w:type="dxa"/>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p>
        </w:tc>
        <w:tc>
          <w:tcPr>
            <w:tcW w:w="1408" w:type="dxa"/>
            <w:gridSpan w:val="5"/>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4"/>
                <w:szCs w:val="24"/>
              </w:rPr>
            </w:pPr>
            <w:r>
              <w:rPr>
                <w:rFonts w:hint="eastAsia" w:ascii="宋体" w:hAnsi="宋体" w:cs="宋体"/>
                <w:color w:val="000000"/>
                <w:kern w:val="0"/>
                <w:sz w:val="22"/>
                <w:szCs w:val="22"/>
              </w:rPr>
              <w:t>1.24</w:t>
            </w:r>
          </w:p>
        </w:tc>
        <w:tc>
          <w:tcPr>
            <w:tcW w:w="1639"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285"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c>
          <w:tcPr>
            <w:tcW w:w="1456" w:type="dxa"/>
            <w:gridSpan w:val="3"/>
            <w:tcBorders>
              <w:top w:val="nil"/>
              <w:left w:val="nil"/>
              <w:bottom w:val="single" w:color="auto" w:sz="4" w:space="0"/>
              <w:right w:val="single" w:color="auto" w:sz="4" w:space="0"/>
            </w:tcBorders>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gridAfter w:val="2"/>
          <w:wAfter w:w="939" w:type="dxa"/>
          <w:trHeight w:val="630" w:hRule="atLeast"/>
        </w:trPr>
        <w:tc>
          <w:tcPr>
            <w:tcW w:w="14424" w:type="dxa"/>
            <w:gridSpan w:val="23"/>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r>
        <w:tblPrEx>
          <w:tblCellMar>
            <w:top w:w="0" w:type="dxa"/>
            <w:left w:w="108" w:type="dxa"/>
            <w:bottom w:w="0" w:type="dxa"/>
            <w:right w:w="108" w:type="dxa"/>
          </w:tblCellMar>
        </w:tblPrEx>
        <w:trPr>
          <w:gridBefore w:val="1"/>
          <w:gridAfter w:val="1"/>
          <w:wBefore w:w="21" w:type="dxa"/>
          <w:wAfter w:w="244" w:type="dxa"/>
          <w:trHeight w:val="360" w:hRule="atLeast"/>
        </w:trPr>
        <w:tc>
          <w:tcPr>
            <w:tcW w:w="15098" w:type="dxa"/>
            <w:gridSpan w:val="23"/>
            <w:tcBorders>
              <w:top w:val="nil"/>
              <w:left w:val="nil"/>
              <w:bottom w:val="nil"/>
              <w:right w:val="nil"/>
            </w:tcBorders>
            <w:vAlign w:val="center"/>
          </w:tcPr>
          <w:p>
            <w:pPr>
              <w:widowControl/>
              <w:jc w:val="center"/>
              <w:rPr>
                <w:rFonts w:ascii="华文中宋" w:hAnsi="华文中宋" w:eastAsia="华文中宋" w:cs="Times New Roman"/>
                <w:color w:val="000000"/>
                <w:kern w:val="0"/>
                <w:sz w:val="32"/>
                <w:szCs w:val="32"/>
              </w:rPr>
            </w:pPr>
            <w:bookmarkStart w:id="0" w:name="RANGE_A1_I22"/>
            <w:bookmarkEnd w:id="0"/>
            <w:bookmarkStart w:id="1" w:name="RANGE_A1_F16"/>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gridBefore w:val="1"/>
          <w:wBefore w:w="21" w:type="dxa"/>
          <w:trHeight w:val="199" w:hRule="atLeast"/>
        </w:trPr>
        <w:tc>
          <w:tcPr>
            <w:tcW w:w="3596"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27" w:type="dxa"/>
            <w:gridSpan w:val="2"/>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5"/>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6"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93"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00"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17" w:type="dxa"/>
            <w:gridSpan w:val="3"/>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gridBefore w:val="1"/>
          <w:wBefore w:w="21" w:type="dxa"/>
          <w:trHeight w:val="300" w:hRule="atLeast"/>
        </w:trPr>
        <w:tc>
          <w:tcPr>
            <w:tcW w:w="3596" w:type="dxa"/>
            <w:gridSpan w:val="3"/>
            <w:tcBorders>
              <w:top w:val="nil"/>
              <w:left w:val="nil"/>
              <w:bottom w:val="nil"/>
              <w:right w:val="nil"/>
            </w:tcBorders>
            <w:shd w:val="clear" w:color="000000" w:fill="FFFFFF"/>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部门：湘潭县城市管理和综合执法局</w:t>
            </w:r>
          </w:p>
        </w:tc>
        <w:tc>
          <w:tcPr>
            <w:tcW w:w="436"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27" w:type="dxa"/>
            <w:gridSpan w:val="2"/>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5"/>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6"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93"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00"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17" w:type="dxa"/>
            <w:gridSpan w:val="3"/>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5459"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9639" w:type="dxa"/>
            <w:gridSpan w:val="17"/>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gridBefore w:val="1"/>
          <w:gridAfter w:val="1"/>
          <w:wBefore w:w="21" w:type="dxa"/>
          <w:wAfter w:w="244" w:type="dxa"/>
          <w:trHeight w:val="630"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42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w:t>
            </w:r>
          </w:p>
        </w:tc>
        <w:tc>
          <w:tcPr>
            <w:tcW w:w="62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417"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42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62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94"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417"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427"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10,596.67</w:t>
            </w:r>
          </w:p>
        </w:tc>
        <w:tc>
          <w:tcPr>
            <w:tcW w:w="341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417"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427"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1.24</w:t>
            </w:r>
          </w:p>
        </w:tc>
        <w:tc>
          <w:tcPr>
            <w:tcW w:w="341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417"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427"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417"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427"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23</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417"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427"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24</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417"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427"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25</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417"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427"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3"/>
            <w:tcBorders>
              <w:top w:val="nil"/>
              <w:left w:val="nil"/>
              <w:bottom w:val="single" w:color="auto" w:sz="4" w:space="0"/>
              <w:right w:val="single" w:color="auto" w:sz="4" w:space="0"/>
            </w:tcBorders>
            <w:vAlign w:val="bottom"/>
          </w:tcPr>
          <w:p>
            <w:pPr>
              <w:widowControl/>
              <w:jc w:val="left"/>
              <w:rPr>
                <w:rFonts w:ascii="宋体" w:cs="Times New Roman"/>
                <w:kern w:val="0"/>
                <w:sz w:val="24"/>
                <w:szCs w:val="24"/>
              </w:rPr>
            </w:pPr>
            <w:r>
              <w:rPr>
                <w:rFonts w:ascii="宋体" w:hAnsi="宋体" w:cs="宋体"/>
                <w:kern w:val="0"/>
                <w:sz w:val="22"/>
                <w:szCs w:val="22"/>
              </w:rPr>
              <w:t>七、文化旅游体育与传媒支出</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w:t>
            </w:r>
            <w:r>
              <w:rPr>
                <w:rFonts w:hint="eastAsia" w:ascii="宋体" w:hAnsi="宋体" w:cs="宋体"/>
                <w:kern w:val="0"/>
                <w:sz w:val="22"/>
                <w:szCs w:val="22"/>
              </w:rPr>
              <w:t>6</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417" w:type="dxa"/>
            <w:gridSpan w:val="3"/>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42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411" w:type="dxa"/>
            <w:gridSpan w:val="3"/>
            <w:tcBorders>
              <w:top w:val="nil"/>
              <w:left w:val="nil"/>
              <w:bottom w:val="single" w:color="auto" w:sz="4" w:space="0"/>
              <w:right w:val="single" w:color="auto" w:sz="4" w:space="0"/>
            </w:tcBorders>
            <w:vAlign w:val="bottom"/>
          </w:tcPr>
          <w:p>
            <w:pPr>
              <w:widowControl/>
              <w:jc w:val="left"/>
              <w:rPr>
                <w:rFonts w:ascii="宋体" w:cs="Times New Roman"/>
                <w:kern w:val="0"/>
                <w:sz w:val="22"/>
                <w:szCs w:val="22"/>
              </w:rPr>
            </w:pPr>
            <w:r>
              <w:rPr>
                <w:rFonts w:ascii="宋体" w:hAnsi="宋体" w:cs="宋体"/>
                <w:kern w:val="0"/>
                <w:sz w:val="22"/>
                <w:szCs w:val="22"/>
              </w:rPr>
              <w:t>八、社会保障和就业支出</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w:t>
            </w:r>
            <w:r>
              <w:rPr>
                <w:rFonts w:hint="eastAsia" w:ascii="宋体" w:hAnsi="宋体" w:cs="宋体"/>
                <w:kern w:val="0"/>
                <w:sz w:val="22"/>
                <w:szCs w:val="22"/>
              </w:rPr>
              <w:t>7</w:t>
            </w:r>
          </w:p>
        </w:tc>
        <w:tc>
          <w:tcPr>
            <w:tcW w:w="1493" w:type="dxa"/>
            <w:gridSpan w:val="4"/>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3.6</w:t>
            </w:r>
          </w:p>
        </w:tc>
        <w:tc>
          <w:tcPr>
            <w:tcW w:w="1394" w:type="dxa"/>
            <w:gridSpan w:val="3"/>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3.6</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417"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436"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9</w:t>
            </w:r>
          </w:p>
        </w:tc>
        <w:tc>
          <w:tcPr>
            <w:tcW w:w="1427" w:type="dxa"/>
            <w:gridSpan w:val="2"/>
            <w:tcBorders>
              <w:top w:val="nil"/>
              <w:left w:val="nil"/>
              <w:bottom w:val="single" w:color="auto" w:sz="4" w:space="0"/>
              <w:right w:val="single" w:color="auto" w:sz="4" w:space="0"/>
            </w:tcBorders>
            <w:vAlign w:val="center"/>
          </w:tcPr>
          <w:p>
            <w:pPr>
              <w:widowControl/>
              <w:jc w:val="left"/>
              <w:rPr>
                <w:rFonts w:ascii="宋体" w:hAnsi="宋体" w:cs="宋体"/>
                <w:kern w:val="0"/>
                <w:sz w:val="22"/>
                <w:szCs w:val="22"/>
              </w:rPr>
            </w:pPr>
          </w:p>
        </w:tc>
        <w:tc>
          <w:tcPr>
            <w:tcW w:w="3411" w:type="dxa"/>
            <w:gridSpan w:val="3"/>
            <w:tcBorders>
              <w:top w:val="nil"/>
              <w:left w:val="nil"/>
              <w:bottom w:val="single" w:color="auto" w:sz="4" w:space="0"/>
              <w:right w:val="single" w:color="auto" w:sz="4" w:space="0"/>
            </w:tcBorders>
            <w:vAlign w:val="bottom"/>
          </w:tcPr>
          <w:p>
            <w:pPr>
              <w:widowControl/>
              <w:jc w:val="left"/>
              <w:rPr>
                <w:rFonts w:ascii="宋体" w:hAnsi="宋体" w:cs="宋体"/>
                <w:kern w:val="0"/>
                <w:sz w:val="22"/>
                <w:szCs w:val="22"/>
              </w:rPr>
            </w:pPr>
            <w:r>
              <w:rPr>
                <w:rFonts w:ascii="宋体" w:hAnsi="宋体" w:cs="宋体"/>
                <w:kern w:val="0"/>
                <w:sz w:val="22"/>
                <w:szCs w:val="22"/>
              </w:rPr>
              <w:t>九、卫生健康支出</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ascii="宋体" w:hAnsi="宋体" w:cs="宋体"/>
                <w:kern w:val="0"/>
                <w:sz w:val="22"/>
                <w:szCs w:val="22"/>
              </w:rPr>
              <w:t>2</w:t>
            </w:r>
            <w:r>
              <w:rPr>
                <w:rFonts w:hint="eastAsia" w:ascii="宋体" w:hAnsi="宋体" w:cs="宋体"/>
                <w:kern w:val="0"/>
                <w:sz w:val="22"/>
                <w:szCs w:val="22"/>
              </w:rPr>
              <w:t>8</w:t>
            </w:r>
          </w:p>
        </w:tc>
        <w:tc>
          <w:tcPr>
            <w:tcW w:w="1493" w:type="dxa"/>
            <w:gridSpan w:val="4"/>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2"/>
                <w:szCs w:val="22"/>
              </w:rPr>
            </w:pPr>
          </w:p>
        </w:tc>
        <w:tc>
          <w:tcPr>
            <w:tcW w:w="1394" w:type="dxa"/>
            <w:gridSpan w:val="3"/>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2"/>
                <w:szCs w:val="22"/>
              </w:rPr>
            </w:pPr>
          </w:p>
        </w:tc>
        <w:tc>
          <w:tcPr>
            <w:tcW w:w="1300"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417"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436"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10</w:t>
            </w:r>
          </w:p>
        </w:tc>
        <w:tc>
          <w:tcPr>
            <w:tcW w:w="1427" w:type="dxa"/>
            <w:gridSpan w:val="2"/>
            <w:tcBorders>
              <w:top w:val="nil"/>
              <w:left w:val="nil"/>
              <w:bottom w:val="single" w:color="auto" w:sz="4" w:space="0"/>
              <w:right w:val="single" w:color="auto" w:sz="4" w:space="0"/>
            </w:tcBorders>
            <w:vAlign w:val="center"/>
          </w:tcPr>
          <w:p>
            <w:pPr>
              <w:widowControl/>
              <w:jc w:val="left"/>
              <w:rPr>
                <w:rFonts w:ascii="宋体" w:hAnsi="宋体" w:cs="宋体"/>
                <w:kern w:val="0"/>
                <w:sz w:val="22"/>
                <w:szCs w:val="22"/>
              </w:rPr>
            </w:pPr>
          </w:p>
        </w:tc>
        <w:tc>
          <w:tcPr>
            <w:tcW w:w="3411" w:type="dxa"/>
            <w:gridSpan w:val="3"/>
            <w:tcBorders>
              <w:top w:val="nil"/>
              <w:left w:val="nil"/>
              <w:bottom w:val="single" w:color="auto" w:sz="4" w:space="0"/>
              <w:right w:val="single" w:color="auto" w:sz="4" w:space="0"/>
            </w:tcBorders>
            <w:vAlign w:val="bottom"/>
          </w:tcPr>
          <w:p>
            <w:pPr>
              <w:widowControl/>
              <w:jc w:val="left"/>
              <w:rPr>
                <w:rFonts w:ascii="宋体" w:hAnsi="宋体" w:cs="宋体"/>
                <w:kern w:val="0"/>
                <w:sz w:val="22"/>
                <w:szCs w:val="22"/>
              </w:rPr>
            </w:pPr>
            <w:r>
              <w:rPr>
                <w:rFonts w:ascii="宋体" w:hAnsi="宋体" w:cs="宋体"/>
                <w:kern w:val="0"/>
                <w:sz w:val="22"/>
                <w:szCs w:val="22"/>
              </w:rPr>
              <w:t>十、节能环保支出</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hint="eastAsia" w:ascii="宋体" w:hAnsi="宋体" w:cs="宋体"/>
                <w:kern w:val="0"/>
                <w:sz w:val="22"/>
                <w:szCs w:val="22"/>
              </w:rPr>
              <w:t>29</w:t>
            </w:r>
          </w:p>
        </w:tc>
        <w:tc>
          <w:tcPr>
            <w:tcW w:w="1493" w:type="dxa"/>
            <w:gridSpan w:val="4"/>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2"/>
                <w:szCs w:val="22"/>
              </w:rPr>
            </w:pPr>
            <w:r>
              <w:rPr>
                <w:rFonts w:hint="eastAsia" w:ascii="宋体" w:hAnsi="宋体" w:cs="宋体"/>
                <w:color w:val="000000"/>
                <w:kern w:val="0"/>
                <w:sz w:val="22"/>
                <w:szCs w:val="22"/>
              </w:rPr>
              <w:t>500.00</w:t>
            </w:r>
          </w:p>
        </w:tc>
        <w:tc>
          <w:tcPr>
            <w:tcW w:w="1394" w:type="dxa"/>
            <w:gridSpan w:val="3"/>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2"/>
                <w:szCs w:val="22"/>
              </w:rPr>
            </w:pPr>
            <w:r>
              <w:rPr>
                <w:rFonts w:hint="eastAsia" w:ascii="宋体" w:hAnsi="宋体" w:cs="宋体"/>
                <w:color w:val="000000"/>
                <w:kern w:val="0"/>
                <w:sz w:val="22"/>
                <w:szCs w:val="22"/>
              </w:rPr>
              <w:t>500.00</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417"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436"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11</w:t>
            </w:r>
          </w:p>
        </w:tc>
        <w:tc>
          <w:tcPr>
            <w:tcW w:w="1427" w:type="dxa"/>
            <w:gridSpan w:val="2"/>
            <w:tcBorders>
              <w:top w:val="nil"/>
              <w:left w:val="nil"/>
              <w:bottom w:val="single" w:color="auto" w:sz="4" w:space="0"/>
              <w:right w:val="single" w:color="auto" w:sz="4" w:space="0"/>
            </w:tcBorders>
            <w:vAlign w:val="center"/>
          </w:tcPr>
          <w:p>
            <w:pPr>
              <w:widowControl/>
              <w:jc w:val="left"/>
              <w:rPr>
                <w:rFonts w:ascii="宋体" w:hAnsi="宋体" w:cs="宋体"/>
                <w:kern w:val="0"/>
                <w:sz w:val="22"/>
                <w:szCs w:val="22"/>
              </w:rPr>
            </w:pPr>
          </w:p>
        </w:tc>
        <w:tc>
          <w:tcPr>
            <w:tcW w:w="3411" w:type="dxa"/>
            <w:gridSpan w:val="3"/>
            <w:tcBorders>
              <w:top w:val="nil"/>
              <w:left w:val="nil"/>
              <w:bottom w:val="single" w:color="auto" w:sz="4" w:space="0"/>
              <w:right w:val="single" w:color="auto" w:sz="4" w:space="0"/>
            </w:tcBorders>
            <w:vAlign w:val="bottom"/>
          </w:tcPr>
          <w:p>
            <w:pPr>
              <w:widowControl/>
              <w:jc w:val="left"/>
              <w:rPr>
                <w:rFonts w:ascii="宋体" w:hAnsi="宋体" w:cs="宋体"/>
                <w:kern w:val="0"/>
                <w:sz w:val="22"/>
                <w:szCs w:val="22"/>
              </w:rPr>
            </w:pPr>
            <w:r>
              <w:rPr>
                <w:rFonts w:ascii="宋体" w:hAnsi="宋体" w:cs="宋体"/>
                <w:kern w:val="0"/>
                <w:sz w:val="22"/>
                <w:szCs w:val="22"/>
              </w:rPr>
              <w:t>十一、城乡社区支出</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hint="eastAsia" w:ascii="宋体" w:hAnsi="宋体" w:cs="宋体"/>
                <w:kern w:val="0"/>
                <w:sz w:val="22"/>
                <w:szCs w:val="22"/>
              </w:rPr>
              <w:t>30</w:t>
            </w:r>
          </w:p>
        </w:tc>
        <w:tc>
          <w:tcPr>
            <w:tcW w:w="1493" w:type="dxa"/>
            <w:gridSpan w:val="4"/>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2"/>
                <w:szCs w:val="22"/>
              </w:rPr>
            </w:pPr>
            <w:r>
              <w:rPr>
                <w:rFonts w:hint="eastAsia" w:ascii="宋体" w:hAnsi="宋体" w:cs="宋体"/>
                <w:color w:val="000000"/>
                <w:kern w:val="0"/>
                <w:sz w:val="22"/>
                <w:szCs w:val="22"/>
              </w:rPr>
              <w:t>10,093.07</w:t>
            </w:r>
          </w:p>
        </w:tc>
        <w:tc>
          <w:tcPr>
            <w:tcW w:w="1394" w:type="dxa"/>
            <w:gridSpan w:val="3"/>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2"/>
                <w:szCs w:val="22"/>
              </w:rPr>
            </w:pPr>
            <w:r>
              <w:rPr>
                <w:rFonts w:hint="eastAsia" w:ascii="宋体" w:hAnsi="宋体" w:cs="宋体"/>
                <w:color w:val="000000"/>
                <w:kern w:val="0"/>
                <w:sz w:val="22"/>
                <w:szCs w:val="22"/>
              </w:rPr>
              <w:t>10,093.07</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417"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gridBefore w:val="1"/>
          <w:gridAfter w:val="1"/>
          <w:wBefore w:w="21" w:type="dxa"/>
          <w:wAfter w:w="244" w:type="dxa"/>
          <w:trHeight w:val="90"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436"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12</w:t>
            </w:r>
          </w:p>
        </w:tc>
        <w:tc>
          <w:tcPr>
            <w:tcW w:w="1427" w:type="dxa"/>
            <w:gridSpan w:val="2"/>
            <w:tcBorders>
              <w:top w:val="nil"/>
              <w:left w:val="nil"/>
              <w:bottom w:val="single" w:color="auto" w:sz="4" w:space="0"/>
              <w:right w:val="single" w:color="auto" w:sz="4" w:space="0"/>
            </w:tcBorders>
            <w:vAlign w:val="center"/>
          </w:tcPr>
          <w:p>
            <w:pPr>
              <w:widowControl/>
              <w:jc w:val="left"/>
              <w:rPr>
                <w:rFonts w:ascii="宋体" w:hAnsi="宋体" w:cs="宋体"/>
                <w:kern w:val="0"/>
                <w:sz w:val="22"/>
                <w:szCs w:val="22"/>
              </w:rPr>
            </w:pPr>
          </w:p>
        </w:tc>
        <w:tc>
          <w:tcPr>
            <w:tcW w:w="3411" w:type="dxa"/>
            <w:gridSpan w:val="3"/>
            <w:tcBorders>
              <w:top w:val="nil"/>
              <w:left w:val="nil"/>
              <w:bottom w:val="single" w:color="auto" w:sz="4" w:space="0"/>
              <w:right w:val="single" w:color="auto" w:sz="4" w:space="0"/>
            </w:tcBorders>
            <w:vAlign w:val="center"/>
          </w:tcPr>
          <w:p>
            <w:pPr>
              <w:widowControl/>
              <w:rPr>
                <w:rFonts w:ascii="宋体" w:hAnsi="宋体" w:cs="宋体"/>
                <w:kern w:val="0"/>
                <w:sz w:val="22"/>
                <w:szCs w:val="22"/>
              </w:rPr>
            </w:pPr>
            <w:r>
              <w:rPr>
                <w:rFonts w:hint="eastAsia" w:ascii="宋体" w:hAnsi="宋体" w:cs="宋体"/>
                <w:kern w:val="0"/>
                <w:sz w:val="24"/>
                <w:szCs w:val="24"/>
              </w:rPr>
              <w:t>……</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hint="eastAsia" w:ascii="宋体" w:hAnsi="宋体" w:cs="宋体"/>
                <w:kern w:val="0"/>
                <w:sz w:val="22"/>
                <w:szCs w:val="22"/>
              </w:rPr>
              <w:t>31</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394"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300"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417"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436"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13</w:t>
            </w:r>
          </w:p>
        </w:tc>
        <w:tc>
          <w:tcPr>
            <w:tcW w:w="1427" w:type="dxa"/>
            <w:gridSpan w:val="2"/>
            <w:tcBorders>
              <w:top w:val="nil"/>
              <w:left w:val="nil"/>
              <w:bottom w:val="single" w:color="auto" w:sz="4" w:space="0"/>
              <w:right w:val="single" w:color="auto" w:sz="4" w:space="0"/>
            </w:tcBorders>
            <w:vAlign w:val="center"/>
          </w:tcPr>
          <w:p>
            <w:pPr>
              <w:widowControl/>
              <w:jc w:val="left"/>
              <w:rPr>
                <w:rFonts w:ascii="宋体" w:hAnsi="宋体" w:cs="宋体"/>
                <w:kern w:val="0"/>
                <w:sz w:val="22"/>
                <w:szCs w:val="22"/>
              </w:rPr>
            </w:pPr>
          </w:p>
        </w:tc>
        <w:tc>
          <w:tcPr>
            <w:tcW w:w="3411" w:type="dxa"/>
            <w:gridSpan w:val="3"/>
            <w:tcBorders>
              <w:top w:val="nil"/>
              <w:left w:val="nil"/>
              <w:bottom w:val="single" w:color="auto" w:sz="4" w:space="0"/>
              <w:right w:val="single" w:color="auto" w:sz="4" w:space="0"/>
            </w:tcBorders>
            <w:vAlign w:val="bottom"/>
          </w:tcPr>
          <w:p>
            <w:pPr>
              <w:widowControl/>
              <w:jc w:val="left"/>
              <w:textAlignment w:val="bottom"/>
              <w:rPr>
                <w:rFonts w:ascii="宋体" w:hAnsi="宋体" w:cs="宋体"/>
                <w:kern w:val="0"/>
                <w:sz w:val="22"/>
                <w:szCs w:val="22"/>
              </w:rPr>
            </w:pPr>
            <w:r>
              <w:rPr>
                <w:rFonts w:ascii="宋体" w:hAnsi="宋体" w:cs="宋体"/>
                <w:kern w:val="0"/>
                <w:sz w:val="22"/>
                <w:szCs w:val="22"/>
              </w:rPr>
              <w:t>二十六、抗疫特别国债安排的支出</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hint="eastAsia" w:ascii="宋体" w:hAnsi="宋体" w:cs="宋体"/>
                <w:kern w:val="0"/>
                <w:sz w:val="22"/>
                <w:szCs w:val="22"/>
              </w:rPr>
              <w:t>32</w:t>
            </w:r>
          </w:p>
        </w:tc>
        <w:tc>
          <w:tcPr>
            <w:tcW w:w="1493" w:type="dxa"/>
            <w:gridSpan w:val="4"/>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2"/>
                <w:szCs w:val="22"/>
              </w:rPr>
            </w:pPr>
            <w:r>
              <w:rPr>
                <w:rFonts w:hint="eastAsia" w:ascii="宋体" w:hAnsi="宋体" w:cs="宋体"/>
                <w:color w:val="000000"/>
                <w:kern w:val="0"/>
                <w:sz w:val="22"/>
                <w:szCs w:val="22"/>
              </w:rPr>
              <w:t>1.24</w:t>
            </w:r>
          </w:p>
        </w:tc>
        <w:tc>
          <w:tcPr>
            <w:tcW w:w="1394" w:type="dxa"/>
            <w:gridSpan w:val="3"/>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2"/>
                <w:szCs w:val="22"/>
              </w:rPr>
            </w:pPr>
          </w:p>
        </w:tc>
        <w:tc>
          <w:tcPr>
            <w:tcW w:w="1300" w:type="dxa"/>
            <w:gridSpan w:val="3"/>
            <w:tcBorders>
              <w:top w:val="nil"/>
              <w:left w:val="nil"/>
              <w:bottom w:val="single" w:color="auto" w:sz="4" w:space="0"/>
              <w:right w:val="single" w:color="auto" w:sz="4" w:space="0"/>
            </w:tcBorders>
            <w:vAlign w:val="center"/>
          </w:tcPr>
          <w:p>
            <w:pPr>
              <w:widowControl/>
              <w:jc w:val="right"/>
              <w:textAlignment w:val="center"/>
              <w:rPr>
                <w:rFonts w:ascii="宋体" w:hAnsi="宋体" w:cs="宋体"/>
                <w:kern w:val="0"/>
                <w:sz w:val="22"/>
                <w:szCs w:val="22"/>
              </w:rPr>
            </w:pPr>
            <w:r>
              <w:rPr>
                <w:rFonts w:hint="eastAsia" w:ascii="宋体" w:hAnsi="宋体" w:cs="宋体"/>
                <w:color w:val="000000"/>
                <w:kern w:val="0"/>
                <w:sz w:val="22"/>
                <w:szCs w:val="22"/>
              </w:rPr>
              <w:t>1.24</w:t>
            </w:r>
          </w:p>
        </w:tc>
        <w:tc>
          <w:tcPr>
            <w:tcW w:w="1417"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427" w:type="dxa"/>
            <w:gridSpan w:val="2"/>
            <w:tcBorders>
              <w:top w:val="single" w:color="auto" w:sz="4" w:space="0"/>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10,597.91</w:t>
            </w:r>
          </w:p>
        </w:tc>
        <w:tc>
          <w:tcPr>
            <w:tcW w:w="3411"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624"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cs="Times New Roman"/>
                <w:kern w:val="0"/>
                <w:sz w:val="22"/>
                <w:szCs w:val="22"/>
              </w:rPr>
              <w:t>33</w:t>
            </w:r>
          </w:p>
        </w:tc>
        <w:tc>
          <w:tcPr>
            <w:tcW w:w="1493" w:type="dxa"/>
            <w:gridSpan w:val="4"/>
            <w:tcBorders>
              <w:top w:val="single" w:color="auto" w:sz="4" w:space="0"/>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10,597.91</w:t>
            </w:r>
          </w:p>
        </w:tc>
        <w:tc>
          <w:tcPr>
            <w:tcW w:w="1394" w:type="dxa"/>
            <w:gridSpan w:val="3"/>
            <w:tcBorders>
              <w:top w:val="single" w:color="auto" w:sz="4" w:space="0"/>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10,596.67</w:t>
            </w:r>
          </w:p>
        </w:tc>
        <w:tc>
          <w:tcPr>
            <w:tcW w:w="1300" w:type="dxa"/>
            <w:gridSpan w:val="3"/>
            <w:tcBorders>
              <w:top w:val="single" w:color="auto" w:sz="4" w:space="0"/>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1.24</w:t>
            </w:r>
          </w:p>
        </w:tc>
        <w:tc>
          <w:tcPr>
            <w:tcW w:w="1417" w:type="dxa"/>
            <w:gridSpan w:val="3"/>
            <w:tcBorders>
              <w:top w:val="single" w:color="auto" w:sz="4" w:space="0"/>
              <w:left w:val="nil"/>
              <w:bottom w:val="single" w:color="auto" w:sz="4" w:space="0"/>
              <w:right w:val="single" w:color="auto" w:sz="4" w:space="0"/>
            </w:tcBorders>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427"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77.66</w:t>
            </w:r>
          </w:p>
        </w:tc>
        <w:tc>
          <w:tcPr>
            <w:tcW w:w="3411"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cs="Times New Roman"/>
                <w:kern w:val="0"/>
                <w:sz w:val="22"/>
                <w:szCs w:val="22"/>
              </w:rPr>
              <w:t>34</w:t>
            </w:r>
          </w:p>
        </w:tc>
        <w:tc>
          <w:tcPr>
            <w:tcW w:w="1493" w:type="dxa"/>
            <w:gridSpan w:val="4"/>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77.66</w:t>
            </w:r>
          </w:p>
        </w:tc>
        <w:tc>
          <w:tcPr>
            <w:tcW w:w="1394" w:type="dxa"/>
            <w:gridSpan w:val="3"/>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77.66</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417"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427"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77.66</w:t>
            </w:r>
          </w:p>
        </w:tc>
        <w:tc>
          <w:tcPr>
            <w:tcW w:w="341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cs="Times New Roman"/>
                <w:kern w:val="0"/>
                <w:sz w:val="22"/>
                <w:szCs w:val="22"/>
              </w:rPr>
              <w:t>35</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417"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427"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p>
        </w:tc>
        <w:tc>
          <w:tcPr>
            <w:tcW w:w="341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cs="Times New Roman"/>
                <w:kern w:val="0"/>
                <w:sz w:val="22"/>
                <w:szCs w:val="22"/>
              </w:rPr>
              <w:t>36</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417"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427"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p>
        </w:tc>
        <w:tc>
          <w:tcPr>
            <w:tcW w:w="3411"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cs="Times New Roman"/>
                <w:kern w:val="0"/>
                <w:sz w:val="22"/>
                <w:szCs w:val="22"/>
              </w:rPr>
              <w:t>37</w:t>
            </w:r>
          </w:p>
        </w:tc>
        <w:tc>
          <w:tcPr>
            <w:tcW w:w="1493"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00"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417"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402" w:hRule="atLeast"/>
        </w:trPr>
        <w:tc>
          <w:tcPr>
            <w:tcW w:w="3596" w:type="dxa"/>
            <w:gridSpan w:val="3"/>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427"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10,675.57</w:t>
            </w:r>
          </w:p>
        </w:tc>
        <w:tc>
          <w:tcPr>
            <w:tcW w:w="3411" w:type="dxa"/>
            <w:gridSpan w:val="3"/>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62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cs="Times New Roman"/>
                <w:kern w:val="0"/>
                <w:sz w:val="22"/>
                <w:szCs w:val="22"/>
              </w:rPr>
              <w:t>38</w:t>
            </w:r>
          </w:p>
        </w:tc>
        <w:tc>
          <w:tcPr>
            <w:tcW w:w="1493" w:type="dxa"/>
            <w:gridSpan w:val="4"/>
            <w:tcBorders>
              <w:top w:val="nil"/>
              <w:left w:val="nil"/>
              <w:bottom w:val="single" w:color="auto" w:sz="4" w:space="0"/>
              <w:right w:val="single" w:color="auto" w:sz="4" w:space="0"/>
            </w:tcBorders>
            <w:shd w:val="clear" w:color="000000" w:fill="FFFFFF"/>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10,675.57</w:t>
            </w:r>
          </w:p>
        </w:tc>
        <w:tc>
          <w:tcPr>
            <w:tcW w:w="1394" w:type="dxa"/>
            <w:gridSpan w:val="3"/>
            <w:tcBorders>
              <w:top w:val="nil"/>
              <w:left w:val="nil"/>
              <w:bottom w:val="single" w:color="auto" w:sz="4" w:space="0"/>
              <w:right w:val="single" w:color="auto" w:sz="4" w:space="0"/>
            </w:tcBorders>
            <w:shd w:val="clear" w:color="000000" w:fill="FFFFFF"/>
            <w:vAlign w:val="center"/>
          </w:tcPr>
          <w:p>
            <w:pPr>
              <w:widowControl/>
              <w:jc w:val="right"/>
              <w:textAlignment w:val="center"/>
              <w:rPr>
                <w:rFonts w:ascii="宋体" w:cs="Times New Roman"/>
                <w:kern w:val="0"/>
                <w:sz w:val="22"/>
                <w:szCs w:val="22"/>
              </w:rPr>
            </w:pPr>
            <w:r>
              <w:rPr>
                <w:rFonts w:hint="eastAsia" w:ascii="宋体" w:hAnsi="宋体" w:cs="宋体"/>
                <w:color w:val="000000"/>
                <w:kern w:val="0"/>
                <w:sz w:val="22"/>
                <w:szCs w:val="22"/>
              </w:rPr>
              <w:t>10,674.33</w:t>
            </w:r>
          </w:p>
        </w:tc>
        <w:tc>
          <w:tcPr>
            <w:tcW w:w="1300" w:type="dxa"/>
            <w:gridSpan w:val="3"/>
            <w:tcBorders>
              <w:top w:val="nil"/>
              <w:left w:val="nil"/>
              <w:bottom w:val="single" w:color="auto" w:sz="4" w:space="0"/>
              <w:right w:val="single" w:color="auto" w:sz="4" w:space="0"/>
            </w:tcBorders>
            <w:vAlign w:val="center"/>
          </w:tcPr>
          <w:p>
            <w:pPr>
              <w:widowControl/>
              <w:jc w:val="right"/>
              <w:textAlignment w:val="center"/>
              <w:rPr>
                <w:rFonts w:ascii="宋体" w:cs="Times New Roman"/>
                <w:b/>
                <w:bCs/>
                <w:kern w:val="0"/>
                <w:sz w:val="22"/>
                <w:szCs w:val="22"/>
              </w:rPr>
            </w:pPr>
            <w:r>
              <w:rPr>
                <w:rFonts w:hint="eastAsia" w:ascii="宋体" w:hAnsi="宋体" w:cs="宋体"/>
                <w:color w:val="000000"/>
                <w:kern w:val="0"/>
                <w:sz w:val="22"/>
                <w:szCs w:val="22"/>
              </w:rPr>
              <w:t>1.24</w:t>
            </w:r>
          </w:p>
        </w:tc>
        <w:tc>
          <w:tcPr>
            <w:tcW w:w="1417" w:type="dxa"/>
            <w:gridSpan w:val="3"/>
            <w:tcBorders>
              <w:top w:val="nil"/>
              <w:left w:val="nil"/>
              <w:bottom w:val="single" w:color="auto" w:sz="4" w:space="0"/>
              <w:right w:val="single" w:color="auto" w:sz="4" w:space="0"/>
            </w:tcBorders>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gridBefore w:val="1"/>
          <w:gridAfter w:val="1"/>
          <w:wBefore w:w="21" w:type="dxa"/>
          <w:wAfter w:w="244" w:type="dxa"/>
          <w:trHeight w:val="585" w:hRule="atLeast"/>
        </w:trPr>
        <w:tc>
          <w:tcPr>
            <w:tcW w:w="15098" w:type="dxa"/>
            <w:gridSpan w:val="23"/>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方正小标宋_GBK"/>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rPr>
        <w:t>湘潭县城市管理和综合执法局</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hint="eastAsia" w:ascii="Times New Roman" w:hAnsi="Times New Roman" w:eastAsia="仿宋_GB2312" w:cs="仿宋_GB2312"/>
          <w:color w:val="000000"/>
          <w:kern w:val="0"/>
        </w:rPr>
        <w:t>单位：万元</w:t>
      </w:r>
    </w:p>
    <w:tbl>
      <w:tblPr>
        <w:tblStyle w:val="6"/>
        <w:tblW w:w="15240" w:type="dxa"/>
        <w:jc w:val="center"/>
        <w:tblLayout w:type="fixed"/>
        <w:tblCellMar>
          <w:top w:w="0" w:type="dxa"/>
          <w:left w:w="108" w:type="dxa"/>
          <w:bottom w:w="0" w:type="dxa"/>
          <w:right w:w="108" w:type="dxa"/>
        </w:tblCellMar>
      </w:tblPr>
      <w:tblGrid>
        <w:gridCol w:w="106"/>
        <w:gridCol w:w="645"/>
        <w:gridCol w:w="555"/>
        <w:gridCol w:w="2745"/>
        <w:gridCol w:w="508"/>
        <w:gridCol w:w="656"/>
        <w:gridCol w:w="876"/>
        <w:gridCol w:w="1429"/>
        <w:gridCol w:w="836"/>
        <w:gridCol w:w="928"/>
        <w:gridCol w:w="797"/>
        <w:gridCol w:w="879"/>
        <w:gridCol w:w="2987"/>
        <w:gridCol w:w="13"/>
        <w:gridCol w:w="81"/>
        <w:gridCol w:w="1199"/>
      </w:tblGrid>
      <w:tr>
        <w:tblPrEx>
          <w:tblCellMar>
            <w:top w:w="0" w:type="dxa"/>
            <w:left w:w="108" w:type="dxa"/>
            <w:bottom w:w="0" w:type="dxa"/>
            <w:right w:w="108" w:type="dxa"/>
          </w:tblCellMar>
        </w:tblPrEx>
        <w:trPr>
          <w:gridBefore w:val="1"/>
          <w:gridAfter w:val="3"/>
          <w:wBefore w:w="106" w:type="dxa"/>
          <w:wAfter w:w="1293" w:type="dxa"/>
          <w:trHeight w:val="405" w:hRule="atLeast"/>
          <w:jc w:val="center"/>
        </w:trPr>
        <w:tc>
          <w:tcPr>
            <w:tcW w:w="4453"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w:t>
            </w:r>
          </w:p>
        </w:tc>
        <w:tc>
          <w:tcPr>
            <w:tcW w:w="9388" w:type="dxa"/>
            <w:gridSpan w:val="8"/>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CellMar>
            <w:top w:w="0" w:type="dxa"/>
            <w:left w:w="108" w:type="dxa"/>
            <w:bottom w:w="0" w:type="dxa"/>
            <w:right w:w="108" w:type="dxa"/>
          </w:tblCellMar>
        </w:tblPrEx>
        <w:trPr>
          <w:gridBefore w:val="1"/>
          <w:gridAfter w:val="2"/>
          <w:wBefore w:w="106" w:type="dxa"/>
          <w:wAfter w:w="1280" w:type="dxa"/>
          <w:trHeight w:val="495" w:hRule="atLeast"/>
          <w:jc w:val="center"/>
        </w:trPr>
        <w:tc>
          <w:tcPr>
            <w:tcW w:w="1200" w:type="dxa"/>
            <w:gridSpan w:val="2"/>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253"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961" w:type="dxa"/>
            <w:gridSpan w:val="3"/>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40" w:type="dxa"/>
            <w:gridSpan w:val="4"/>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gridSpan w:val="2"/>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gridBefore w:val="1"/>
          <w:gridAfter w:val="2"/>
          <w:wBefore w:w="106" w:type="dxa"/>
          <w:wAfter w:w="1280" w:type="dxa"/>
          <w:trHeight w:val="360" w:hRule="atLeast"/>
          <w:jc w:val="center"/>
        </w:trPr>
        <w:tc>
          <w:tcPr>
            <w:tcW w:w="120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25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2961"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40" w:type="dxa"/>
            <w:gridSpan w:val="4"/>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gridSpan w:val="2"/>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gridBefore w:val="1"/>
          <w:gridAfter w:val="2"/>
          <w:wBefore w:w="106" w:type="dxa"/>
          <w:wAfter w:w="1280" w:type="dxa"/>
          <w:trHeight w:val="319" w:hRule="atLeast"/>
          <w:jc w:val="center"/>
        </w:trPr>
        <w:tc>
          <w:tcPr>
            <w:tcW w:w="120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25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2961"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40" w:type="dxa"/>
            <w:gridSpan w:val="4"/>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gridSpan w:val="2"/>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4453" w:type="dxa"/>
            <w:gridSpan w:val="4"/>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961"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4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gridSpan w:val="2"/>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4453" w:type="dxa"/>
            <w:gridSpan w:val="4"/>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961" w:type="dxa"/>
            <w:gridSpan w:val="3"/>
            <w:tcBorders>
              <w:top w:val="nil"/>
              <w:left w:val="nil"/>
              <w:bottom w:val="single" w:color="auto" w:sz="4"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b/>
                <w:color w:val="000000"/>
                <w:kern w:val="0"/>
                <w:sz w:val="22"/>
                <w:szCs w:val="22"/>
              </w:rPr>
              <w:t>10,596.67</w:t>
            </w:r>
          </w:p>
        </w:tc>
        <w:tc>
          <w:tcPr>
            <w:tcW w:w="3440" w:type="dxa"/>
            <w:gridSpan w:val="4"/>
            <w:tcBorders>
              <w:top w:val="nil"/>
              <w:left w:val="nil"/>
              <w:bottom w:val="single" w:color="auto" w:sz="4"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b/>
                <w:color w:val="000000"/>
                <w:kern w:val="0"/>
                <w:sz w:val="22"/>
                <w:szCs w:val="22"/>
              </w:rPr>
              <w:t>2,085.58</w:t>
            </w:r>
          </w:p>
        </w:tc>
        <w:tc>
          <w:tcPr>
            <w:tcW w:w="3000" w:type="dxa"/>
            <w:gridSpan w:val="2"/>
            <w:tcBorders>
              <w:top w:val="nil"/>
              <w:left w:val="nil"/>
              <w:bottom w:val="single" w:color="auto" w:sz="4" w:space="0"/>
              <w:right w:val="single" w:color="auto" w:sz="8"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b/>
                <w:color w:val="000000"/>
                <w:kern w:val="0"/>
                <w:sz w:val="22"/>
                <w:szCs w:val="22"/>
              </w:rPr>
              <w:t>8,511.09</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208</w:t>
            </w:r>
          </w:p>
        </w:tc>
        <w:tc>
          <w:tcPr>
            <w:tcW w:w="3253" w:type="dxa"/>
            <w:gridSpan w:val="2"/>
            <w:tcBorders>
              <w:top w:val="nil"/>
              <w:left w:val="nil"/>
              <w:bottom w:val="single" w:color="auto" w:sz="4" w:space="0"/>
              <w:right w:val="single" w:color="auto" w:sz="4" w:space="0"/>
            </w:tcBorders>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社会保障和就业支出</w:t>
            </w:r>
          </w:p>
        </w:tc>
        <w:tc>
          <w:tcPr>
            <w:tcW w:w="2961" w:type="dxa"/>
            <w:gridSpan w:val="3"/>
            <w:tcBorders>
              <w:top w:val="nil"/>
              <w:left w:val="nil"/>
              <w:bottom w:val="single" w:color="auto" w:sz="4"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3.6</w:t>
            </w:r>
          </w:p>
        </w:tc>
        <w:tc>
          <w:tcPr>
            <w:tcW w:w="3440" w:type="dxa"/>
            <w:gridSpan w:val="4"/>
            <w:tcBorders>
              <w:top w:val="nil"/>
              <w:left w:val="nil"/>
              <w:bottom w:val="single" w:color="auto" w:sz="4"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3.6</w:t>
            </w:r>
          </w:p>
        </w:tc>
        <w:tc>
          <w:tcPr>
            <w:tcW w:w="3000" w:type="dxa"/>
            <w:gridSpan w:val="2"/>
            <w:tcBorders>
              <w:top w:val="nil"/>
              <w:left w:val="nil"/>
              <w:bottom w:val="single" w:color="auto" w:sz="4" w:space="0"/>
              <w:right w:val="single" w:color="auto" w:sz="8"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20808</w:t>
            </w:r>
          </w:p>
        </w:tc>
        <w:tc>
          <w:tcPr>
            <w:tcW w:w="3253" w:type="dxa"/>
            <w:gridSpan w:val="2"/>
            <w:tcBorders>
              <w:top w:val="nil"/>
              <w:left w:val="nil"/>
              <w:bottom w:val="single" w:color="auto" w:sz="4" w:space="0"/>
              <w:right w:val="single" w:color="auto" w:sz="4" w:space="0"/>
            </w:tcBorders>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抚恤</w:t>
            </w:r>
          </w:p>
        </w:tc>
        <w:tc>
          <w:tcPr>
            <w:tcW w:w="2961" w:type="dxa"/>
            <w:gridSpan w:val="3"/>
            <w:tcBorders>
              <w:top w:val="nil"/>
              <w:left w:val="nil"/>
              <w:bottom w:val="single" w:color="auto" w:sz="4"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3.6</w:t>
            </w:r>
          </w:p>
        </w:tc>
        <w:tc>
          <w:tcPr>
            <w:tcW w:w="3440" w:type="dxa"/>
            <w:gridSpan w:val="4"/>
            <w:tcBorders>
              <w:top w:val="nil"/>
              <w:left w:val="nil"/>
              <w:bottom w:val="single" w:color="auto" w:sz="4"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3.6</w:t>
            </w:r>
          </w:p>
        </w:tc>
        <w:tc>
          <w:tcPr>
            <w:tcW w:w="3000" w:type="dxa"/>
            <w:gridSpan w:val="2"/>
            <w:tcBorders>
              <w:top w:val="nil"/>
              <w:left w:val="nil"/>
              <w:bottom w:val="single" w:color="auto" w:sz="4" w:space="0"/>
              <w:right w:val="single" w:color="auto" w:sz="8"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2080801</w:t>
            </w:r>
          </w:p>
        </w:tc>
        <w:tc>
          <w:tcPr>
            <w:tcW w:w="3253" w:type="dxa"/>
            <w:gridSpan w:val="2"/>
            <w:tcBorders>
              <w:top w:val="nil"/>
              <w:left w:val="nil"/>
              <w:bottom w:val="single" w:color="auto" w:sz="4" w:space="0"/>
              <w:right w:val="single" w:color="auto" w:sz="4" w:space="0"/>
            </w:tcBorders>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 xml:space="preserve">  死亡抚恤</w:t>
            </w:r>
          </w:p>
        </w:tc>
        <w:tc>
          <w:tcPr>
            <w:tcW w:w="2961" w:type="dxa"/>
            <w:gridSpan w:val="3"/>
            <w:tcBorders>
              <w:top w:val="nil"/>
              <w:left w:val="nil"/>
              <w:bottom w:val="single" w:color="auto" w:sz="4"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3.6</w:t>
            </w:r>
          </w:p>
        </w:tc>
        <w:tc>
          <w:tcPr>
            <w:tcW w:w="3440" w:type="dxa"/>
            <w:gridSpan w:val="4"/>
            <w:tcBorders>
              <w:top w:val="nil"/>
              <w:left w:val="nil"/>
              <w:bottom w:val="single" w:color="auto" w:sz="4"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3.6</w:t>
            </w:r>
          </w:p>
        </w:tc>
        <w:tc>
          <w:tcPr>
            <w:tcW w:w="3000" w:type="dxa"/>
            <w:gridSpan w:val="2"/>
            <w:tcBorders>
              <w:top w:val="nil"/>
              <w:left w:val="nil"/>
              <w:bottom w:val="single" w:color="auto" w:sz="4" w:space="0"/>
              <w:right w:val="single" w:color="auto" w:sz="8"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211</w:t>
            </w:r>
          </w:p>
        </w:tc>
        <w:tc>
          <w:tcPr>
            <w:tcW w:w="3253" w:type="dxa"/>
            <w:gridSpan w:val="2"/>
            <w:tcBorders>
              <w:top w:val="nil"/>
              <w:left w:val="nil"/>
              <w:bottom w:val="single" w:color="auto" w:sz="4" w:space="0"/>
              <w:right w:val="single" w:color="auto" w:sz="4" w:space="0"/>
            </w:tcBorders>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节能环保支出</w:t>
            </w:r>
          </w:p>
        </w:tc>
        <w:tc>
          <w:tcPr>
            <w:tcW w:w="2961" w:type="dxa"/>
            <w:gridSpan w:val="3"/>
            <w:tcBorders>
              <w:top w:val="nil"/>
              <w:left w:val="nil"/>
              <w:bottom w:val="single" w:color="auto" w:sz="4"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500.00</w:t>
            </w:r>
          </w:p>
        </w:tc>
        <w:tc>
          <w:tcPr>
            <w:tcW w:w="3440" w:type="dxa"/>
            <w:gridSpan w:val="4"/>
            <w:tcBorders>
              <w:top w:val="nil"/>
              <w:left w:val="nil"/>
              <w:bottom w:val="single" w:color="auto" w:sz="4"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3000" w:type="dxa"/>
            <w:gridSpan w:val="2"/>
            <w:tcBorders>
              <w:top w:val="nil"/>
              <w:left w:val="nil"/>
              <w:bottom w:val="single" w:color="auto" w:sz="4" w:space="0"/>
              <w:right w:val="single" w:color="auto" w:sz="8"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500.00</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21199</w:t>
            </w:r>
          </w:p>
        </w:tc>
        <w:tc>
          <w:tcPr>
            <w:tcW w:w="3253" w:type="dxa"/>
            <w:gridSpan w:val="2"/>
            <w:tcBorders>
              <w:top w:val="nil"/>
              <w:left w:val="nil"/>
              <w:bottom w:val="single" w:color="auto" w:sz="4" w:space="0"/>
              <w:right w:val="single" w:color="auto" w:sz="4" w:space="0"/>
            </w:tcBorders>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其他节能环保支出</w:t>
            </w:r>
          </w:p>
        </w:tc>
        <w:tc>
          <w:tcPr>
            <w:tcW w:w="2961" w:type="dxa"/>
            <w:gridSpan w:val="3"/>
            <w:tcBorders>
              <w:top w:val="nil"/>
              <w:left w:val="nil"/>
              <w:bottom w:val="single" w:color="auto" w:sz="4"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500.00</w:t>
            </w:r>
          </w:p>
        </w:tc>
        <w:tc>
          <w:tcPr>
            <w:tcW w:w="3440" w:type="dxa"/>
            <w:gridSpan w:val="4"/>
            <w:tcBorders>
              <w:top w:val="nil"/>
              <w:left w:val="nil"/>
              <w:bottom w:val="single" w:color="auto" w:sz="4"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3000" w:type="dxa"/>
            <w:gridSpan w:val="2"/>
            <w:tcBorders>
              <w:top w:val="nil"/>
              <w:left w:val="nil"/>
              <w:bottom w:val="single" w:color="auto" w:sz="4" w:space="0"/>
              <w:right w:val="single" w:color="auto" w:sz="8"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500.00</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1200" w:type="dxa"/>
            <w:gridSpan w:val="2"/>
            <w:tcBorders>
              <w:top w:val="single" w:color="auto" w:sz="4" w:space="0"/>
              <w:left w:val="single" w:color="auto" w:sz="8" w:space="0"/>
              <w:bottom w:val="single" w:color="auto" w:sz="8" w:space="0"/>
              <w:right w:val="single" w:color="auto" w:sz="4" w:space="0"/>
            </w:tcBorders>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2119901</w:t>
            </w:r>
          </w:p>
        </w:tc>
        <w:tc>
          <w:tcPr>
            <w:tcW w:w="3253" w:type="dxa"/>
            <w:gridSpan w:val="2"/>
            <w:tcBorders>
              <w:top w:val="nil"/>
              <w:left w:val="nil"/>
              <w:bottom w:val="single" w:color="auto" w:sz="8" w:space="0"/>
              <w:right w:val="single" w:color="auto" w:sz="4" w:space="0"/>
            </w:tcBorders>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 xml:space="preserve">  其他节能环保支出</w:t>
            </w:r>
          </w:p>
        </w:tc>
        <w:tc>
          <w:tcPr>
            <w:tcW w:w="2961" w:type="dxa"/>
            <w:gridSpan w:val="3"/>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500.00</w:t>
            </w:r>
          </w:p>
        </w:tc>
        <w:tc>
          <w:tcPr>
            <w:tcW w:w="3440" w:type="dxa"/>
            <w:gridSpan w:val="4"/>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3000" w:type="dxa"/>
            <w:gridSpan w:val="2"/>
            <w:tcBorders>
              <w:top w:val="nil"/>
              <w:left w:val="nil"/>
              <w:bottom w:val="single" w:color="auto" w:sz="8" w:space="0"/>
              <w:right w:val="single" w:color="auto" w:sz="8"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500.00</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1200" w:type="dxa"/>
            <w:gridSpan w:val="2"/>
            <w:tcBorders>
              <w:top w:val="single" w:color="auto" w:sz="4" w:space="0"/>
              <w:left w:val="single" w:color="auto" w:sz="8" w:space="0"/>
              <w:bottom w:val="single" w:color="auto" w:sz="8" w:space="0"/>
              <w:right w:val="single" w:color="auto" w:sz="4" w:space="0"/>
            </w:tcBorders>
            <w:vAlign w:val="center"/>
          </w:tcPr>
          <w:p>
            <w:pPr>
              <w:widowControl/>
              <w:jc w:val="left"/>
              <w:textAlignment w:val="center"/>
              <w:rPr>
                <w:rFonts w:ascii="Times New Roman" w:hAnsi="Times New Roman" w:eastAsia="仿宋_GB2312" w:cs="仿宋_GB2312"/>
                <w:kern w:val="0"/>
              </w:rPr>
            </w:pPr>
            <w:r>
              <w:rPr>
                <w:rFonts w:hint="eastAsia" w:ascii="宋体" w:hAnsi="宋体" w:cs="宋体"/>
                <w:color w:val="000000"/>
                <w:kern w:val="0"/>
                <w:sz w:val="22"/>
                <w:szCs w:val="22"/>
              </w:rPr>
              <w:t>212</w:t>
            </w:r>
          </w:p>
        </w:tc>
        <w:tc>
          <w:tcPr>
            <w:tcW w:w="3253" w:type="dxa"/>
            <w:gridSpan w:val="2"/>
            <w:tcBorders>
              <w:top w:val="nil"/>
              <w:left w:val="nil"/>
              <w:bottom w:val="single" w:color="auto" w:sz="8" w:space="0"/>
              <w:right w:val="single" w:color="auto" w:sz="4" w:space="0"/>
            </w:tcBorders>
            <w:vAlign w:val="center"/>
          </w:tcPr>
          <w:p>
            <w:pPr>
              <w:widowControl/>
              <w:jc w:val="left"/>
              <w:textAlignment w:val="center"/>
              <w:rPr>
                <w:rFonts w:ascii="Times New Roman" w:hAnsi="Times New Roman" w:eastAsia="仿宋_GB2312" w:cs="仿宋_GB2312"/>
                <w:kern w:val="0"/>
              </w:rPr>
            </w:pPr>
            <w:r>
              <w:rPr>
                <w:rFonts w:hint="eastAsia" w:ascii="宋体" w:hAnsi="宋体" w:cs="宋体"/>
                <w:color w:val="000000"/>
                <w:kern w:val="0"/>
                <w:sz w:val="22"/>
                <w:szCs w:val="22"/>
              </w:rPr>
              <w:t>城乡社区支出</w:t>
            </w:r>
          </w:p>
        </w:tc>
        <w:tc>
          <w:tcPr>
            <w:tcW w:w="2961" w:type="dxa"/>
            <w:gridSpan w:val="3"/>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10,093.07</w:t>
            </w:r>
          </w:p>
        </w:tc>
        <w:tc>
          <w:tcPr>
            <w:tcW w:w="3440" w:type="dxa"/>
            <w:gridSpan w:val="4"/>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2,081.98</w:t>
            </w:r>
          </w:p>
        </w:tc>
        <w:tc>
          <w:tcPr>
            <w:tcW w:w="3000" w:type="dxa"/>
            <w:gridSpan w:val="2"/>
            <w:tcBorders>
              <w:top w:val="nil"/>
              <w:left w:val="nil"/>
              <w:bottom w:val="single" w:color="auto" w:sz="8" w:space="0"/>
              <w:right w:val="single" w:color="auto" w:sz="8"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8,011.09</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1200" w:type="dxa"/>
            <w:gridSpan w:val="2"/>
            <w:tcBorders>
              <w:top w:val="single" w:color="auto" w:sz="4" w:space="0"/>
              <w:left w:val="single" w:color="auto" w:sz="8" w:space="0"/>
              <w:bottom w:val="single" w:color="auto" w:sz="8" w:space="0"/>
              <w:right w:val="single" w:color="auto" w:sz="4" w:space="0"/>
            </w:tcBorders>
            <w:vAlign w:val="center"/>
          </w:tcPr>
          <w:p>
            <w:pPr>
              <w:widowControl/>
              <w:jc w:val="left"/>
              <w:textAlignment w:val="center"/>
              <w:rPr>
                <w:rFonts w:ascii="Times New Roman" w:hAnsi="Times New Roman" w:eastAsia="仿宋_GB2312" w:cs="仿宋_GB2312"/>
                <w:kern w:val="0"/>
              </w:rPr>
            </w:pPr>
            <w:r>
              <w:rPr>
                <w:rFonts w:hint="eastAsia" w:ascii="宋体" w:hAnsi="宋体" w:cs="宋体"/>
                <w:color w:val="000000"/>
                <w:kern w:val="0"/>
                <w:sz w:val="22"/>
                <w:szCs w:val="22"/>
              </w:rPr>
              <w:t>21201</w:t>
            </w:r>
          </w:p>
        </w:tc>
        <w:tc>
          <w:tcPr>
            <w:tcW w:w="3253" w:type="dxa"/>
            <w:gridSpan w:val="2"/>
            <w:tcBorders>
              <w:top w:val="nil"/>
              <w:left w:val="nil"/>
              <w:bottom w:val="single" w:color="auto" w:sz="8" w:space="0"/>
              <w:right w:val="single" w:color="auto" w:sz="4" w:space="0"/>
            </w:tcBorders>
            <w:vAlign w:val="center"/>
          </w:tcPr>
          <w:p>
            <w:pPr>
              <w:widowControl/>
              <w:jc w:val="left"/>
              <w:textAlignment w:val="center"/>
              <w:rPr>
                <w:rFonts w:ascii="Times New Roman" w:hAnsi="Times New Roman" w:eastAsia="仿宋_GB2312" w:cs="仿宋_GB2312"/>
                <w:kern w:val="0"/>
              </w:rPr>
            </w:pPr>
            <w:r>
              <w:rPr>
                <w:rFonts w:hint="eastAsia" w:ascii="宋体" w:hAnsi="宋体" w:cs="宋体"/>
                <w:color w:val="000000"/>
                <w:kern w:val="0"/>
                <w:sz w:val="22"/>
                <w:szCs w:val="22"/>
              </w:rPr>
              <w:t>城乡社区管理事务</w:t>
            </w:r>
          </w:p>
        </w:tc>
        <w:tc>
          <w:tcPr>
            <w:tcW w:w="2961" w:type="dxa"/>
            <w:gridSpan w:val="3"/>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10,093.07</w:t>
            </w:r>
          </w:p>
        </w:tc>
        <w:tc>
          <w:tcPr>
            <w:tcW w:w="3440" w:type="dxa"/>
            <w:gridSpan w:val="4"/>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2,081.98</w:t>
            </w:r>
          </w:p>
        </w:tc>
        <w:tc>
          <w:tcPr>
            <w:tcW w:w="3000" w:type="dxa"/>
            <w:gridSpan w:val="2"/>
            <w:tcBorders>
              <w:top w:val="nil"/>
              <w:left w:val="nil"/>
              <w:bottom w:val="single" w:color="auto" w:sz="8" w:space="0"/>
              <w:right w:val="single" w:color="auto" w:sz="8"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8,011.09</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1200" w:type="dxa"/>
            <w:gridSpan w:val="2"/>
            <w:tcBorders>
              <w:top w:val="single" w:color="auto" w:sz="4" w:space="0"/>
              <w:left w:val="single" w:color="auto" w:sz="8" w:space="0"/>
              <w:bottom w:val="single" w:color="auto" w:sz="8" w:space="0"/>
              <w:right w:val="single" w:color="auto" w:sz="4" w:space="0"/>
            </w:tcBorders>
            <w:vAlign w:val="center"/>
          </w:tcPr>
          <w:p>
            <w:pPr>
              <w:widowControl/>
              <w:jc w:val="left"/>
              <w:textAlignment w:val="center"/>
              <w:rPr>
                <w:rFonts w:ascii="Times New Roman" w:hAnsi="Times New Roman" w:eastAsia="仿宋_GB2312" w:cs="仿宋_GB2312"/>
                <w:kern w:val="0"/>
              </w:rPr>
            </w:pPr>
            <w:r>
              <w:rPr>
                <w:rFonts w:hint="eastAsia" w:ascii="宋体" w:hAnsi="宋体" w:cs="宋体"/>
                <w:color w:val="000000"/>
                <w:kern w:val="0"/>
                <w:sz w:val="22"/>
                <w:szCs w:val="22"/>
              </w:rPr>
              <w:t>2120101</w:t>
            </w:r>
          </w:p>
        </w:tc>
        <w:tc>
          <w:tcPr>
            <w:tcW w:w="3253" w:type="dxa"/>
            <w:gridSpan w:val="2"/>
            <w:tcBorders>
              <w:top w:val="nil"/>
              <w:left w:val="nil"/>
              <w:bottom w:val="single" w:color="auto" w:sz="8" w:space="0"/>
              <w:right w:val="single" w:color="auto" w:sz="4" w:space="0"/>
            </w:tcBorders>
            <w:vAlign w:val="center"/>
          </w:tcPr>
          <w:p>
            <w:pPr>
              <w:widowControl/>
              <w:jc w:val="left"/>
              <w:textAlignment w:val="center"/>
              <w:rPr>
                <w:rFonts w:ascii="Times New Roman" w:hAnsi="Times New Roman" w:eastAsia="仿宋_GB2312" w:cs="仿宋_GB2312"/>
                <w:kern w:val="0"/>
              </w:rPr>
            </w:pPr>
            <w:r>
              <w:rPr>
                <w:rFonts w:hint="eastAsia" w:ascii="宋体" w:hAnsi="宋体" w:cs="宋体"/>
                <w:color w:val="000000"/>
                <w:kern w:val="0"/>
                <w:sz w:val="22"/>
                <w:szCs w:val="22"/>
              </w:rPr>
              <w:t xml:space="preserve">  行政运行</w:t>
            </w:r>
          </w:p>
        </w:tc>
        <w:tc>
          <w:tcPr>
            <w:tcW w:w="2961" w:type="dxa"/>
            <w:gridSpan w:val="3"/>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1,562.64</w:t>
            </w:r>
          </w:p>
        </w:tc>
        <w:tc>
          <w:tcPr>
            <w:tcW w:w="3440" w:type="dxa"/>
            <w:gridSpan w:val="4"/>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1,562.64</w:t>
            </w:r>
          </w:p>
        </w:tc>
        <w:tc>
          <w:tcPr>
            <w:tcW w:w="3000" w:type="dxa"/>
            <w:gridSpan w:val="2"/>
            <w:tcBorders>
              <w:top w:val="nil"/>
              <w:left w:val="nil"/>
              <w:bottom w:val="single" w:color="auto" w:sz="8" w:space="0"/>
              <w:right w:val="single" w:color="auto" w:sz="8"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0.00</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1200" w:type="dxa"/>
            <w:gridSpan w:val="2"/>
            <w:tcBorders>
              <w:top w:val="single" w:color="auto" w:sz="4" w:space="0"/>
              <w:left w:val="single" w:color="auto" w:sz="8" w:space="0"/>
              <w:bottom w:val="single" w:color="auto" w:sz="8" w:space="0"/>
              <w:right w:val="single" w:color="auto" w:sz="4" w:space="0"/>
            </w:tcBorders>
            <w:vAlign w:val="center"/>
          </w:tcPr>
          <w:p>
            <w:pPr>
              <w:widowControl/>
              <w:jc w:val="left"/>
              <w:textAlignment w:val="center"/>
              <w:rPr>
                <w:rFonts w:ascii="Times New Roman" w:hAnsi="Times New Roman" w:eastAsia="仿宋_GB2312" w:cs="仿宋_GB2312"/>
                <w:kern w:val="0"/>
              </w:rPr>
            </w:pPr>
            <w:r>
              <w:rPr>
                <w:rFonts w:hint="eastAsia" w:ascii="宋体" w:hAnsi="宋体" w:cs="宋体"/>
                <w:color w:val="000000"/>
                <w:kern w:val="0"/>
                <w:sz w:val="22"/>
                <w:szCs w:val="22"/>
              </w:rPr>
              <w:t>2120102</w:t>
            </w:r>
          </w:p>
        </w:tc>
        <w:tc>
          <w:tcPr>
            <w:tcW w:w="3253" w:type="dxa"/>
            <w:gridSpan w:val="2"/>
            <w:tcBorders>
              <w:top w:val="nil"/>
              <w:left w:val="nil"/>
              <w:bottom w:val="single" w:color="auto" w:sz="8" w:space="0"/>
              <w:right w:val="single" w:color="auto" w:sz="4" w:space="0"/>
            </w:tcBorders>
            <w:vAlign w:val="center"/>
          </w:tcPr>
          <w:p>
            <w:pPr>
              <w:widowControl/>
              <w:jc w:val="left"/>
              <w:textAlignment w:val="center"/>
              <w:rPr>
                <w:rFonts w:ascii="Times New Roman" w:hAnsi="Times New Roman" w:eastAsia="仿宋_GB2312" w:cs="仿宋_GB2312"/>
                <w:kern w:val="0"/>
              </w:rPr>
            </w:pPr>
            <w:r>
              <w:rPr>
                <w:rFonts w:hint="eastAsia" w:ascii="宋体" w:hAnsi="宋体" w:cs="宋体"/>
                <w:color w:val="000000"/>
                <w:kern w:val="0"/>
                <w:sz w:val="22"/>
                <w:szCs w:val="22"/>
              </w:rPr>
              <w:t xml:space="preserve">  一般行政管理事务</w:t>
            </w:r>
          </w:p>
        </w:tc>
        <w:tc>
          <w:tcPr>
            <w:tcW w:w="2961" w:type="dxa"/>
            <w:gridSpan w:val="3"/>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1,678.45</w:t>
            </w:r>
          </w:p>
        </w:tc>
        <w:tc>
          <w:tcPr>
            <w:tcW w:w="3440" w:type="dxa"/>
            <w:gridSpan w:val="4"/>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519.34</w:t>
            </w:r>
          </w:p>
        </w:tc>
        <w:tc>
          <w:tcPr>
            <w:tcW w:w="3000" w:type="dxa"/>
            <w:gridSpan w:val="2"/>
            <w:tcBorders>
              <w:top w:val="nil"/>
              <w:left w:val="nil"/>
              <w:bottom w:val="single" w:color="auto" w:sz="8" w:space="0"/>
              <w:right w:val="single" w:color="auto" w:sz="8"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1,159.11</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1200" w:type="dxa"/>
            <w:gridSpan w:val="2"/>
            <w:tcBorders>
              <w:top w:val="single" w:color="auto" w:sz="4" w:space="0"/>
              <w:left w:val="single" w:color="auto" w:sz="8" w:space="0"/>
              <w:bottom w:val="single" w:color="auto" w:sz="8" w:space="0"/>
              <w:right w:val="single" w:color="auto" w:sz="4" w:space="0"/>
            </w:tcBorders>
            <w:vAlign w:val="center"/>
          </w:tcPr>
          <w:p>
            <w:pPr>
              <w:widowControl/>
              <w:jc w:val="left"/>
              <w:textAlignment w:val="center"/>
              <w:rPr>
                <w:rFonts w:ascii="Times New Roman" w:hAnsi="Times New Roman" w:eastAsia="仿宋_GB2312" w:cs="仿宋_GB2312"/>
                <w:kern w:val="0"/>
              </w:rPr>
            </w:pPr>
            <w:r>
              <w:rPr>
                <w:rFonts w:hint="eastAsia" w:ascii="宋体" w:hAnsi="宋体" w:cs="宋体"/>
                <w:color w:val="000000"/>
                <w:kern w:val="0"/>
                <w:sz w:val="22"/>
                <w:szCs w:val="22"/>
              </w:rPr>
              <w:t>2120199</w:t>
            </w:r>
          </w:p>
        </w:tc>
        <w:tc>
          <w:tcPr>
            <w:tcW w:w="3253" w:type="dxa"/>
            <w:gridSpan w:val="2"/>
            <w:tcBorders>
              <w:top w:val="nil"/>
              <w:left w:val="nil"/>
              <w:bottom w:val="single" w:color="auto" w:sz="8" w:space="0"/>
              <w:right w:val="single" w:color="auto" w:sz="4" w:space="0"/>
            </w:tcBorders>
            <w:vAlign w:val="center"/>
          </w:tcPr>
          <w:p>
            <w:pPr>
              <w:widowControl/>
              <w:jc w:val="left"/>
              <w:textAlignment w:val="center"/>
              <w:rPr>
                <w:rFonts w:ascii="Times New Roman" w:hAnsi="Times New Roman" w:eastAsia="仿宋_GB2312" w:cs="仿宋_GB2312"/>
                <w:kern w:val="0"/>
              </w:rPr>
            </w:pPr>
            <w:r>
              <w:rPr>
                <w:rFonts w:hint="eastAsia" w:ascii="宋体" w:hAnsi="宋体" w:cs="宋体"/>
                <w:color w:val="000000"/>
                <w:kern w:val="0"/>
                <w:sz w:val="22"/>
                <w:szCs w:val="22"/>
              </w:rPr>
              <w:t xml:space="preserve">  其他城乡社区管理事务支出</w:t>
            </w:r>
          </w:p>
        </w:tc>
        <w:tc>
          <w:tcPr>
            <w:tcW w:w="2961" w:type="dxa"/>
            <w:gridSpan w:val="3"/>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6,851.98</w:t>
            </w:r>
          </w:p>
        </w:tc>
        <w:tc>
          <w:tcPr>
            <w:tcW w:w="3440" w:type="dxa"/>
            <w:gridSpan w:val="4"/>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0.00</w:t>
            </w:r>
          </w:p>
        </w:tc>
        <w:tc>
          <w:tcPr>
            <w:tcW w:w="3000" w:type="dxa"/>
            <w:gridSpan w:val="2"/>
            <w:tcBorders>
              <w:top w:val="nil"/>
              <w:left w:val="nil"/>
              <w:bottom w:val="single" w:color="auto" w:sz="8" w:space="0"/>
              <w:right w:val="single" w:color="auto" w:sz="8" w:space="0"/>
            </w:tcBorders>
            <w:vAlign w:val="center"/>
          </w:tcPr>
          <w:p>
            <w:pPr>
              <w:widowControl/>
              <w:jc w:val="right"/>
              <w:textAlignment w:val="center"/>
              <w:rPr>
                <w:rFonts w:ascii="Times New Roman" w:hAnsi="Times New Roman" w:eastAsia="仿宋_GB2312" w:cs="仿宋_GB2312"/>
                <w:kern w:val="0"/>
              </w:rPr>
            </w:pPr>
            <w:r>
              <w:rPr>
                <w:rFonts w:hint="eastAsia" w:ascii="宋体" w:hAnsi="宋体" w:cs="宋体"/>
                <w:color w:val="000000"/>
                <w:kern w:val="0"/>
                <w:sz w:val="22"/>
                <w:szCs w:val="22"/>
              </w:rPr>
              <w:t>6,851.98</w:t>
            </w:r>
          </w:p>
        </w:tc>
      </w:tr>
      <w:tr>
        <w:tblPrEx>
          <w:tblCellMar>
            <w:top w:w="0" w:type="dxa"/>
            <w:left w:w="108" w:type="dxa"/>
            <w:bottom w:w="0" w:type="dxa"/>
            <w:right w:w="108" w:type="dxa"/>
          </w:tblCellMar>
        </w:tblPrEx>
        <w:trPr>
          <w:gridBefore w:val="1"/>
          <w:gridAfter w:val="2"/>
          <w:wBefore w:w="106" w:type="dxa"/>
          <w:wAfter w:w="1280" w:type="dxa"/>
          <w:trHeight w:val="393" w:hRule="atLeast"/>
          <w:jc w:val="center"/>
        </w:trPr>
        <w:tc>
          <w:tcPr>
            <w:tcW w:w="1200" w:type="dxa"/>
            <w:gridSpan w:val="2"/>
            <w:tcBorders>
              <w:top w:val="single" w:color="auto" w:sz="4" w:space="0"/>
              <w:left w:val="single" w:color="auto" w:sz="8" w:space="0"/>
              <w:bottom w:val="single" w:color="auto" w:sz="8" w:space="0"/>
              <w:right w:val="single" w:color="auto" w:sz="4" w:space="0"/>
            </w:tcBorders>
            <w:vAlign w:val="center"/>
          </w:tcPr>
          <w:p>
            <w:pPr>
              <w:jc w:val="left"/>
              <w:rPr>
                <w:rFonts w:ascii="Times New Roman" w:hAnsi="Times New Roman" w:eastAsia="仿宋_GB2312" w:cs="仿宋_GB2312"/>
                <w:kern w:val="0"/>
              </w:rPr>
            </w:pPr>
          </w:p>
        </w:tc>
        <w:tc>
          <w:tcPr>
            <w:tcW w:w="3253" w:type="dxa"/>
            <w:gridSpan w:val="2"/>
            <w:tcBorders>
              <w:top w:val="nil"/>
              <w:left w:val="nil"/>
              <w:bottom w:val="single" w:color="auto" w:sz="8" w:space="0"/>
              <w:right w:val="single" w:color="auto" w:sz="4" w:space="0"/>
            </w:tcBorders>
            <w:vAlign w:val="center"/>
          </w:tcPr>
          <w:p>
            <w:pPr>
              <w:jc w:val="left"/>
              <w:rPr>
                <w:rFonts w:ascii="Times New Roman" w:hAnsi="Times New Roman" w:eastAsia="仿宋_GB2312" w:cs="仿宋_GB2312"/>
                <w:kern w:val="0"/>
              </w:rPr>
            </w:pPr>
          </w:p>
        </w:tc>
        <w:tc>
          <w:tcPr>
            <w:tcW w:w="2961" w:type="dxa"/>
            <w:gridSpan w:val="3"/>
            <w:tcBorders>
              <w:top w:val="nil"/>
              <w:left w:val="nil"/>
              <w:bottom w:val="single" w:color="auto" w:sz="8" w:space="0"/>
              <w:right w:val="single" w:color="auto" w:sz="4" w:space="0"/>
            </w:tcBorders>
            <w:vAlign w:val="center"/>
          </w:tcPr>
          <w:p>
            <w:pPr>
              <w:jc w:val="right"/>
              <w:rPr>
                <w:rFonts w:ascii="Times New Roman" w:hAnsi="Times New Roman" w:eastAsia="仿宋_GB2312" w:cs="仿宋_GB2312"/>
                <w:kern w:val="0"/>
              </w:rPr>
            </w:pPr>
          </w:p>
        </w:tc>
        <w:tc>
          <w:tcPr>
            <w:tcW w:w="3440" w:type="dxa"/>
            <w:gridSpan w:val="4"/>
            <w:tcBorders>
              <w:top w:val="nil"/>
              <w:left w:val="nil"/>
              <w:bottom w:val="single" w:color="auto" w:sz="8" w:space="0"/>
              <w:right w:val="single" w:color="auto" w:sz="4" w:space="0"/>
            </w:tcBorders>
            <w:vAlign w:val="center"/>
          </w:tcPr>
          <w:p>
            <w:pPr>
              <w:jc w:val="right"/>
              <w:rPr>
                <w:rFonts w:ascii="Times New Roman" w:hAnsi="Times New Roman" w:eastAsia="仿宋_GB2312" w:cs="仿宋_GB2312"/>
                <w:kern w:val="0"/>
              </w:rPr>
            </w:pPr>
          </w:p>
        </w:tc>
        <w:tc>
          <w:tcPr>
            <w:tcW w:w="3000" w:type="dxa"/>
            <w:gridSpan w:val="2"/>
            <w:tcBorders>
              <w:top w:val="nil"/>
              <w:left w:val="nil"/>
              <w:bottom w:val="single" w:color="auto" w:sz="8" w:space="0"/>
              <w:right w:val="single" w:color="auto" w:sz="8" w:space="0"/>
            </w:tcBorders>
            <w:vAlign w:val="center"/>
          </w:tcPr>
          <w:p>
            <w:pPr>
              <w:jc w:val="right"/>
              <w:rPr>
                <w:rFonts w:ascii="Times New Roman" w:hAnsi="Times New Roman" w:eastAsia="仿宋_GB2312" w:cs="仿宋_GB2312"/>
                <w:kern w:val="0"/>
              </w:rPr>
            </w:pPr>
          </w:p>
        </w:tc>
      </w:tr>
      <w:tr>
        <w:tblPrEx>
          <w:tblCellMar>
            <w:top w:w="0" w:type="dxa"/>
            <w:left w:w="108" w:type="dxa"/>
            <w:bottom w:w="0" w:type="dxa"/>
            <w:right w:w="108" w:type="dxa"/>
          </w:tblCellMar>
        </w:tblPrEx>
        <w:trPr>
          <w:gridBefore w:val="1"/>
          <w:gridAfter w:val="3"/>
          <w:wBefore w:w="106" w:type="dxa"/>
          <w:wAfter w:w="1293" w:type="dxa"/>
          <w:trHeight w:val="645" w:hRule="atLeast"/>
          <w:jc w:val="center"/>
        </w:trPr>
        <w:tc>
          <w:tcPr>
            <w:tcW w:w="13841" w:type="dxa"/>
            <w:gridSpan w:val="12"/>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r>
        <w:tblPrEx>
          <w:tblCellMar>
            <w:top w:w="0" w:type="dxa"/>
            <w:left w:w="108" w:type="dxa"/>
            <w:bottom w:w="0" w:type="dxa"/>
            <w:right w:w="108" w:type="dxa"/>
          </w:tblCellMar>
        </w:tblPrEx>
        <w:trPr>
          <w:trHeight w:val="113" w:hRule="atLeast"/>
          <w:jc w:val="center"/>
        </w:trPr>
        <w:tc>
          <w:tcPr>
            <w:tcW w:w="15240" w:type="dxa"/>
            <w:gridSpan w:val="16"/>
            <w:tcBorders>
              <w:top w:val="nil"/>
              <w:left w:val="nil"/>
              <w:bottom w:val="nil"/>
              <w:right w:val="nil"/>
            </w:tcBorders>
            <w:vAlign w:val="center"/>
          </w:tcPr>
          <w:p>
            <w:pPr>
              <w:widowControl/>
              <w:jc w:val="center"/>
              <w:rPr>
                <w:rFonts w:ascii="华文中宋" w:hAnsi="华文中宋" w:eastAsia="华文中宋" w:cs="Times New Roman"/>
                <w:color w:val="000000"/>
                <w:kern w:val="0"/>
                <w:sz w:val="36"/>
                <w:szCs w:val="36"/>
              </w:rPr>
            </w:pPr>
            <w:r>
              <w:rPr>
                <w:rFonts w:ascii="Times New Roman" w:hAnsi="Times New Roman" w:eastAsia="仿宋_GB2312" w:cs="Times New Roman"/>
                <w:kern w:val="0"/>
              </w:rPr>
              <w:br w:type="page"/>
            </w:r>
            <w:bookmarkStart w:id="2" w:name="RANGE_A1_I34"/>
            <w:r>
              <w:rPr>
                <w:rFonts w:hint="eastAsia" w:ascii="华文中宋" w:hAnsi="华文中宋" w:eastAsia="华文中宋" w:cs="华文中宋"/>
                <w:color w:val="000000"/>
                <w:kern w:val="0"/>
                <w:sz w:val="36"/>
                <w:szCs w:val="36"/>
              </w:rPr>
              <w:t>一般公共预算财政拨款基本支出决算表</w:t>
            </w:r>
            <w:bookmarkEnd w:id="2"/>
          </w:p>
          <w:p>
            <w:pPr>
              <w:widowControl/>
              <w:wordWrap w:val="0"/>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rPr>
              <w:t>湘潭县城市管理和综合执法局</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113" w:hRule="atLeast"/>
          <w:jc w:val="center"/>
        </w:trPr>
        <w:tc>
          <w:tcPr>
            <w:tcW w:w="75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00"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1164"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87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2265"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92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79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3960" w:type="dxa"/>
            <w:gridSpan w:val="4"/>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119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1,556.25</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商品和服务支出</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467.99</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307</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债务利息及费用支出</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30101</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基本工资</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235.14</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30201</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办公费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14.22</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30701</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国内债务付息</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30102</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津贴补贴</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65.67</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30202</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印刷费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30702</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国外债务付息</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30103</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奖金</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130.68</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30203</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咨询费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11.01</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资本性支出</w:t>
            </w:r>
          </w:p>
        </w:tc>
        <w:tc>
          <w:tcPr>
            <w:tcW w:w="1199"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5.56</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30106</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伙食补助费</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192.68</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30204</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手续费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31001</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房屋建筑物购建</w:t>
            </w:r>
          </w:p>
        </w:tc>
        <w:tc>
          <w:tcPr>
            <w:tcW w:w="1199"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30107</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绩效工资</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224.51</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30205</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水费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1.60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31002</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办公设备购置</w:t>
            </w:r>
          </w:p>
        </w:tc>
        <w:tc>
          <w:tcPr>
            <w:tcW w:w="1199"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3.57</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30108</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机关事业单位基本养老保险缴费</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186.30</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30206</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电费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16.79</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31003</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专用设备购置</w:t>
            </w:r>
          </w:p>
        </w:tc>
        <w:tc>
          <w:tcPr>
            <w:tcW w:w="1199"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1.99</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30109</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职业年金缴费</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29.82</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30207</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邮电费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3.33</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31005</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基础设施建设</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30110</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职工基本医疗保险缴费</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133.52</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30208</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取暖费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31006</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大型修缮</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30111</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公务员医疗补助缴费</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30209</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物业管理费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41.33</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31007</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信息网络及软件购置更新</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30112</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其他社会保障缴费</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11.52</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30211</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差旅费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31008</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物资储备</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30113</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住房公积金</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320.14</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30212</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因公出国（境）费用</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31009</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土地补偿</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30114</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医疗费</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30213</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维修（护）费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9.71</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31010</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安置补助</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30199</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其他工资福利支出</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26.27</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30214</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租赁费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31011</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地上附着物和青苗补偿</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对个人和家庭的补助</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55.78</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30215</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会议费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31012</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拆迁补偿</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30301</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离休费</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30216</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培训费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1.59</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31013</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公务用车购置</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30302</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退休费</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30217</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公务接待费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31019</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其他交通工具购置</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30303</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退职（役）费</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30218</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专用材料费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31021</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文物和陈列品购置</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30304</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抚恤金</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33.61</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30224</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被装购置费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31022</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无形资产购置</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30305</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生活补助</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6.97</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30225</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专用燃料费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31099</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其他资本性支出</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30306</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救济费</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30226</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劳务费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399</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30307</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医疗费补助</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30227</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委托业务费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39906</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赠与</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30308</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助学金</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30228</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工会经费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49.35</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39907</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国家赔偿费用支出</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30309</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奖励金</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30229</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福利费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39908</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对民间非营利组织和群众性自治组织补贴</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30310</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个人农业生产补贴</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30231</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公务用车运行维护费</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1.52</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39999</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30311</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代缴社会保险费</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30239</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其他交通费用</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177.55</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30399</w:t>
            </w:r>
          </w:p>
        </w:tc>
        <w:tc>
          <w:tcPr>
            <w:tcW w:w="3300" w:type="dxa"/>
            <w:gridSpan w:val="2"/>
            <w:tcBorders>
              <w:top w:val="single" w:color="auto" w:sz="4" w:space="0"/>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其他对个人和家庭的补助</w:t>
            </w:r>
          </w:p>
        </w:tc>
        <w:tc>
          <w:tcPr>
            <w:tcW w:w="1164" w:type="dxa"/>
            <w:gridSpan w:val="2"/>
            <w:tcBorders>
              <w:top w:val="single" w:color="auto" w:sz="4" w:space="0"/>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15.20</w:t>
            </w:r>
          </w:p>
        </w:tc>
        <w:tc>
          <w:tcPr>
            <w:tcW w:w="876" w:type="dxa"/>
            <w:tcBorders>
              <w:top w:val="single" w:color="auto" w:sz="4" w:space="0"/>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30240</w:t>
            </w:r>
          </w:p>
        </w:tc>
        <w:tc>
          <w:tcPr>
            <w:tcW w:w="2265" w:type="dxa"/>
            <w:gridSpan w:val="2"/>
            <w:tcBorders>
              <w:top w:val="single" w:color="auto" w:sz="4" w:space="0"/>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税金及附加费用</w:t>
            </w:r>
          </w:p>
        </w:tc>
        <w:tc>
          <w:tcPr>
            <w:tcW w:w="928" w:type="dxa"/>
            <w:tcBorders>
              <w:top w:val="single" w:color="auto" w:sz="4" w:space="0"/>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0.00</w:t>
            </w:r>
          </w:p>
        </w:tc>
        <w:tc>
          <w:tcPr>
            <w:tcW w:w="797" w:type="dxa"/>
            <w:tcBorders>
              <w:top w:val="single" w:color="auto" w:sz="4" w:space="0"/>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960" w:type="dxa"/>
            <w:gridSpan w:val="4"/>
            <w:tcBorders>
              <w:top w:val="single" w:color="auto" w:sz="4" w:space="0"/>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199" w:type="dxa"/>
            <w:tcBorders>
              <w:top w:val="single" w:color="auto" w:sz="4" w:space="0"/>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751" w:type="dxa"/>
            <w:gridSpan w:val="2"/>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300"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164" w:type="dxa"/>
            <w:gridSpan w:val="2"/>
            <w:tcBorders>
              <w:top w:val="nil"/>
              <w:left w:val="nil"/>
              <w:bottom w:val="single" w:color="auto" w:sz="4" w:space="0"/>
              <w:right w:val="single" w:color="auto" w:sz="4" w:space="0"/>
            </w:tcBorders>
            <w:vAlign w:val="center"/>
          </w:tcPr>
          <w:p>
            <w:pPr>
              <w:jc w:val="right"/>
              <w:rPr>
                <w:rFonts w:ascii="宋体" w:cs="Times New Roman"/>
                <w:color w:val="000000"/>
                <w:kern w:val="0"/>
              </w:rPr>
            </w:pPr>
          </w:p>
        </w:tc>
        <w:tc>
          <w:tcPr>
            <w:tcW w:w="87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30299</w:t>
            </w:r>
          </w:p>
        </w:tc>
        <w:tc>
          <w:tcPr>
            <w:tcW w:w="2265"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其他商品和服务支出</w:t>
            </w:r>
          </w:p>
        </w:tc>
        <w:tc>
          <w:tcPr>
            <w:tcW w:w="928"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139.99</w:t>
            </w:r>
          </w:p>
        </w:tc>
        <w:tc>
          <w:tcPr>
            <w:tcW w:w="79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960" w:type="dxa"/>
            <w:gridSpan w:val="4"/>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199"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4051"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1164" w:type="dxa"/>
            <w:gridSpan w:val="2"/>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1,612.03</w:t>
            </w:r>
          </w:p>
        </w:tc>
        <w:tc>
          <w:tcPr>
            <w:tcW w:w="8826" w:type="dxa"/>
            <w:gridSpan w:val="9"/>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公用经费合计</w:t>
            </w:r>
          </w:p>
        </w:tc>
        <w:tc>
          <w:tcPr>
            <w:tcW w:w="1199" w:type="dxa"/>
            <w:tcBorders>
              <w:top w:val="nil"/>
              <w:left w:val="nil"/>
              <w:bottom w:val="single" w:color="auto" w:sz="4" w:space="0"/>
              <w:right w:val="single" w:color="auto" w:sz="4" w:space="0"/>
            </w:tcBorders>
            <w:vAlign w:val="center"/>
          </w:tcPr>
          <w:p>
            <w:pPr>
              <w:widowControl/>
              <w:jc w:val="right"/>
              <w:textAlignment w:val="center"/>
              <w:rPr>
                <w:rFonts w:ascii="宋体" w:cs="Times New Roman"/>
                <w:color w:val="000000"/>
                <w:kern w:val="0"/>
              </w:rPr>
            </w:pPr>
            <w:r>
              <w:rPr>
                <w:rFonts w:hint="eastAsia" w:ascii="宋体" w:hAnsi="宋体" w:cs="宋体"/>
                <w:color w:val="000000"/>
                <w:kern w:val="0"/>
                <w:sz w:val="22"/>
                <w:szCs w:val="22"/>
              </w:rPr>
              <w:t>473.55</w:t>
            </w:r>
          </w:p>
        </w:tc>
      </w:tr>
      <w:tr>
        <w:tblPrEx>
          <w:tblCellMar>
            <w:top w:w="0" w:type="dxa"/>
            <w:left w:w="108" w:type="dxa"/>
            <w:bottom w:w="0" w:type="dxa"/>
            <w:right w:w="108" w:type="dxa"/>
          </w:tblCellMar>
        </w:tblPrEx>
        <w:trPr>
          <w:trHeight w:val="284" w:hRule="exact"/>
          <w:jc w:val="center"/>
        </w:trPr>
        <w:tc>
          <w:tcPr>
            <w:tcW w:w="15240" w:type="dxa"/>
            <w:gridSpan w:val="16"/>
            <w:tcBorders>
              <w:top w:val="nil"/>
              <w:left w:val="nil"/>
              <w:bottom w:val="nil"/>
              <w:right w:val="nil"/>
            </w:tcBorders>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rPr>
        <w:t>湘潭县城市管理和综合执法局</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20.20</w:t>
            </w:r>
          </w:p>
        </w:tc>
        <w:tc>
          <w:tcPr>
            <w:tcW w:w="1220" w:type="dxa"/>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1220" w:type="dxa"/>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4.80</w:t>
            </w:r>
          </w:p>
        </w:tc>
        <w:tc>
          <w:tcPr>
            <w:tcW w:w="1220" w:type="dxa"/>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1220" w:type="dxa"/>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4.80</w:t>
            </w:r>
          </w:p>
        </w:tc>
        <w:tc>
          <w:tcPr>
            <w:tcW w:w="1220" w:type="dxa"/>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15.40</w:t>
            </w:r>
          </w:p>
        </w:tc>
        <w:tc>
          <w:tcPr>
            <w:tcW w:w="1220" w:type="dxa"/>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1.52</w:t>
            </w:r>
          </w:p>
        </w:tc>
        <w:tc>
          <w:tcPr>
            <w:tcW w:w="1220" w:type="dxa"/>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1220" w:type="dxa"/>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1.52</w:t>
            </w:r>
          </w:p>
        </w:tc>
        <w:tc>
          <w:tcPr>
            <w:tcW w:w="1220" w:type="dxa"/>
            <w:tcBorders>
              <w:top w:val="nil"/>
              <w:left w:val="nil"/>
              <w:bottom w:val="single" w:color="auto" w:sz="8" w:space="0"/>
              <w:right w:val="single" w:color="auto" w:sz="4" w:space="0"/>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1220" w:type="dxa"/>
            <w:tcBorders>
              <w:top w:val="nil"/>
              <w:left w:val="nil"/>
              <w:bottom w:val="single" w:color="auto" w:sz="8" w:space="0"/>
              <w:right w:val="nil"/>
            </w:tcBorders>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1.52</w:t>
            </w:r>
          </w:p>
        </w:tc>
        <w:tc>
          <w:tcPr>
            <w:tcW w:w="1220" w:type="dxa"/>
            <w:tcBorders>
              <w:top w:val="nil"/>
              <w:left w:val="single" w:color="auto" w:sz="4" w:space="0"/>
              <w:bottom w:val="single" w:color="auto" w:sz="8" w:space="0"/>
              <w:right w:val="single" w:color="auto" w:sz="8"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0.00</w:t>
            </w:r>
          </w:p>
        </w:tc>
      </w:tr>
    </w:tbl>
    <w:p>
      <w:pPr>
        <w:widowControl/>
        <w:jc w:val="center"/>
        <w:rPr>
          <w:rFonts w:ascii="Times New Roman" w:hAnsi="Times New Roman" w:eastAsia="方正小标宋_GBK" w:cs="Times New Roman"/>
          <w:kern w:val="0"/>
          <w:sz w:val="36"/>
          <w:szCs w:val="36"/>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r>
        <w:rPr>
          <w:rFonts w:hint="eastAsia" w:ascii="Times New Roman" w:hAnsi="Times New Roman" w:eastAsia="方正小标宋_GBK" w:cs="方正小标宋_GBK"/>
          <w:kern w:val="0"/>
          <w:sz w:val="36"/>
          <w:szCs w:val="36"/>
        </w:rPr>
        <w:t>政府性基金预算财政拨款收入支出决算表</w:t>
      </w:r>
    </w:p>
    <w:p>
      <w:pPr>
        <w:widowControl/>
        <w:wordWrap w:val="0"/>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rPr>
        <w:t>湘潭县城市管理和综合执法局</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b/>
                <w:color w:val="000000"/>
                <w:kern w:val="0"/>
                <w:sz w:val="22"/>
                <w:szCs w:val="22"/>
              </w:rPr>
              <w:t>1.24</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b/>
                <w:color w:val="000000"/>
                <w:kern w:val="0"/>
                <w:sz w:val="22"/>
                <w:szCs w:val="22"/>
              </w:rPr>
              <w:t>1.24</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b/>
                <w:color w:val="000000"/>
                <w:kern w:val="0"/>
                <w:sz w:val="22"/>
                <w:szCs w:val="22"/>
              </w:rPr>
              <w:t>0.00</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b/>
                <w:color w:val="000000"/>
                <w:kern w:val="0"/>
                <w:sz w:val="22"/>
                <w:szCs w:val="22"/>
              </w:rPr>
              <w:t>1.24</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234</w:t>
            </w:r>
          </w:p>
        </w:tc>
        <w:tc>
          <w:tcPr>
            <w:tcW w:w="1320" w:type="dxa"/>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抗疫特别国债安排的支出</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1.24</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1.24</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1.24</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23402</w:t>
            </w:r>
          </w:p>
        </w:tc>
        <w:tc>
          <w:tcPr>
            <w:tcW w:w="1320" w:type="dxa"/>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抗疫相关支出</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1.24</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1.24</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1.24</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2340299</w:t>
            </w:r>
          </w:p>
        </w:tc>
        <w:tc>
          <w:tcPr>
            <w:tcW w:w="1320" w:type="dxa"/>
            <w:vAlign w:val="center"/>
          </w:tcPr>
          <w:p>
            <w:pPr>
              <w:widowControl/>
              <w:jc w:val="left"/>
              <w:textAlignment w:val="center"/>
              <w:rPr>
                <w:rFonts w:ascii="Times New Roman" w:hAnsi="Times New Roman" w:eastAsia="仿宋_GB2312" w:cs="Times New Roman"/>
                <w:kern w:val="0"/>
              </w:rPr>
            </w:pPr>
            <w:r>
              <w:rPr>
                <w:rFonts w:hint="eastAsia" w:ascii="宋体" w:hAnsi="宋体" w:cs="宋体"/>
                <w:color w:val="000000"/>
                <w:kern w:val="0"/>
                <w:sz w:val="22"/>
                <w:szCs w:val="22"/>
              </w:rPr>
              <w:t xml:space="preserve">  其他抗疫相关支出</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1.24</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1.24</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1.24</w:t>
            </w:r>
          </w:p>
        </w:tc>
        <w:tc>
          <w:tcPr>
            <w:tcW w:w="2000" w:type="dxa"/>
            <w:vAlign w:val="center"/>
          </w:tcPr>
          <w:p>
            <w:pPr>
              <w:widowControl/>
              <w:jc w:val="right"/>
              <w:textAlignment w:val="center"/>
              <w:rPr>
                <w:rFonts w:ascii="Times New Roman" w:hAnsi="Times New Roman" w:eastAsia="仿宋_GB2312" w:cs="Times New Roman"/>
                <w:kern w:val="0"/>
              </w:rPr>
            </w:pPr>
            <w:r>
              <w:rPr>
                <w:rFonts w:hint="eastAsia" w:ascii="宋体" w:hAnsi="宋体" w:cs="宋体"/>
                <w:color w:val="000000"/>
                <w:kern w:val="0"/>
                <w:sz w:val="22"/>
                <w:szCs w:val="22"/>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仿宋_GB2312"/>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p>
    <w:tbl>
      <w:tblPr>
        <w:tblStyle w:val="6"/>
        <w:tblW w:w="14190" w:type="dxa"/>
        <w:tblInd w:w="-106" w:type="dxa"/>
        <w:tblLayout w:type="fixed"/>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ascii="黑体" w:hAnsi="黑体" w:eastAsia="黑体" w:cs="Times New Roman"/>
              </w:rPr>
              <w:br w:type="page"/>
            </w: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部门：湘潭县城市管理和综合执法局</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28" w:type="dxa"/>
            <w:gridSpan w:val="4"/>
            <w:vMerge w:val="restart"/>
            <w:tcBorders>
              <w:top w:val="nil"/>
              <w:left w:val="nil"/>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p>
            <w:pPr>
              <w:widowControl/>
              <w:jc w:val="center"/>
              <w:rPr>
                <w:rFonts w:ascii="宋体" w:hAnsi="宋体" w:cs="宋体"/>
                <w:kern w:val="0"/>
                <w:sz w:val="24"/>
                <w:szCs w:val="24"/>
              </w:rPr>
            </w:pPr>
          </w:p>
          <w:p>
            <w:pPr>
              <w:widowControl/>
              <w:jc w:val="center"/>
              <w:rPr>
                <w:rFonts w:ascii="宋体" w:cs="Times New Roman"/>
                <w:kern w:val="0"/>
                <w:sz w:val="44"/>
                <w:szCs w:val="44"/>
              </w:rPr>
            </w:pPr>
            <w:r>
              <w:rPr>
                <w:rFonts w:hint="eastAsia" w:ascii="宋体" w:hAnsi="宋体" w:cs="宋体"/>
                <w:kern w:val="0"/>
                <w:sz w:val="44"/>
                <w:szCs w:val="44"/>
              </w:rPr>
              <w:t>无</w:t>
            </w:r>
          </w:p>
          <w:p>
            <w:pPr>
              <w:widowControl/>
              <w:jc w:val="left"/>
              <w:rPr>
                <w:rFonts w:ascii="宋体" w:cs="Times New Roman"/>
                <w:kern w:val="0"/>
                <w:sz w:val="44"/>
                <w:szCs w:val="44"/>
              </w:rPr>
            </w:pPr>
            <w:r>
              <w:rPr>
                <w:rFonts w:hint="eastAsia" w:ascii="宋体" w:hAnsi="宋体" w:cs="宋体"/>
                <w:kern w:val="0"/>
                <w:sz w:val="44"/>
                <w:szCs w:val="44"/>
              </w:rPr>
              <w:t>　</w:t>
            </w:r>
          </w:p>
          <w:p>
            <w:pPr>
              <w:widowControl/>
              <w:jc w:val="left"/>
              <w:rPr>
                <w:rFonts w:ascii="宋体" w:cs="Times New Roman"/>
                <w:kern w:val="0"/>
                <w:sz w:val="24"/>
                <w:szCs w:val="24"/>
              </w:rPr>
            </w:pPr>
            <w:r>
              <w:rPr>
                <w:rFonts w:hint="eastAsia" w:ascii="宋体" w:hAnsi="宋体" w:cs="宋体"/>
                <w:kern w:val="0"/>
                <w:sz w:val="24"/>
                <w:szCs w:val="24"/>
              </w:rPr>
              <w:t>　</w:t>
            </w:r>
          </w:p>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5528" w:type="dxa"/>
            <w:gridSpan w:val="4"/>
            <w:vMerge w:val="continue"/>
            <w:tcBorders>
              <w:left w:val="nil"/>
              <w:right w:val="single" w:color="auto" w:sz="4" w:space="0"/>
            </w:tcBorders>
            <w:vAlign w:val="center"/>
          </w:tcPr>
          <w:p>
            <w:pPr>
              <w:widowControl/>
              <w:jc w:val="left"/>
              <w:rPr>
                <w:rFonts w:ascii="宋体" w:cs="Times New Roman"/>
                <w:kern w:val="0"/>
                <w:sz w:val="24"/>
                <w:szCs w:val="24"/>
              </w:rPr>
            </w:pP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5528" w:type="dxa"/>
            <w:gridSpan w:val="4"/>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0"/>
        <w:rPr>
          <w:rFonts w:cs="Times New Roman"/>
          <w:sz w:val="72"/>
          <w:szCs w:val="72"/>
        </w:rPr>
        <w:sectPr>
          <w:pgSz w:w="16838" w:h="11906" w:orient="landscape"/>
          <w:pgMar w:top="1361" w:right="1440" w:bottom="1021" w:left="1440" w:header="851" w:footer="992" w:gutter="0"/>
          <w:cols w:space="0" w:num="1"/>
          <w:docGrid w:type="linesAndChars" w:linePitch="319" w:charSpace="640"/>
        </w:sectPr>
      </w:pPr>
    </w:p>
    <w:p>
      <w:pPr>
        <w:pStyle w:val="10"/>
        <w:rPr>
          <w:rFonts w:ascii="宋体" w:hAnsi="宋体" w:eastAsia="宋体" w:cs="宋体"/>
          <w:sz w:val="72"/>
          <w:szCs w:val="72"/>
        </w:rPr>
      </w:pPr>
    </w:p>
    <w:p>
      <w:pPr>
        <w:pStyle w:val="10"/>
        <w:rPr>
          <w:rFonts w:ascii="宋体" w:hAnsi="宋体" w:eastAsia="宋体" w:cs="宋体"/>
          <w:sz w:val="72"/>
          <w:szCs w:val="72"/>
        </w:rPr>
      </w:pPr>
    </w:p>
    <w:p>
      <w:pPr>
        <w:pStyle w:val="10"/>
        <w:rPr>
          <w:rFonts w:ascii="宋体" w:hAnsi="宋体" w:eastAsia="宋体" w:cs="宋体"/>
          <w:sz w:val="72"/>
          <w:szCs w:val="72"/>
        </w:rPr>
      </w:pPr>
    </w:p>
    <w:p>
      <w:pPr>
        <w:pStyle w:val="10"/>
        <w:rPr>
          <w:rFonts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第三部分</w:t>
      </w: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2020年度部门决算情况说明</w:t>
      </w:r>
    </w:p>
    <w:p>
      <w:pPr>
        <w:widowControl/>
        <w:jc w:val="center"/>
        <w:rPr>
          <w:rFonts w:cs="Times New Roman"/>
          <w:sz w:val="70"/>
          <w:szCs w:val="70"/>
        </w:rPr>
        <w:sectPr>
          <w:pgSz w:w="11906" w:h="16838"/>
          <w:pgMar w:top="1440" w:right="1361" w:bottom="1440" w:left="1474" w:header="851" w:footer="992" w:gutter="0"/>
          <w:cols w:space="0" w:num="1"/>
          <w:docGrid w:type="lines" w:linePitch="319" w:charSpace="640"/>
        </w:sectPr>
      </w:pPr>
    </w:p>
    <w:p>
      <w:pPr>
        <w:pStyle w:val="10"/>
        <w:ind w:firstLine="627" w:firstLineChars="196"/>
        <w:rPr>
          <w:rFonts w:hAnsi="黑体" w:cs="Times New Roman"/>
          <w:bCs/>
          <w:sz w:val="32"/>
          <w:szCs w:val="32"/>
        </w:rPr>
      </w:pPr>
      <w:r>
        <w:rPr>
          <w:rFonts w:hint="eastAsia" w:hAnsi="黑体"/>
          <w:bCs/>
          <w:sz w:val="32"/>
          <w:szCs w:val="32"/>
        </w:rPr>
        <w:t>一、收入支出决算总体情况说明</w:t>
      </w:r>
    </w:p>
    <w:p>
      <w:pPr>
        <w:pStyle w:val="10"/>
        <w:ind w:firstLine="640" w:firstLineChars="200"/>
        <w:rPr>
          <w:rFonts w:ascii="仿宋_GB2312" w:hAnsi="宋体" w:eastAsia="仿宋_GB2312" w:cs="Times New Roman"/>
          <w:sz w:val="32"/>
          <w:szCs w:val="32"/>
          <w:highlight w:val="red"/>
        </w:rPr>
      </w:pPr>
      <w:r>
        <w:rPr>
          <w:rFonts w:hint="eastAsia" w:ascii="仿宋_GB2312" w:hAnsi="宋体" w:eastAsia="仿宋_GB2312" w:cs="宋体"/>
          <w:sz w:val="32"/>
          <w:szCs w:val="32"/>
        </w:rPr>
        <w:t>2020年度收、支总计26533.79万元。与上年相比，增加14360.02万元，增长117.96%，因为垃圾焚烧项目资金在本单位进行拨付。</w:t>
      </w:r>
    </w:p>
    <w:p>
      <w:pPr>
        <w:pStyle w:val="10"/>
        <w:ind w:firstLine="640" w:firstLineChars="200"/>
        <w:rPr>
          <w:rFonts w:hAnsi="黑体" w:cs="Times New Roman"/>
          <w:bCs/>
          <w:sz w:val="32"/>
          <w:szCs w:val="32"/>
        </w:rPr>
      </w:pPr>
      <w:r>
        <w:rPr>
          <w:rFonts w:hint="eastAsia" w:hAnsi="黑体"/>
          <w:bCs/>
          <w:sz w:val="32"/>
          <w:szCs w:val="32"/>
        </w:rPr>
        <w:t>二、收入决算情况说明</w:t>
      </w:r>
    </w:p>
    <w:p>
      <w:pPr>
        <w:pStyle w:val="10"/>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本年收入合计26408.03万元，其中：财政拨款收入10597.92万元，占40.13</w:t>
      </w:r>
      <w:r>
        <w:rPr>
          <w:rFonts w:ascii="仿宋_GB2312" w:hAnsi="宋体" w:eastAsia="仿宋_GB2312" w:cs="宋体"/>
          <w:sz w:val="32"/>
          <w:szCs w:val="32"/>
        </w:rPr>
        <w:t>%</w:t>
      </w:r>
      <w:r>
        <w:rPr>
          <w:rFonts w:hint="eastAsia" w:ascii="仿宋_GB2312" w:hAnsi="宋体" w:eastAsia="仿宋_GB2312" w:cs="宋体"/>
          <w:sz w:val="32"/>
          <w:szCs w:val="32"/>
        </w:rPr>
        <w:t>；上级补助收入0万元，占0</w:t>
      </w:r>
      <w:r>
        <w:rPr>
          <w:rFonts w:ascii="仿宋_GB2312" w:hAnsi="宋体" w:eastAsia="仿宋_GB2312" w:cs="宋体"/>
          <w:sz w:val="32"/>
          <w:szCs w:val="32"/>
        </w:rPr>
        <w:t>%</w:t>
      </w:r>
      <w:r>
        <w:rPr>
          <w:rFonts w:hint="eastAsia" w:ascii="仿宋_GB2312" w:hAnsi="宋体" w:eastAsia="仿宋_GB2312" w:cs="宋体"/>
          <w:sz w:val="32"/>
          <w:szCs w:val="32"/>
        </w:rPr>
        <w:t>；事业收入0万元，占0</w:t>
      </w:r>
      <w:r>
        <w:rPr>
          <w:rFonts w:ascii="仿宋_GB2312" w:hAnsi="宋体" w:eastAsia="仿宋_GB2312" w:cs="宋体"/>
          <w:sz w:val="32"/>
          <w:szCs w:val="32"/>
        </w:rPr>
        <w:t>%</w:t>
      </w:r>
      <w:r>
        <w:rPr>
          <w:rFonts w:hint="eastAsia" w:ascii="仿宋_GB2312" w:hAnsi="宋体" w:eastAsia="仿宋_GB2312" w:cs="宋体"/>
          <w:sz w:val="32"/>
          <w:szCs w:val="32"/>
        </w:rPr>
        <w:t>；经营收入0万元，占0</w:t>
      </w:r>
      <w:r>
        <w:rPr>
          <w:rFonts w:ascii="仿宋_GB2312" w:hAnsi="宋体" w:eastAsia="仿宋_GB2312" w:cs="宋体"/>
          <w:sz w:val="32"/>
          <w:szCs w:val="32"/>
        </w:rPr>
        <w:t>%</w:t>
      </w:r>
      <w:r>
        <w:rPr>
          <w:rFonts w:hint="eastAsia" w:ascii="仿宋_GB2312" w:hAnsi="宋体" w:eastAsia="仿宋_GB2312" w:cs="宋体"/>
          <w:sz w:val="32"/>
          <w:szCs w:val="32"/>
        </w:rPr>
        <w:t>；附属单位上缴收入0万元，占0</w:t>
      </w:r>
      <w:r>
        <w:rPr>
          <w:rFonts w:ascii="仿宋_GB2312" w:hAnsi="宋体" w:eastAsia="仿宋_GB2312" w:cs="宋体"/>
          <w:sz w:val="32"/>
          <w:szCs w:val="32"/>
        </w:rPr>
        <w:t>%</w:t>
      </w:r>
      <w:r>
        <w:rPr>
          <w:rFonts w:hint="eastAsia" w:ascii="仿宋_GB2312" w:hAnsi="宋体" w:eastAsia="仿宋_GB2312" w:cs="宋体"/>
          <w:sz w:val="32"/>
          <w:szCs w:val="32"/>
        </w:rPr>
        <w:t>；其他收入15810.12万元，占59.87</w:t>
      </w:r>
      <w:r>
        <w:rPr>
          <w:rFonts w:ascii="仿宋_GB2312" w:hAnsi="宋体" w:eastAsia="仿宋_GB2312" w:cs="宋体"/>
          <w:sz w:val="32"/>
          <w:szCs w:val="32"/>
        </w:rPr>
        <w:t>%</w:t>
      </w:r>
      <w:r>
        <w:rPr>
          <w:rFonts w:hint="eastAsia" w:ascii="仿宋_GB2312" w:hAnsi="宋体" w:eastAsia="仿宋_GB2312" w:cs="宋体"/>
          <w:sz w:val="32"/>
          <w:szCs w:val="32"/>
        </w:rPr>
        <w:t>。</w:t>
      </w:r>
    </w:p>
    <w:p>
      <w:pPr>
        <w:pStyle w:val="10"/>
        <w:ind w:firstLine="627" w:firstLineChars="196"/>
        <w:rPr>
          <w:rFonts w:hAnsi="黑体" w:cs="Times New Roman"/>
          <w:bCs/>
          <w:sz w:val="32"/>
          <w:szCs w:val="32"/>
        </w:rPr>
      </w:pPr>
      <w:r>
        <w:rPr>
          <w:rFonts w:hint="eastAsia" w:hAnsi="黑体"/>
          <w:bCs/>
          <w:sz w:val="32"/>
          <w:szCs w:val="32"/>
        </w:rPr>
        <w:t>三、支出决算情况说明</w:t>
      </w:r>
    </w:p>
    <w:p>
      <w:pPr>
        <w:pStyle w:val="10"/>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本年支出合计26400.65万元，其中：基本支出2085.58万元，占7.90</w:t>
      </w:r>
      <w:r>
        <w:rPr>
          <w:rFonts w:ascii="仿宋_GB2312" w:hAnsi="宋体" w:eastAsia="仿宋_GB2312" w:cs="宋体"/>
          <w:sz w:val="32"/>
          <w:szCs w:val="32"/>
        </w:rPr>
        <w:t>%</w:t>
      </w:r>
      <w:r>
        <w:rPr>
          <w:rFonts w:hint="eastAsia" w:ascii="仿宋_GB2312" w:hAnsi="宋体" w:eastAsia="仿宋_GB2312" w:cs="宋体"/>
          <w:sz w:val="32"/>
          <w:szCs w:val="32"/>
        </w:rPr>
        <w:t>；项目支出24315.07万元，占92.10</w:t>
      </w:r>
      <w:r>
        <w:rPr>
          <w:rFonts w:ascii="仿宋_GB2312" w:hAnsi="宋体" w:eastAsia="仿宋_GB2312" w:cs="宋体"/>
          <w:sz w:val="32"/>
          <w:szCs w:val="32"/>
        </w:rPr>
        <w:t>%</w:t>
      </w:r>
      <w:r>
        <w:rPr>
          <w:rFonts w:hint="eastAsia" w:ascii="仿宋_GB2312" w:hAnsi="宋体" w:eastAsia="仿宋_GB2312" w:cs="宋体"/>
          <w:sz w:val="32"/>
          <w:szCs w:val="32"/>
        </w:rPr>
        <w:t>；上缴上级支出0万元，占0</w:t>
      </w:r>
      <w:r>
        <w:rPr>
          <w:rFonts w:ascii="仿宋_GB2312" w:hAnsi="宋体" w:eastAsia="仿宋_GB2312" w:cs="宋体"/>
          <w:sz w:val="32"/>
          <w:szCs w:val="32"/>
        </w:rPr>
        <w:t>%</w:t>
      </w:r>
      <w:r>
        <w:rPr>
          <w:rFonts w:hint="eastAsia" w:ascii="仿宋_GB2312" w:hAnsi="宋体" w:eastAsia="仿宋_GB2312" w:cs="宋体"/>
          <w:sz w:val="32"/>
          <w:szCs w:val="32"/>
        </w:rPr>
        <w:t>；经营支出0万元，占0</w:t>
      </w:r>
      <w:r>
        <w:rPr>
          <w:rFonts w:ascii="仿宋_GB2312" w:hAnsi="宋体" w:eastAsia="仿宋_GB2312" w:cs="宋体"/>
          <w:sz w:val="32"/>
          <w:szCs w:val="32"/>
        </w:rPr>
        <w:t>%</w:t>
      </w:r>
      <w:r>
        <w:rPr>
          <w:rFonts w:hint="eastAsia" w:ascii="仿宋_GB2312" w:hAnsi="宋体" w:eastAsia="仿宋_GB2312" w:cs="宋体"/>
          <w:sz w:val="32"/>
          <w:szCs w:val="32"/>
        </w:rPr>
        <w:t>；对附属单位补助支出0万元，占0</w:t>
      </w:r>
      <w:r>
        <w:rPr>
          <w:rFonts w:ascii="仿宋_GB2312" w:hAnsi="宋体" w:eastAsia="仿宋_GB2312" w:cs="宋体"/>
          <w:sz w:val="32"/>
          <w:szCs w:val="32"/>
        </w:rPr>
        <w:t>%</w:t>
      </w:r>
      <w:r>
        <w:rPr>
          <w:rFonts w:hint="eastAsia" w:ascii="仿宋_GB2312" w:hAnsi="宋体" w:eastAsia="仿宋_GB2312" w:cs="宋体"/>
          <w:sz w:val="32"/>
          <w:szCs w:val="32"/>
        </w:rPr>
        <w:t>。</w:t>
      </w:r>
    </w:p>
    <w:p>
      <w:pPr>
        <w:pStyle w:val="10"/>
        <w:ind w:firstLine="627" w:firstLineChars="196"/>
        <w:rPr>
          <w:rFonts w:hAnsi="黑体" w:cs="Times New Roman"/>
          <w:bCs/>
          <w:sz w:val="32"/>
          <w:szCs w:val="32"/>
        </w:rPr>
      </w:pPr>
      <w:r>
        <w:rPr>
          <w:rFonts w:hint="eastAsia" w:hAnsi="黑体"/>
          <w:bCs/>
          <w:sz w:val="32"/>
          <w:szCs w:val="32"/>
        </w:rPr>
        <w:t>四、财政拨款收入支出决算总体情况说明</w:t>
      </w:r>
    </w:p>
    <w:p>
      <w:pPr>
        <w:pStyle w:val="10"/>
        <w:rPr>
          <w:rFonts w:ascii="宋体" w:hAnsi="宋体" w:eastAsia="宋体" w:cs="Times New Roman"/>
          <w:sz w:val="32"/>
          <w:szCs w:val="32"/>
          <w:highlight w:val="yellow"/>
        </w:rPr>
      </w:pPr>
      <w:r>
        <w:rPr>
          <w:rFonts w:ascii="仿宋_GB2312" w:hAnsi="宋体" w:eastAsia="仿宋_GB2312" w:cs="宋体"/>
          <w:sz w:val="32"/>
          <w:szCs w:val="32"/>
        </w:rPr>
        <w:t xml:space="preserve">   2020</w:t>
      </w:r>
      <w:r>
        <w:rPr>
          <w:rFonts w:hint="eastAsia" w:ascii="仿宋_GB2312" w:hAnsi="宋体" w:eastAsia="仿宋_GB2312" w:cs="宋体"/>
          <w:sz w:val="32"/>
          <w:szCs w:val="32"/>
        </w:rPr>
        <w:t>年度财政拨款收、支总计10675.57万元，与上年相比，减少362.38万元</w:t>
      </w:r>
      <w:r>
        <w:rPr>
          <w:rFonts w:ascii="仿宋_GB2312" w:hAnsi="宋体" w:eastAsia="仿宋_GB2312" w:cs="宋体"/>
          <w:sz w:val="32"/>
          <w:szCs w:val="32"/>
        </w:rPr>
        <w:t>,</w:t>
      </w:r>
      <w:r>
        <w:rPr>
          <w:rFonts w:hint="eastAsia" w:ascii="仿宋_GB2312" w:hAnsi="宋体" w:eastAsia="仿宋_GB2312" w:cs="宋体"/>
          <w:sz w:val="32"/>
          <w:szCs w:val="32"/>
        </w:rPr>
        <w:t>减少3.28</w:t>
      </w:r>
      <w:r>
        <w:rPr>
          <w:rFonts w:ascii="仿宋_GB2312" w:hAnsi="宋体" w:eastAsia="仿宋_GB2312" w:cs="宋体"/>
          <w:sz w:val="32"/>
          <w:szCs w:val="32"/>
        </w:rPr>
        <w:t>%</w:t>
      </w:r>
      <w:r>
        <w:rPr>
          <w:rFonts w:hint="eastAsia" w:ascii="仿宋_GB2312" w:hAnsi="宋体" w:eastAsia="仿宋_GB2312" w:cs="宋体"/>
          <w:sz w:val="32"/>
          <w:szCs w:val="32"/>
        </w:rPr>
        <w:t>，主要是因为部分费用已发生待结算。</w:t>
      </w:r>
    </w:p>
    <w:p>
      <w:pPr>
        <w:pStyle w:val="10"/>
        <w:ind w:firstLine="640" w:firstLineChars="200"/>
        <w:rPr>
          <w:rFonts w:hAnsi="黑体" w:cs="Times New Roman"/>
          <w:bCs/>
          <w:sz w:val="32"/>
          <w:szCs w:val="32"/>
        </w:rPr>
      </w:pPr>
      <w:r>
        <w:rPr>
          <w:rFonts w:hint="eastAsia" w:hAnsi="黑体"/>
          <w:bCs/>
          <w:sz w:val="32"/>
          <w:szCs w:val="32"/>
        </w:rPr>
        <w:t>五、一般公共预算财政拨款支出决算情况说明</w:t>
      </w:r>
    </w:p>
    <w:p>
      <w:pPr>
        <w:pStyle w:val="10"/>
        <w:ind w:firstLine="643" w:firstLineChars="200"/>
        <w:rPr>
          <w:rFonts w:ascii="仿宋_GB2312" w:hAnsi="宋体" w:eastAsia="仿宋_GB2312" w:cs="Times New Roman"/>
          <w:b/>
          <w:bCs/>
          <w:sz w:val="32"/>
          <w:szCs w:val="32"/>
        </w:rPr>
      </w:pPr>
      <w:r>
        <w:rPr>
          <w:rFonts w:hint="eastAsia" w:ascii="仿宋_GB2312" w:hAnsi="宋体" w:eastAsia="仿宋_GB2312" w:cs="宋体"/>
          <w:b/>
          <w:bCs/>
          <w:sz w:val="32"/>
          <w:szCs w:val="32"/>
        </w:rPr>
        <w:t>（一）财政拨款支出决算总体情况</w:t>
      </w:r>
    </w:p>
    <w:p>
      <w:pPr>
        <w:pStyle w:val="10"/>
        <w:ind w:firstLine="800" w:firstLineChars="250"/>
        <w:rPr>
          <w:rFonts w:ascii="仿宋_GB2312" w:hAnsi="宋体" w:eastAsia="仿宋_GB2312" w:cs="宋体"/>
          <w:sz w:val="32"/>
          <w:szCs w:val="32"/>
        </w:rPr>
      </w:pPr>
      <w:r>
        <w:rPr>
          <w:rFonts w:hint="eastAsia" w:ascii="仿宋_GB2312" w:hAnsi="宋体" w:eastAsia="仿宋_GB2312" w:cs="宋体"/>
          <w:sz w:val="32"/>
          <w:szCs w:val="32"/>
        </w:rPr>
        <w:t>2020年度财政拨款支出10596.67万元，占本年支出合计的40.14%，与上年相比，财政拨款支出减少363.62万元，减少3.32%，主要是因为部分费用已发生待结算。</w:t>
      </w:r>
    </w:p>
    <w:p>
      <w:pPr>
        <w:pStyle w:val="10"/>
        <w:ind w:firstLine="482" w:firstLineChars="150"/>
        <w:rPr>
          <w:rFonts w:ascii="仿宋_GB2312" w:hAnsi="宋体" w:eastAsia="仿宋_GB2312" w:cs="Times New Roman"/>
          <w:b/>
          <w:bCs/>
          <w:sz w:val="32"/>
          <w:szCs w:val="32"/>
        </w:rPr>
      </w:pPr>
      <w:r>
        <w:rPr>
          <w:rFonts w:hint="eastAsia" w:ascii="仿宋_GB2312" w:hAnsi="宋体" w:eastAsia="仿宋_GB2312" w:cs="宋体"/>
          <w:b/>
          <w:bCs/>
          <w:sz w:val="32"/>
          <w:szCs w:val="32"/>
        </w:rPr>
        <w:t>（二）财政拨款支出决算结构情况</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2020年度财政拨款支出10596.67万元，主要用于以下方面：社会保障和就业（类）支出3.60万元，占0.03%；节能环保（类）支出500万元，占4.72%;城乡社区（类）支出10093.07万元，占95.25%。</w:t>
      </w:r>
    </w:p>
    <w:p>
      <w:pPr>
        <w:pStyle w:val="10"/>
        <w:ind w:firstLine="472" w:firstLineChars="147"/>
        <w:rPr>
          <w:rFonts w:ascii="仿宋_GB2312" w:hAnsi="宋体" w:eastAsia="仿宋_GB2312" w:cs="Times New Roman"/>
          <w:b/>
          <w:bCs/>
          <w:sz w:val="32"/>
          <w:szCs w:val="32"/>
        </w:rPr>
      </w:pPr>
      <w:r>
        <w:rPr>
          <w:rFonts w:hint="eastAsia" w:ascii="仿宋_GB2312" w:hAnsi="宋体" w:eastAsia="仿宋_GB2312" w:cs="宋体"/>
          <w:b/>
          <w:bCs/>
          <w:sz w:val="32"/>
          <w:szCs w:val="32"/>
        </w:rPr>
        <w:t>（三）财政拨款支出决算具体情况</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2020年度财政拨款支出年初预算数为10596.67万元，支出决算数为10596.67万元，完成年初预算的100%，其中：</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1、社会保障和就业（类）抚恤（款）死亡抚恤（项）。</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年初预算为3.60万元，支出决算为3.60万元，完成年初预算的100%，</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2、节能环保（类）其他节能环保（款）其他节能环保（项）。</w:t>
      </w:r>
    </w:p>
    <w:p>
      <w:pPr>
        <w:pStyle w:val="10"/>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年初预算为500万元，支出决算为500万元，完成年初预算的100%。</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3、城乡社区（类）城乡社区管理事务（款）行政运行（项）。</w:t>
      </w:r>
    </w:p>
    <w:p>
      <w:pPr>
        <w:pStyle w:val="10"/>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年初预算为1562.64万元，支出决算为1562.64万元，完成年初预算的100%。</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4、城乡社区（类）城乡社区管理事务（款）一般行政管理事务（项）。</w:t>
      </w:r>
    </w:p>
    <w:p>
      <w:pPr>
        <w:pStyle w:val="10"/>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年初预算为1678.45万元，支出决算为1678.45万元，完成年初预算的100%。</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5、城乡社区（类）城乡社区管理事务（款）其他城乡社区管理事务（项）。</w:t>
      </w:r>
    </w:p>
    <w:p>
      <w:pPr>
        <w:pStyle w:val="10"/>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年初预算为6851.98万元，支出决算为6851.98万元，完成年初预算的100%。</w:t>
      </w:r>
    </w:p>
    <w:p>
      <w:pPr>
        <w:pStyle w:val="10"/>
        <w:ind w:firstLine="640" w:firstLineChars="200"/>
        <w:rPr>
          <w:rFonts w:hAnsi="黑体" w:cs="Times New Roman"/>
          <w:bCs/>
          <w:sz w:val="32"/>
          <w:szCs w:val="32"/>
        </w:rPr>
      </w:pPr>
      <w:r>
        <w:rPr>
          <w:rFonts w:hint="eastAsia" w:hAnsi="黑体"/>
          <w:bCs/>
          <w:sz w:val="32"/>
          <w:szCs w:val="32"/>
        </w:rPr>
        <w:t>六、一般公共预算财政拨款基本支出决算情况说明</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2020年度财政拨款基本支出2085.58万元，其中：人员经费1612.03万元，占基本支出的77.29%,主要包括基本工资、津贴补贴、奖金、伙食补助费、绩效工资等；公用经费473.55万元，占基本支出的22.71%，主要包括办公费、咨询费、水电费、邮电费、公务用车运行经费等。</w:t>
      </w:r>
    </w:p>
    <w:p>
      <w:pPr>
        <w:pStyle w:val="10"/>
        <w:ind w:firstLine="640" w:firstLineChars="200"/>
        <w:rPr>
          <w:rFonts w:hAnsi="黑体" w:cs="Times New Roman"/>
          <w:bCs/>
          <w:sz w:val="32"/>
          <w:szCs w:val="32"/>
        </w:rPr>
      </w:pPr>
      <w:r>
        <w:rPr>
          <w:rFonts w:hint="eastAsia" w:hAnsi="黑体"/>
          <w:bCs/>
          <w:sz w:val="32"/>
          <w:szCs w:val="32"/>
        </w:rPr>
        <w:t>七、一般公共预算财政拨款三公经费支出决算情况说明</w:t>
      </w:r>
    </w:p>
    <w:p>
      <w:pPr>
        <w:pStyle w:val="10"/>
        <w:ind w:firstLine="630" w:firstLineChars="196"/>
        <w:rPr>
          <w:rFonts w:ascii="仿宋_GB2312" w:hAnsi="宋体" w:eastAsia="仿宋_GB2312" w:cs="Times New Roman"/>
          <w:b/>
          <w:bCs/>
          <w:sz w:val="32"/>
          <w:szCs w:val="32"/>
        </w:rPr>
      </w:pPr>
      <w:r>
        <w:rPr>
          <w:rFonts w:hint="eastAsia" w:ascii="仿宋_GB2312" w:hAnsi="宋体" w:eastAsia="仿宋_GB2312" w:cs="宋体"/>
          <w:b/>
          <w:bCs/>
          <w:sz w:val="32"/>
          <w:szCs w:val="32"/>
        </w:rPr>
        <w:t>（一）“三公”经费财政拨款支出决算总体情况说明</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“三公”经费财政拨款支出预算为20.20万元，支出决算为1.52万元，完成预算的7.52%，其中：</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因公出国（境）费支出预算为0万元，支出决算为0万元，完成预算的0%，决算数等于预算数的主要原因是未发生此费用，与上年一致，无增减。</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公务接待费支出预算为15.40万元，支出决算为0万元，完成预算的0%，决算数小于预算数的主要原因是部分支出未结算，与上年一致，无增减。</w:t>
      </w:r>
    </w:p>
    <w:p>
      <w:pPr>
        <w:pStyle w:val="10"/>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公务用车购置费及运行维护费支出预算为4.80万元，支出决算为1.52万元，完成预算的31.67%，决算数小于预算数的主要原因是部分支出未结算，与上年相比减少0.7万元，减少31.53%,减少主要原因是维修费用还有未结算费用。</w:t>
      </w:r>
    </w:p>
    <w:p>
      <w:pPr>
        <w:pStyle w:val="10"/>
        <w:ind w:firstLine="630" w:firstLineChars="196"/>
        <w:rPr>
          <w:rFonts w:ascii="仿宋_GB2312" w:hAnsi="宋体" w:eastAsia="仿宋_GB2312" w:cs="Times New Roman"/>
          <w:b/>
          <w:bCs/>
          <w:sz w:val="32"/>
          <w:szCs w:val="32"/>
        </w:rPr>
      </w:pPr>
      <w:r>
        <w:rPr>
          <w:rFonts w:hint="eastAsia" w:ascii="仿宋_GB2312" w:hAnsi="宋体" w:eastAsia="仿宋_GB2312" w:cs="宋体"/>
          <w:b/>
          <w:bCs/>
          <w:sz w:val="32"/>
          <w:szCs w:val="32"/>
        </w:rPr>
        <w:t>（二）“三公”经费财政拨款支出决算具体情况说明</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2020年度“三公”经费财政拨款支出决算中，公务接待费支出决算0万元，占0%,因公出国（境）费支出决算0万元，占0%,公务用车购置费及运行维护费支出决算1.52万元，占100%。其中：</w:t>
      </w:r>
    </w:p>
    <w:p>
      <w:pPr>
        <w:pStyle w:val="10"/>
        <w:ind w:firstLine="640" w:firstLineChars="200"/>
        <w:rPr>
          <w:rFonts w:ascii="仿宋_GB2312" w:hAnsi="宋体" w:eastAsia="仿宋_GB2312" w:cs="Times New Roman"/>
          <w:b/>
          <w:bCs/>
          <w:sz w:val="32"/>
          <w:szCs w:val="32"/>
        </w:rPr>
      </w:pPr>
      <w:r>
        <w:rPr>
          <w:rFonts w:hint="eastAsia" w:ascii="仿宋_GB2312" w:hAnsi="宋体" w:eastAsia="仿宋_GB2312" w:cs="宋体"/>
          <w:sz w:val="32"/>
          <w:szCs w:val="32"/>
        </w:rPr>
        <w:t>1、因公出国（境）费支出决算为0万元，全年安排因公出国（境）团组0个，累计0人次。</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2、公务接待费支出决算为0万元，全年共接待来访团组0个、来宾0人次，未发生的接待支出。</w:t>
      </w:r>
    </w:p>
    <w:p>
      <w:pPr>
        <w:ind w:firstLine="640" w:firstLineChars="200"/>
        <w:rPr>
          <w:rFonts w:ascii="仿宋_GB2312" w:eastAsia="仿宋_GB2312" w:cs="Times New Roman"/>
          <w:color w:val="000000"/>
          <w:kern w:val="0"/>
          <w:sz w:val="32"/>
          <w:szCs w:val="32"/>
        </w:rPr>
      </w:pPr>
      <w:r>
        <w:rPr>
          <w:rFonts w:hint="eastAsia" w:ascii="仿宋_GB2312" w:hAnsi="宋体" w:eastAsia="仿宋_GB2312" w:cs="宋体"/>
          <w:sz w:val="32"/>
          <w:szCs w:val="32"/>
        </w:rPr>
        <w:t>3、公务用车购置费及运行维护费支出决算为1.52万元，其中：公务用车购置费0万元</w:t>
      </w:r>
      <w:r>
        <w:rPr>
          <w:rFonts w:hint="eastAsia" w:ascii="仿宋_GB2312" w:hAnsi="宋体" w:eastAsia="仿宋_GB2312" w:cs="宋体"/>
          <w:color w:val="000000"/>
          <w:sz w:val="32"/>
          <w:szCs w:val="32"/>
        </w:rPr>
        <w:t>。</w:t>
      </w:r>
      <w:r>
        <w:rPr>
          <w:rFonts w:eastAsia="仿宋_GB2312"/>
          <w:sz w:val="32"/>
          <w:szCs w:val="32"/>
        </w:rPr>
        <w:t>更新公务用车</w:t>
      </w:r>
      <w:r>
        <w:rPr>
          <w:rFonts w:hint="eastAsia" w:eastAsia="仿宋_GB2312"/>
          <w:sz w:val="32"/>
          <w:szCs w:val="32"/>
        </w:rPr>
        <w:t>0</w:t>
      </w:r>
      <w:r>
        <w:rPr>
          <w:rFonts w:eastAsia="仿宋_GB2312"/>
          <w:sz w:val="32"/>
          <w:szCs w:val="32"/>
        </w:rPr>
        <w:t>辆</w:t>
      </w:r>
      <w:r>
        <w:rPr>
          <w:rFonts w:hint="eastAsia" w:eastAsia="仿宋_GB2312"/>
          <w:sz w:val="32"/>
          <w:szCs w:val="32"/>
        </w:rPr>
        <w:t>。</w:t>
      </w:r>
      <w:r>
        <w:rPr>
          <w:rFonts w:hint="eastAsia" w:ascii="仿宋_GB2312" w:hAnsi="宋体" w:eastAsia="仿宋_GB2312" w:cs="宋体"/>
          <w:sz w:val="32"/>
          <w:szCs w:val="32"/>
        </w:rPr>
        <w:t>公务用车运行维护费1.52万元，主要是</w:t>
      </w:r>
      <w:r>
        <w:rPr>
          <w:rFonts w:hint="eastAsia" w:ascii="仿宋_GB2312" w:eastAsia="仿宋_GB2312" w:cs="宋体"/>
          <w:sz w:val="32"/>
          <w:szCs w:val="32"/>
        </w:rPr>
        <w:t>油料费、保险费</w:t>
      </w:r>
      <w:r>
        <w:rPr>
          <w:rFonts w:hint="eastAsia" w:ascii="仿宋_GB2312" w:hAnsi="宋体" w:eastAsia="仿宋_GB2312" w:cs="宋体"/>
          <w:sz w:val="32"/>
          <w:szCs w:val="32"/>
        </w:rPr>
        <w:t>支出，截</w:t>
      </w:r>
      <w:r>
        <w:rPr>
          <w:rFonts w:hint="eastAsia" w:ascii="仿宋_GB2312" w:hAnsi="宋体" w:eastAsia="仿宋_GB2312" w:cs="宋体"/>
          <w:sz w:val="32"/>
          <w:szCs w:val="32"/>
          <w:lang w:eastAsia="zh-CN"/>
        </w:rPr>
        <w:t>至</w:t>
      </w:r>
      <w:r>
        <w:rPr>
          <w:rFonts w:hint="eastAsia" w:ascii="仿宋_GB2312" w:hAnsi="宋体" w:eastAsia="仿宋_GB2312" w:cs="宋体"/>
          <w:sz w:val="32"/>
          <w:szCs w:val="32"/>
        </w:rPr>
        <w:t>2020年12月31日，我单位开支财政拨款的公务用车保有量为1辆。</w:t>
      </w:r>
    </w:p>
    <w:p>
      <w:pPr>
        <w:pStyle w:val="10"/>
        <w:ind w:firstLine="640" w:firstLineChars="200"/>
        <w:rPr>
          <w:rFonts w:hAnsi="黑体" w:cs="Times New Roman"/>
          <w:bCs/>
          <w:sz w:val="32"/>
          <w:szCs w:val="32"/>
        </w:rPr>
      </w:pPr>
      <w:r>
        <w:rPr>
          <w:rFonts w:hint="eastAsia" w:hAnsi="黑体"/>
          <w:bCs/>
          <w:sz w:val="32"/>
          <w:szCs w:val="32"/>
        </w:rPr>
        <w:t>八、政府性基金预算收入支出决算情况</w:t>
      </w:r>
    </w:p>
    <w:p>
      <w:pPr>
        <w:pStyle w:val="10"/>
        <w:ind w:firstLine="640"/>
        <w:rPr>
          <w:rFonts w:ascii="仿宋_GB2312" w:hAnsi="宋体" w:eastAsia="仿宋_GB2312" w:cs="宋体"/>
          <w:sz w:val="32"/>
          <w:szCs w:val="32"/>
        </w:rPr>
      </w:pPr>
      <w:r>
        <w:rPr>
          <w:rFonts w:hint="eastAsia" w:ascii="仿宋_GB2312" w:hAnsi="宋体" w:eastAsia="仿宋_GB2312" w:cs="宋体"/>
          <w:sz w:val="32"/>
          <w:szCs w:val="32"/>
        </w:rPr>
        <w:t>2020年度政府性基金预算财政拨款收入1.24万元；年初结转和结余0万元；支出1.24万元，其中基本支出0万元，项目支出1.24万元；年末结转和结余0万元。</w:t>
      </w:r>
    </w:p>
    <w:p>
      <w:pPr>
        <w:pStyle w:val="10"/>
        <w:spacing w:line="600" w:lineRule="exact"/>
        <w:ind w:firstLine="640" w:firstLineChars="200"/>
        <w:outlineLvl w:val="1"/>
        <w:rPr>
          <w:rFonts w:hAnsi="黑体" w:cs="Times New Roman"/>
          <w:color w:val="auto"/>
          <w:sz w:val="32"/>
          <w:szCs w:val="32"/>
        </w:rPr>
      </w:pPr>
      <w:r>
        <w:rPr>
          <w:rFonts w:hint="eastAsia" w:hAnsi="黑体" w:cs="Times New Roman"/>
          <w:color w:val="auto"/>
          <w:sz w:val="32"/>
          <w:szCs w:val="32"/>
        </w:rPr>
        <w:t>九</w:t>
      </w:r>
      <w:r>
        <w:rPr>
          <w:rFonts w:hAnsi="黑体" w:cs="Times New Roman"/>
          <w:color w:val="auto"/>
          <w:sz w:val="32"/>
          <w:szCs w:val="32"/>
        </w:rPr>
        <w:t>、</w:t>
      </w:r>
      <w:r>
        <w:rPr>
          <w:rFonts w:hint="eastAsia" w:hAnsi="黑体" w:cs="Times New Roman"/>
          <w:color w:val="auto"/>
          <w:sz w:val="32"/>
          <w:szCs w:val="32"/>
        </w:rPr>
        <w:t>国有资本经营预算财政拨款支出决算情况</w:t>
      </w:r>
    </w:p>
    <w:p>
      <w:pPr>
        <w:pStyle w:val="10"/>
        <w:ind w:firstLine="640"/>
        <w:rPr>
          <w:rFonts w:ascii="仿宋_GB2312" w:hAnsi="宋体" w:eastAsia="仿宋_GB2312" w:cs="宋体"/>
          <w:sz w:val="32"/>
          <w:szCs w:val="32"/>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rPr>
        <w:t>国有资本经营预算支出。</w:t>
      </w:r>
    </w:p>
    <w:p>
      <w:pPr>
        <w:pStyle w:val="10"/>
        <w:ind w:firstLine="640" w:firstLineChars="200"/>
        <w:rPr>
          <w:rFonts w:hAnsi="黑体" w:cs="Times New Roman"/>
          <w:bCs/>
          <w:sz w:val="32"/>
          <w:szCs w:val="32"/>
        </w:rPr>
      </w:pPr>
      <w:r>
        <w:rPr>
          <w:rFonts w:hint="eastAsia" w:hAnsi="黑体"/>
          <w:bCs/>
          <w:sz w:val="32"/>
          <w:szCs w:val="32"/>
        </w:rPr>
        <w:t>十、关于机关运行经费支出说明</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本部门2020年度机关运行经费支出473.55万元，比年初预算数增加287.95万元，增长155.15%。主要原因是：含事业编制人员公务出行交通补助。</w:t>
      </w:r>
    </w:p>
    <w:p>
      <w:pPr>
        <w:pStyle w:val="10"/>
        <w:ind w:firstLine="640" w:firstLineChars="200"/>
        <w:rPr>
          <w:rFonts w:hAnsi="黑体" w:cs="Times New Roman"/>
          <w:bCs/>
          <w:sz w:val="32"/>
          <w:szCs w:val="32"/>
        </w:rPr>
      </w:pPr>
      <w:r>
        <w:rPr>
          <w:rFonts w:hint="eastAsia" w:hAnsi="黑体"/>
          <w:bCs/>
          <w:sz w:val="32"/>
          <w:szCs w:val="32"/>
        </w:rPr>
        <w:t>十一、一般性支出情况</w:t>
      </w:r>
    </w:p>
    <w:p>
      <w:pPr>
        <w:pStyle w:val="10"/>
        <w:spacing w:line="600" w:lineRule="exact"/>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2020年本部门开支会议费0万元，人数0人；用于开支培训费1.59万元，人数为12人，主要是参加外单位组织的青干班学习培训、餐厨垃圾处理与资源化利用培训、城市管理培训等。举办0次节庆、晚会、论坛、赛事活动，开支0万元。</w:t>
      </w:r>
    </w:p>
    <w:p>
      <w:pPr>
        <w:pStyle w:val="10"/>
        <w:ind w:firstLine="640" w:firstLineChars="200"/>
        <w:rPr>
          <w:rFonts w:hAnsi="黑体" w:cs="Times New Roman"/>
          <w:bCs/>
          <w:sz w:val="32"/>
          <w:szCs w:val="32"/>
        </w:rPr>
      </w:pPr>
      <w:r>
        <w:rPr>
          <w:rFonts w:hint="eastAsia" w:hAnsi="黑体"/>
          <w:bCs/>
          <w:sz w:val="32"/>
          <w:szCs w:val="32"/>
        </w:rPr>
        <w:t>十二、关于政府采购支出说明</w:t>
      </w:r>
    </w:p>
    <w:p>
      <w:pPr>
        <w:pStyle w:val="10"/>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本部门2020年度政府采购支出总额8036.09万元，其中：政府采购货物支出516.52万元、政府采购工程支出251.72万元、政府采购服务支出7267.85万元。授予中小企业合同金额0万元，占政府采购支出总额的0%，其中：授予小微企业合同金额0万元，占政府采购支出总额的0%。</w:t>
      </w:r>
    </w:p>
    <w:p>
      <w:pPr>
        <w:pStyle w:val="10"/>
        <w:ind w:firstLine="640" w:firstLineChars="200"/>
        <w:rPr>
          <w:rFonts w:hAnsi="黑体" w:cs="Times New Roman"/>
          <w:bCs/>
          <w:sz w:val="32"/>
          <w:szCs w:val="32"/>
        </w:rPr>
      </w:pPr>
      <w:r>
        <w:rPr>
          <w:rFonts w:hint="eastAsia" w:hAnsi="黑体"/>
          <w:bCs/>
          <w:sz w:val="32"/>
          <w:szCs w:val="32"/>
        </w:rPr>
        <w:t>十三、关于国有资产占用情况说明</w:t>
      </w:r>
    </w:p>
    <w:p>
      <w:pPr>
        <w:pStyle w:val="10"/>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截至2020年12月31日，本单位共有车辆68辆（其中公务用车1辆，其他车辆67辆），其中，主要领导干部用车1辆，机要通信用车0辆、应急保障用车0辆、执法执勤用车28辆、特种专业技术用车33辆、其他用车6辆，其他用车主要是用于环卫垃圾清运；单位价值50万元以上通用设备0台（套）；单位价值100万元以上专用设备1台（套）。</w:t>
      </w:r>
    </w:p>
    <w:p>
      <w:pPr>
        <w:pStyle w:val="10"/>
        <w:ind w:firstLine="640" w:firstLineChars="200"/>
        <w:rPr>
          <w:rFonts w:hAnsi="黑体" w:cs="Times New Roman"/>
          <w:bCs/>
          <w:sz w:val="32"/>
          <w:szCs w:val="32"/>
        </w:rPr>
      </w:pPr>
      <w:r>
        <w:rPr>
          <w:rFonts w:hint="eastAsia" w:hAnsi="黑体"/>
          <w:bCs/>
          <w:sz w:val="32"/>
          <w:szCs w:val="32"/>
        </w:rPr>
        <w:t>十四、关于2020年度预算绩</w:t>
      </w:r>
      <w:bookmarkStart w:id="3" w:name="_GoBack"/>
      <w:bookmarkEnd w:id="3"/>
      <w:r>
        <w:rPr>
          <w:rFonts w:hint="eastAsia" w:hAnsi="黑体"/>
          <w:bCs/>
          <w:sz w:val="32"/>
          <w:szCs w:val="32"/>
        </w:rPr>
        <w:t>效情况的说明</w:t>
      </w:r>
    </w:p>
    <w:p>
      <w:pPr>
        <w:spacing w:line="60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2020年我局以绩效目标实现为向导，进一步加强制度建设，提升自评质量，预算绩效管理取得成效。一是抓好绩效目标编制，及时报送绩效目标。二是深入开展财政支出绩效评价，对专项资金实施绩效自评和项目核查，在此基础上形成自评报告。2020年度我单位无重点绩效评价项目。</w:t>
      </w:r>
    </w:p>
    <w:p>
      <w:pPr>
        <w:spacing w:line="600" w:lineRule="exact"/>
        <w:ind w:firstLine="640" w:firstLineChars="200"/>
        <w:rPr>
          <w:rFonts w:ascii="仿宋_GB2312" w:hAnsi="宋体" w:eastAsia="仿宋_GB2312" w:cs="宋体"/>
          <w:color w:val="000000"/>
          <w:kern w:val="0"/>
          <w:sz w:val="32"/>
          <w:szCs w:val="32"/>
        </w:rPr>
      </w:pPr>
    </w:p>
    <w:p>
      <w:pPr>
        <w:pStyle w:val="10"/>
        <w:jc w:val="center"/>
        <w:rPr>
          <w:rFonts w:ascii="宋体" w:hAnsi="宋体" w:eastAsia="宋体" w:cs="宋体"/>
          <w:sz w:val="72"/>
          <w:szCs w:val="72"/>
        </w:rPr>
      </w:pPr>
      <w:r>
        <w:rPr>
          <w:rFonts w:hint="eastAsia" w:ascii="宋体" w:hAnsi="宋体" w:eastAsia="宋体" w:cs="宋体"/>
          <w:sz w:val="72"/>
          <w:szCs w:val="72"/>
        </w:rPr>
        <w:t>第四部分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名词解释</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一）机关运行经费：是指各部门的公用经费，包括办公及印刷费、邮电费、差旅费、会议费、福利费、日常维修费、专用设备及信息网络、办公用房水电费、办公用房物业管理费、公务用车运行维护费以及其他费用。</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（三）基本支出：是指为保障机构正常运转、完成日常工作任务而发生的人员支出和公用支出。</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（四）项目支出：是指在基本支出之外为完成特定行政任务和事业发展目标所发生的支出。</w:t>
      </w: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第五部分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widowControl/>
        <w:ind w:firstLine="964" w:firstLineChars="300"/>
        <w:jc w:val="center"/>
        <w:rPr>
          <w:rFonts w:ascii="黑体" w:eastAsia="黑体" w:cs="Times New Roman"/>
          <w:color w:val="000000"/>
          <w:kern w:val="0"/>
          <w:sz w:val="70"/>
          <w:szCs w:val="70"/>
        </w:rPr>
      </w:pPr>
      <w:r>
        <w:rPr>
          <w:rFonts w:ascii="宋体" w:hAnsi="宋体" w:cs="宋体"/>
          <w:b/>
          <w:bCs/>
          <w:color w:val="000000"/>
          <w:kern w:val="0"/>
          <w:sz w:val="32"/>
          <w:szCs w:val="32"/>
        </w:rPr>
        <w:br w:type="page"/>
      </w:r>
      <w:r>
        <w:rPr>
          <w:rFonts w:ascii="宋体" w:hAnsi="宋体" w:cs="宋体"/>
          <w:b/>
          <w:bCs/>
          <w:color w:val="000000"/>
          <w:kern w:val="0"/>
          <w:sz w:val="32"/>
          <w:szCs w:val="32"/>
        </w:rPr>
        <w:t>2020</w:t>
      </w:r>
      <w:r>
        <w:rPr>
          <w:rFonts w:hint="eastAsia" w:ascii="宋体" w:hAnsi="宋体" w:cs="宋体"/>
          <w:b/>
          <w:bCs/>
          <w:color w:val="000000"/>
          <w:kern w:val="0"/>
          <w:sz w:val="32"/>
          <w:szCs w:val="32"/>
        </w:rPr>
        <w:t>年度部门整体支出绩效评价报告</w:t>
      </w:r>
    </w:p>
    <w:tbl>
      <w:tblPr>
        <w:tblStyle w:val="6"/>
        <w:tblW w:w="98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631"/>
        <w:gridCol w:w="6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384" w:type="dxa"/>
            <w:vMerge w:val="restart"/>
            <w:vAlign w:val="center"/>
          </w:tcPr>
          <w:p>
            <w:pPr>
              <w:spacing w:line="576" w:lineRule="exact"/>
              <w:jc w:val="center"/>
              <w:rPr>
                <w:rFonts w:ascii="仿宋_GB2312" w:hAnsi="宋体" w:eastAsia="仿宋_GB2312" w:cs="宋体"/>
              </w:rPr>
            </w:pPr>
            <w:r>
              <w:rPr>
                <w:rFonts w:hint="eastAsia" w:ascii="仿宋_GB2312" w:hAnsi="宋体" w:eastAsia="仿宋_GB2312" w:cs="宋体"/>
              </w:rPr>
              <w:t>部门概况</w:t>
            </w:r>
          </w:p>
        </w:tc>
        <w:tc>
          <w:tcPr>
            <w:tcW w:w="1631" w:type="dxa"/>
            <w:vAlign w:val="center"/>
          </w:tcPr>
          <w:p>
            <w:pPr>
              <w:spacing w:line="576" w:lineRule="exact"/>
              <w:jc w:val="center"/>
              <w:rPr>
                <w:rFonts w:ascii="仿宋_GB2312" w:hAnsi="宋体" w:eastAsia="仿宋_GB2312" w:cs="宋体"/>
              </w:rPr>
            </w:pPr>
            <w:r>
              <w:rPr>
                <w:rFonts w:hint="eastAsia" w:ascii="仿宋_GB2312" w:hAnsi="宋体" w:eastAsia="仿宋_GB2312" w:cs="宋体"/>
              </w:rPr>
              <w:t>单位名称</w:t>
            </w:r>
          </w:p>
        </w:tc>
        <w:tc>
          <w:tcPr>
            <w:tcW w:w="6858" w:type="dxa"/>
            <w:vAlign w:val="center"/>
          </w:tcPr>
          <w:p>
            <w:pPr>
              <w:spacing w:line="576" w:lineRule="exact"/>
              <w:ind w:right="880" w:rightChars="419"/>
              <w:jc w:val="center"/>
              <w:rPr>
                <w:rFonts w:ascii="仿宋_GB2312" w:hAnsi="宋体" w:eastAsia="仿宋_GB2312" w:cs="宋体"/>
              </w:rPr>
            </w:pPr>
            <w:r>
              <w:rPr>
                <w:rFonts w:hint="eastAsia" w:ascii="仿宋_GB2312" w:hAnsi="宋体" w:eastAsia="仿宋_GB2312" w:cs="宋体"/>
              </w:rPr>
              <w:t>湘潭县城市管理和综合执法局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384" w:type="dxa"/>
            <w:vMerge w:val="continue"/>
          </w:tcPr>
          <w:p>
            <w:pPr>
              <w:spacing w:line="576" w:lineRule="exact"/>
              <w:jc w:val="center"/>
              <w:rPr>
                <w:rFonts w:ascii="仿宋_GB2312" w:hAnsi="宋体" w:eastAsia="仿宋_GB2312" w:cs="宋体"/>
              </w:rPr>
            </w:pPr>
          </w:p>
        </w:tc>
        <w:tc>
          <w:tcPr>
            <w:tcW w:w="1631" w:type="dxa"/>
            <w:vAlign w:val="center"/>
          </w:tcPr>
          <w:p>
            <w:pPr>
              <w:spacing w:line="576" w:lineRule="exact"/>
              <w:jc w:val="center"/>
              <w:rPr>
                <w:rFonts w:ascii="仿宋_GB2312" w:hAnsi="宋体" w:eastAsia="仿宋_GB2312" w:cs="宋体"/>
              </w:rPr>
            </w:pPr>
            <w:r>
              <w:rPr>
                <w:rFonts w:hint="eastAsia" w:ascii="仿宋_GB2312" w:hAnsi="宋体" w:eastAsia="仿宋_GB2312" w:cs="宋体"/>
              </w:rPr>
              <w:t>年度预算金额</w:t>
            </w:r>
          </w:p>
        </w:tc>
        <w:tc>
          <w:tcPr>
            <w:tcW w:w="6858" w:type="dxa"/>
            <w:vAlign w:val="center"/>
          </w:tcPr>
          <w:p>
            <w:pPr>
              <w:spacing w:line="576" w:lineRule="exact"/>
              <w:ind w:right="880" w:rightChars="419"/>
              <w:jc w:val="center"/>
              <w:rPr>
                <w:rFonts w:ascii="仿宋_GB2312" w:hAnsi="宋体" w:eastAsia="仿宋_GB2312" w:cs="宋体"/>
              </w:rPr>
            </w:pPr>
            <w:r>
              <w:rPr>
                <w:rFonts w:hint="eastAsia" w:ascii="仿宋_GB2312" w:hAnsi="宋体" w:eastAsia="仿宋_GB2312" w:cs="宋体"/>
              </w:rPr>
              <w:t>10097.45万元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384" w:type="dxa"/>
            <w:vMerge w:val="continue"/>
          </w:tcPr>
          <w:p>
            <w:pPr>
              <w:spacing w:line="576" w:lineRule="exact"/>
              <w:jc w:val="center"/>
              <w:rPr>
                <w:rFonts w:ascii="仿宋_GB2312" w:hAnsi="宋体" w:eastAsia="仿宋_GB2312" w:cs="宋体"/>
              </w:rPr>
            </w:pPr>
          </w:p>
        </w:tc>
        <w:tc>
          <w:tcPr>
            <w:tcW w:w="1631" w:type="dxa"/>
            <w:vAlign w:val="center"/>
          </w:tcPr>
          <w:p>
            <w:pPr>
              <w:spacing w:line="576" w:lineRule="exact"/>
              <w:jc w:val="center"/>
              <w:rPr>
                <w:rFonts w:ascii="仿宋_GB2312" w:hAnsi="宋体" w:eastAsia="仿宋_GB2312" w:cs="宋体"/>
              </w:rPr>
            </w:pPr>
            <w:r>
              <w:rPr>
                <w:rFonts w:hint="eastAsia" w:ascii="仿宋_GB2312" w:hAnsi="宋体" w:eastAsia="仿宋_GB2312" w:cs="宋体"/>
              </w:rPr>
              <w:t>主管部门</w:t>
            </w:r>
          </w:p>
        </w:tc>
        <w:tc>
          <w:tcPr>
            <w:tcW w:w="6858" w:type="dxa"/>
            <w:vAlign w:val="center"/>
          </w:tcPr>
          <w:p>
            <w:pPr>
              <w:spacing w:line="576" w:lineRule="exact"/>
              <w:ind w:right="880" w:rightChars="419"/>
              <w:jc w:val="center"/>
              <w:rPr>
                <w:rFonts w:ascii="仿宋_GB2312" w:hAnsi="宋体" w:eastAsia="仿宋_GB2312"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rPr>
            </w:pPr>
          </w:p>
        </w:tc>
        <w:tc>
          <w:tcPr>
            <w:tcW w:w="1631" w:type="dxa"/>
            <w:vAlign w:val="center"/>
          </w:tcPr>
          <w:p>
            <w:pPr>
              <w:spacing w:line="576" w:lineRule="exact"/>
              <w:jc w:val="center"/>
              <w:rPr>
                <w:rFonts w:ascii="仿宋_GB2312" w:hAnsi="宋体" w:eastAsia="仿宋_GB2312" w:cs="宋体"/>
              </w:rPr>
            </w:pPr>
            <w:r>
              <w:rPr>
                <w:rFonts w:hint="eastAsia" w:ascii="仿宋_GB2312" w:hAnsi="宋体" w:eastAsia="仿宋_GB2312" w:cs="宋体"/>
              </w:rPr>
              <w:t>单位基本职能</w:t>
            </w:r>
          </w:p>
        </w:tc>
        <w:tc>
          <w:tcPr>
            <w:tcW w:w="6858" w:type="dxa"/>
            <w:vAlign w:val="center"/>
          </w:tcPr>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1、贯彻执行国家有关城市管理的法律、法规、方针政策，落实县城规划和管理；拟订城市市容和环境卫生、园林绿化、市政、城区户外广告设置管理等发展规划、计划和规范性文件，并组织实施和监督管理；拟订并监督实施县城城市管理工作目标、标准和相关制度。</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2. 依据有关法律法规，做好城管宣传，负责县城城市各项管理和组织、指挥、协调、监督、检查，对县城实施综合执法管理;负责城区城市日常管理工作和行政执法工作，行使市容环境卫生管理、园林绿化管理、市政管理方面法律、法规、规章规定的行政处罚权和行使环境保护管理、工商行政管理方面法律、法规、规章规定的部分行政处罚权。</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3. 负责县城环卫设施规划、建设和管理，对市容环境卫生进行检查与监督；负责建成城区主次干道、公共广场的环境卫生管理工作；负责垃圾中转站、公共厕所等环卫设施的管理与维护工作；负责城区垃圾清运和垃圾处理工作；为城市各企事业单位、居民提供环卫清扫、垃圾处理有偿服务。</w:t>
            </w:r>
          </w:p>
          <w:p>
            <w:pPr>
              <w:spacing w:line="400" w:lineRule="exact"/>
              <w:jc w:val="left"/>
              <w:rPr>
                <w:rFonts w:ascii="仿宋_GB2312" w:hAnsi="宋体" w:eastAsia="仿宋_GB2312" w:cs="宋体"/>
              </w:rPr>
            </w:pPr>
            <w:r>
              <w:rPr>
                <w:rFonts w:hint="eastAsia" w:ascii="仿宋_GB2312" w:hAnsi="宋体" w:eastAsia="仿宋_GB2312" w:cs="宋体"/>
              </w:rPr>
              <w:t>　　4. 负责对县城户外广告规划、设置审批和管理；负责起草户外广告管理规定和政策；负责牵头编制户外广告的专项规划；负责对户外广告设置的受理、审批和日常监督管理工作；负责组织户外广告公共资源的出让活动。</w:t>
            </w:r>
          </w:p>
          <w:p>
            <w:pPr>
              <w:spacing w:line="400" w:lineRule="exact"/>
              <w:jc w:val="left"/>
              <w:rPr>
                <w:rFonts w:ascii="仿宋_GB2312" w:hAnsi="宋体" w:eastAsia="仿宋_GB2312" w:cs="宋体"/>
              </w:rPr>
            </w:pPr>
            <w:r>
              <w:rPr>
                <w:rFonts w:hint="eastAsia" w:ascii="仿宋_GB2312" w:hAnsi="宋体" w:eastAsia="仿宋_GB2312" w:cs="宋体"/>
              </w:rPr>
              <w:t>　　5. 负责县城园林绿化的规划、建设和管理；参与城市建设项目的设计方案审批、竣工验收；负责城市建设项目配套绿化工程的设计方案审批、施工质量监督、竣工验收备案和移交接收工作；负责城市绿线管理、绿地占用审批和异地绿化的组织实施工作；会同县城乡规划行政主管部门编制和修订城市绿地系统规划。</w:t>
            </w:r>
          </w:p>
          <w:p>
            <w:pPr>
              <w:spacing w:line="400" w:lineRule="exact"/>
              <w:jc w:val="left"/>
              <w:rPr>
                <w:rFonts w:ascii="仿宋_GB2312" w:hAnsi="宋体" w:eastAsia="仿宋_GB2312" w:cs="宋体"/>
              </w:rPr>
            </w:pPr>
            <w:r>
              <w:rPr>
                <w:rFonts w:hint="eastAsia" w:ascii="仿宋_GB2312" w:hAnsi="宋体" w:eastAsia="仿宋_GB2312" w:cs="宋体"/>
              </w:rPr>
              <w:t>　　6. 负责相应市政工程、公用设施交接和管理工作；负责对城区城市管理相关基础设施建设与维护项目进行指导、协调、检查监督；参与城区相应的公用设施、市政工程的规划编制、设计审核、竣工验收和项目后评估工作。</w:t>
            </w:r>
          </w:p>
          <w:p>
            <w:pPr>
              <w:spacing w:line="400" w:lineRule="exact"/>
              <w:jc w:val="left"/>
              <w:rPr>
                <w:rFonts w:ascii="仿宋_GB2312" w:hAnsi="宋体" w:eastAsia="仿宋_GB2312" w:cs="宋体"/>
              </w:rPr>
            </w:pPr>
            <w:r>
              <w:rPr>
                <w:rFonts w:hint="eastAsia" w:ascii="仿宋_GB2312" w:hAnsi="宋体" w:eastAsia="仿宋_GB2312" w:cs="宋体"/>
              </w:rPr>
              <w:t>　　7. 负责县城道路、排水等市政设施的规划、建设、维护和管理，参与防洪设施的规划建设和管理；负责县城道路占破审批、管理与监察；负责城市生活垃圾和城市建筑垃圾、工程渣土的处置管理工作。</w:t>
            </w:r>
          </w:p>
          <w:p>
            <w:pPr>
              <w:spacing w:line="400" w:lineRule="exact"/>
              <w:jc w:val="left"/>
              <w:rPr>
                <w:rFonts w:ascii="仿宋_GB2312" w:hAnsi="宋体" w:eastAsia="仿宋_GB2312" w:cs="宋体"/>
              </w:rPr>
            </w:pPr>
            <w:r>
              <w:rPr>
                <w:rFonts w:hint="eastAsia" w:ascii="仿宋_GB2312" w:hAnsi="宋体" w:eastAsia="仿宋_GB2312" w:cs="宋体"/>
              </w:rPr>
              <w:t>　　8. 负责县城城市规划区内城市照明设施的日常管理工作；建立健全各项监管制度，确保城市照明设施的完好和正常运行；负责城市照明设施的安全运行与维护及其监督检查。</w:t>
            </w:r>
          </w:p>
          <w:p>
            <w:pPr>
              <w:spacing w:line="400" w:lineRule="exact"/>
              <w:jc w:val="left"/>
              <w:rPr>
                <w:rFonts w:ascii="仿宋_GB2312" w:hAnsi="宋体" w:eastAsia="仿宋_GB2312" w:cs="宋体"/>
              </w:rPr>
            </w:pPr>
            <w:r>
              <w:rPr>
                <w:rFonts w:hint="eastAsia" w:ascii="仿宋_GB2312" w:hAnsi="宋体" w:eastAsia="仿宋_GB2312" w:cs="宋体"/>
              </w:rPr>
              <w:t>　　9. 负责职责范围内的城市维护管理资金年度预算编报工作；负责职责范围内城市维护费的管理和使用。</w:t>
            </w:r>
          </w:p>
          <w:p>
            <w:pPr>
              <w:spacing w:line="400" w:lineRule="exact"/>
              <w:ind w:right="880" w:rightChars="419"/>
              <w:jc w:val="left"/>
              <w:rPr>
                <w:rFonts w:ascii="仿宋_GB2312" w:hAnsi="宋体" w:eastAsia="仿宋_GB2312" w:cs="宋体"/>
              </w:rPr>
            </w:pPr>
            <w:r>
              <w:rPr>
                <w:rFonts w:hint="eastAsia" w:ascii="仿宋_GB2312" w:hAnsi="宋体" w:eastAsia="仿宋_GB2312" w:cs="宋体"/>
              </w:rPr>
              <w:t>　　10. 承办县人民政府交办的其他事项。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pPr>
              <w:spacing w:line="576" w:lineRule="exact"/>
              <w:jc w:val="center"/>
              <w:rPr>
                <w:rFonts w:ascii="仿宋_GB2312" w:hAnsi="宋体" w:eastAsia="仿宋_GB2312" w:cs="宋体"/>
              </w:rPr>
            </w:pPr>
            <w:r>
              <w:rPr>
                <w:rFonts w:hint="eastAsia" w:ascii="仿宋_GB2312" w:hAnsi="宋体" w:eastAsia="仿宋_GB2312" w:cs="宋体"/>
              </w:rPr>
              <w:t>绩效完成情况</w:t>
            </w:r>
          </w:p>
        </w:tc>
        <w:tc>
          <w:tcPr>
            <w:tcW w:w="1631" w:type="dxa"/>
            <w:vAlign w:val="center"/>
          </w:tcPr>
          <w:p>
            <w:pPr>
              <w:spacing w:line="576" w:lineRule="exact"/>
              <w:jc w:val="center"/>
              <w:rPr>
                <w:rFonts w:ascii="仿宋_GB2312" w:hAnsi="宋体" w:eastAsia="仿宋_GB2312" w:cs="宋体"/>
              </w:rPr>
            </w:pPr>
            <w:r>
              <w:rPr>
                <w:rFonts w:hint="eastAsia" w:ascii="仿宋_GB2312" w:hAnsi="宋体" w:eastAsia="仿宋_GB2312" w:cs="宋体"/>
              </w:rPr>
              <w:t>部门整体支出管理和使用基本情况</w:t>
            </w:r>
          </w:p>
        </w:tc>
        <w:tc>
          <w:tcPr>
            <w:tcW w:w="6858" w:type="dxa"/>
            <w:vAlign w:val="center"/>
          </w:tcPr>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始终认真贯彻执行《</w:t>
            </w:r>
            <w:r>
              <w:rPr>
                <w:rFonts w:hint="eastAsia" w:ascii="仿宋_GB2312" w:hAnsi="宋体" w:eastAsia="仿宋_GB2312" w:cs="宋体"/>
                <w:lang w:eastAsia="zh-CN"/>
              </w:rPr>
              <w:t>中华人民共和国会计法</w:t>
            </w:r>
            <w:r>
              <w:rPr>
                <w:rFonts w:hint="eastAsia" w:ascii="仿宋_GB2312" w:hAnsi="宋体" w:eastAsia="仿宋_GB2312" w:cs="宋体"/>
              </w:rPr>
              <w:t>》、《</w:t>
            </w:r>
            <w:r>
              <w:rPr>
                <w:rFonts w:hint="eastAsia" w:ascii="仿宋_GB2312" w:hAnsi="宋体" w:eastAsia="仿宋_GB2312" w:cs="宋体"/>
                <w:lang w:eastAsia="zh-CN"/>
              </w:rPr>
              <w:t>中华人民共和国预算法</w:t>
            </w:r>
            <w:r>
              <w:rPr>
                <w:rFonts w:hint="eastAsia" w:ascii="仿宋_GB2312" w:hAnsi="宋体" w:eastAsia="仿宋_GB2312" w:cs="宋体"/>
              </w:rPr>
              <w:t>》、《行政单位会计制度》等法律法规，各项经费支出严格按照政府采购、国库集中支付等有关规定执行。同时我局先后制订了《财务管理、公务消费管理制度》、《货物、服务、工程项目政府采购及管理工作制度》、《湘潭县城市管理和综合执法局专项资金使用管理办法》等相关制度，明确了经费审批权限及程序，经费预算、核算管理、资产购置与处置、财务监督等。在“三公”经费管理方面，规范了公务接待的审批管理，较好地控制了行政运行成本。</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一、2020年度预算安排情况</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1、2020年度部门预算情况</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本年度预算安排收入为100,974,507.00元，其中一般公共财政预算拨款安排收入94,474,507.00元，纳入预算内非税收入拨款6,500,000.00元。</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本年度预算安排支出100,974,507.00元，其中：基本支出16,461,936.00元，项目支出84,512,571.00元。</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二、2020年度部门预算执行情况</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1.2020年度收入情况</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2020年度部门决算总收入264,080,309.76元，其中：财政拨款收入105,966,737.98元；政府性基金预算财政拨款收入12,415.92元；其他收入158,101,155.86元（其他收入主要为垃圾焚烧发电项目收入1.5亿元以及其他收费项目非税返还收入）。</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2.2020年度支出情况</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2020年度部门决算总支出264,006,521.29元，其中：基本支出20,855,772.00元，占总支出的7.9%；项目支出243,150,749.29元，占总支出的92.1%；</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3.2020年度“三公”经费情况</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2020年三公经费预算20.2万元，支出1.52万元，预算控制率7.52%.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宋体" w:eastAsia="仿宋_GB2312" w:cs="宋体"/>
              </w:rPr>
            </w:pPr>
          </w:p>
        </w:tc>
        <w:tc>
          <w:tcPr>
            <w:tcW w:w="1631" w:type="dxa"/>
            <w:vAlign w:val="center"/>
          </w:tcPr>
          <w:p>
            <w:pPr>
              <w:spacing w:line="576" w:lineRule="exact"/>
              <w:jc w:val="center"/>
              <w:rPr>
                <w:rFonts w:ascii="仿宋_GB2312" w:hAnsi="宋体" w:eastAsia="仿宋_GB2312" w:cs="宋体"/>
              </w:rPr>
            </w:pPr>
            <w:r>
              <w:rPr>
                <w:rFonts w:hint="eastAsia" w:ascii="仿宋_GB2312" w:hAnsi="宋体" w:eastAsia="仿宋_GB2312" w:cs="宋体"/>
              </w:rPr>
              <w:t>绩效目标完成情况</w:t>
            </w:r>
          </w:p>
        </w:tc>
        <w:tc>
          <w:tcPr>
            <w:tcW w:w="6858" w:type="dxa"/>
            <w:vAlign w:val="center"/>
          </w:tcPr>
          <w:p>
            <w:pPr>
              <w:ind w:firstLine="422" w:firstLineChars="200"/>
              <w:rPr>
                <w:rFonts w:ascii="仿宋_GB2312" w:eastAsia="仿宋_GB2312"/>
                <w:b/>
                <w:szCs w:val="32"/>
              </w:rPr>
            </w:pPr>
            <w:r>
              <w:rPr>
                <w:rFonts w:hint="eastAsia" w:ascii="仿宋_GB2312" w:eastAsia="仿宋_GB2312"/>
                <w:b/>
                <w:szCs w:val="32"/>
              </w:rPr>
              <w:t>本年度的主要绩效目标完成情况如下：</w:t>
            </w:r>
          </w:p>
          <w:p>
            <w:pPr>
              <w:ind w:firstLine="420" w:firstLineChars="200"/>
              <w:rPr>
                <w:rFonts w:ascii="仿宋_GB2312" w:hAnsi="宋体" w:eastAsia="仿宋_GB2312" w:cs="宋体"/>
              </w:rPr>
            </w:pPr>
            <w:r>
              <w:rPr>
                <w:rFonts w:hint="eastAsia" w:ascii="仿宋_GB2312" w:hAnsi="宋体" w:eastAsia="仿宋_GB2312" w:cs="宋体"/>
              </w:rPr>
              <w:t>1.优化市政公用设施。开展市政设施安全生产风险隐患“大排查大管控大整治”行动，提质改造和维修人行道彩板1.4万㎡，修复破损沥青路面1800㎡，维护维修破损市政设施1300余处，清掏雨水筛、污水井3000多个，完善排水管道的防汛功能，确保城区无内涝。在雨雪冰冻期间，做好了城区防冻救灾工作。引进共享电动车2000台，施划临时停车位2650个，缓解了交通出行压力。</w:t>
            </w:r>
          </w:p>
          <w:p>
            <w:pPr>
              <w:ind w:firstLine="420" w:firstLineChars="200"/>
              <w:rPr>
                <w:rFonts w:ascii="仿宋_GB2312" w:hAnsi="宋体" w:eastAsia="仿宋_GB2312" w:cs="宋体"/>
              </w:rPr>
            </w:pPr>
            <w:r>
              <w:rPr>
                <w:rFonts w:hint="eastAsia" w:ascii="仿宋_GB2312" w:hAnsi="宋体" w:eastAsia="仿宋_GB2312" w:cs="宋体"/>
              </w:rPr>
              <w:t>2.绿化美化扮靓县城 。“元旦、春节、国庆”期间，在城区主要路段、交通分流岛悬挂灯笼、摆放立体花卉、草雕，营造了祥和、喜庆的节日气氛。加强园林绿化管理，补植缺株死株行道树850棵，补栽、更换鲜花2400余平方米，摆放花柱等鲜花造型3万盆，扮靓了县城，确保了城市绿化景观整体效果良好。加强园林式单位小区申报、创建工作，积极进行宣传发动、业务指导等，我县15家单位获评省市园林式单位、小区荣誉。</w:t>
            </w:r>
          </w:p>
          <w:p>
            <w:pPr>
              <w:ind w:firstLine="420" w:firstLineChars="200"/>
              <w:rPr>
                <w:rFonts w:ascii="仿宋_GB2312" w:hAnsi="宋体" w:eastAsia="仿宋_GB2312" w:cs="宋体"/>
              </w:rPr>
            </w:pPr>
            <w:r>
              <w:rPr>
                <w:rFonts w:hint="eastAsia" w:ascii="仿宋_GB2312" w:hAnsi="宋体" w:eastAsia="仿宋_GB2312" w:cs="宋体"/>
              </w:rPr>
              <w:t>3.加强金霞山公园管理。加强公园内日常管理，对园区基础设施进行维护，修复破损路灯180余盏，破损石凳12张，完成道路硬化800余平方米。做好了清明节等特殊期间的防火工作，夏季天湖游泳的巡逻劝阻工作，在公园内增设森林防火、创文、创卫、创园等公益宣传牌91处。</w:t>
            </w:r>
          </w:p>
          <w:p>
            <w:pPr>
              <w:ind w:firstLine="420" w:firstLineChars="200"/>
              <w:rPr>
                <w:rFonts w:ascii="仿宋_GB2312" w:hAnsi="宋体" w:eastAsia="仿宋_GB2312" w:cs="宋体"/>
              </w:rPr>
            </w:pPr>
            <w:r>
              <w:rPr>
                <w:rFonts w:hint="eastAsia" w:ascii="仿宋_GB2312" w:hAnsi="宋体" w:eastAsia="仿宋_GB2312" w:cs="宋体"/>
              </w:rPr>
              <w:t>4. 营造美丽城市夜景。推广绿色照明节能改造，根据季节变化及人流量特点，优化照明开关时间，严厉查处盗用路灯用电行为，实现了照明用电节约管理；排查城区路灯安全隐患及故障，更换破损井盖36套，修复路灯700余盏，景观灯530余盏，及时解决处理群众反映的路灯问题16个。完成了湘潭县湘湘干线路灯安装工程。</w:t>
            </w:r>
          </w:p>
          <w:p>
            <w:pPr>
              <w:ind w:firstLine="420" w:firstLineChars="200"/>
              <w:rPr>
                <w:rFonts w:ascii="仿宋_GB2312" w:hAnsi="宋体" w:eastAsia="仿宋_GB2312" w:cs="宋体"/>
              </w:rPr>
            </w:pPr>
            <w:r>
              <w:rPr>
                <w:rFonts w:hint="eastAsia" w:ascii="仿宋_GB2312" w:hAnsi="宋体" w:eastAsia="仿宋_GB2312" w:cs="宋体"/>
              </w:rPr>
              <w:t>5.加强渣土运输管理。一是划片区管理，实行“管理到队、责任到片、工地到人”层层压实责任；二是实行24小时勤务模式，针对渣土车“昼伏夜出”的特点，设立晚班中队，避免监管盲区；三是加强源头管理，所有建筑工地、渣土车造册登记，渣土运输车辆必须是新型环保渣土车，建筑工地必须建好洗车平台和出入口道路硬化，并配备扬尘控尘设施，符合建筑工地扬尘控尘八个100%的标准，方可进行渣土运输。</w:t>
            </w:r>
          </w:p>
          <w:p>
            <w:pPr>
              <w:ind w:firstLine="420" w:firstLineChars="200"/>
              <w:rPr>
                <w:rFonts w:ascii="仿宋_GB2312" w:hAnsi="宋体" w:eastAsia="仿宋_GB2312" w:cs="宋体"/>
              </w:rPr>
            </w:pPr>
            <w:r>
              <w:rPr>
                <w:rFonts w:hint="eastAsia" w:ascii="仿宋_GB2312" w:hAnsi="宋体" w:eastAsia="仿宋_GB2312" w:cs="宋体"/>
              </w:rPr>
              <w:t>6.加强农贸市场管理。一是常态化整治市场及周边的环境卫生、门店的出店经营和车辆乱停乱放等现象。整治出店、占道经营498处、私撑伞棚21处、劝离流动摊贩2170余个，劝离乱停乱靠车辆3千余台。二是完善农贸市场基础设施。更换易俗河农贸市场二楼严重锈蚀的风机管道、完善贵竹农贸市场的停车场沟盖板35米。新增电子监控29个、广播系统2套，更新创文宣传牌和标识牌162块。新增消防水枪10个、水带6套、灭火器16个及消防箱6个。在贵竹农贸市场北区停车场增设了160个自产自销摊位格，有效解决了自产自销流动摊贩的乱摆乱放问题。</w:t>
            </w:r>
          </w:p>
          <w:p>
            <w:pPr>
              <w:ind w:firstLine="420" w:firstLineChars="200"/>
              <w:rPr>
                <w:rFonts w:ascii="仿宋_GB2312" w:hAnsi="宋体" w:eastAsia="仿宋_GB2312" w:cs="宋体"/>
              </w:rPr>
            </w:pPr>
            <w:r>
              <w:rPr>
                <w:rFonts w:hint="eastAsia" w:ascii="仿宋_GB2312" w:hAnsi="宋体" w:eastAsia="仿宋_GB2312" w:cs="宋体"/>
              </w:rPr>
              <w:t>7. 实现初步垃圾分类。引进了专业的餐厨垃圾处理公司进行餐厨垃圾收集处理，现平均日处理餐厨垃圾32吨，城区餐饮垃圾及油污随意倾倒的现象得到有效根治。专门设置建筑垃圾填埋场并严格管理，餐厨和建筑垃圾实现有效处置，走在全市前列。</w:t>
            </w:r>
          </w:p>
          <w:p>
            <w:pPr>
              <w:ind w:firstLine="420" w:firstLineChars="200"/>
              <w:rPr>
                <w:rFonts w:ascii="仿宋_GB2312" w:hAnsi="宋体" w:eastAsia="仿宋_GB2312" w:cs="宋体"/>
              </w:rPr>
            </w:pPr>
            <w:r>
              <w:rPr>
                <w:rFonts w:hint="eastAsia" w:ascii="仿宋_GB2312" w:hAnsi="宋体" w:eastAsia="仿宋_GB2312" w:cs="宋体"/>
              </w:rPr>
              <w:t>8.积极推进“蓝天保卫战”。结合职能职责，我局重点在扬尘控制和油烟治理两个方面下功夫，一是集中开展渣土扬尘、露天焚烧垃圾、城区餐饮店油烟等环保专项整治行动20次，阻止露天烧烤经营行为90余次，阻止焚烧垃圾30余起，处理餐饮门店油烟扰民投诉210次。二是持续做好洒水降尘，结合天气情况定时定点做好洒水工作。通过努力，我县空气质量优良以上天数达259天，比去年同期增加37天，优良率达94.5%，比去年同期提高13.2%，在全市排名第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1384" w:type="dxa"/>
            <w:vMerge w:val="restart"/>
            <w:vAlign w:val="center"/>
          </w:tcPr>
          <w:p>
            <w:pPr>
              <w:spacing w:line="576" w:lineRule="exact"/>
              <w:jc w:val="center"/>
              <w:rPr>
                <w:rFonts w:ascii="仿宋_GB2312" w:hAnsi="宋体" w:eastAsia="仿宋_GB2312" w:cs="宋体"/>
              </w:rPr>
            </w:pPr>
            <w:r>
              <w:rPr>
                <w:rFonts w:hint="eastAsia" w:ascii="仿宋_GB2312" w:hAnsi="宋体" w:eastAsia="仿宋_GB2312" w:cs="宋体"/>
              </w:rPr>
              <w:t>存在的问题分析及改进措施</w:t>
            </w:r>
          </w:p>
        </w:tc>
        <w:tc>
          <w:tcPr>
            <w:tcW w:w="1631" w:type="dxa"/>
            <w:vAlign w:val="center"/>
          </w:tcPr>
          <w:p>
            <w:pPr>
              <w:spacing w:line="576" w:lineRule="exact"/>
              <w:jc w:val="center"/>
              <w:rPr>
                <w:rFonts w:ascii="仿宋_GB2312" w:hAnsi="宋体" w:eastAsia="仿宋_GB2312" w:cs="宋体"/>
              </w:rPr>
            </w:pPr>
            <w:r>
              <w:rPr>
                <w:rFonts w:hint="eastAsia" w:ascii="仿宋_GB2312" w:hAnsi="宋体" w:eastAsia="仿宋_GB2312" w:cs="宋体"/>
              </w:rPr>
              <w:t>存在的问题</w:t>
            </w:r>
          </w:p>
        </w:tc>
        <w:tc>
          <w:tcPr>
            <w:tcW w:w="6858" w:type="dxa"/>
            <w:vAlign w:val="center"/>
          </w:tcPr>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1.项目预算管理不够细化，个别项目预算安排不够科学，部分资金支付进度不够理想。</w:t>
            </w:r>
          </w:p>
          <w:p>
            <w:pPr>
              <w:spacing w:line="400" w:lineRule="exact"/>
              <w:ind w:firstLine="420" w:firstLineChars="200"/>
              <w:jc w:val="left"/>
              <w:rPr>
                <w:rFonts w:ascii="仿宋_GB2312" w:hAnsi="宋体" w:eastAsia="仿宋_GB2312" w:cs="宋体"/>
              </w:rPr>
            </w:pPr>
            <w:r>
              <w:rPr>
                <w:rFonts w:hint="eastAsia" w:ascii="仿宋_GB2312" w:hAnsi="宋体" w:eastAsia="仿宋_GB2312" w:cs="宋体"/>
              </w:rPr>
              <w:t>2.进一步加强对固定资产的管理，完善固定资产相关制度，年度内增加的固定资产及时进行条码管理。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rPr>
            </w:pPr>
          </w:p>
        </w:tc>
        <w:tc>
          <w:tcPr>
            <w:tcW w:w="1631" w:type="dxa"/>
            <w:vAlign w:val="center"/>
          </w:tcPr>
          <w:p>
            <w:pPr>
              <w:spacing w:line="576" w:lineRule="exact"/>
              <w:jc w:val="center"/>
              <w:rPr>
                <w:rFonts w:ascii="仿宋_GB2312" w:hAnsi="宋体" w:eastAsia="仿宋_GB2312" w:cs="宋体"/>
              </w:rPr>
            </w:pPr>
            <w:r>
              <w:rPr>
                <w:rFonts w:hint="eastAsia" w:ascii="仿宋_GB2312" w:hAnsi="宋体" w:eastAsia="仿宋_GB2312" w:cs="宋体"/>
              </w:rPr>
              <w:t>改进措施</w:t>
            </w:r>
          </w:p>
        </w:tc>
        <w:tc>
          <w:tcPr>
            <w:tcW w:w="6858" w:type="dxa"/>
            <w:vAlign w:val="center"/>
          </w:tcPr>
          <w:p>
            <w:pPr>
              <w:spacing w:line="400" w:lineRule="exact"/>
              <w:ind w:firstLine="420" w:firstLineChars="200"/>
              <w:rPr>
                <w:rFonts w:ascii="仿宋_GB2312" w:hAnsi="宋体" w:eastAsia="仿宋_GB2312" w:cs="宋体"/>
              </w:rPr>
            </w:pPr>
            <w:r>
              <w:rPr>
                <w:rFonts w:hint="eastAsia" w:ascii="仿宋_GB2312" w:hAnsi="宋体" w:eastAsia="仿宋_GB2312" w:cs="宋体"/>
              </w:rPr>
              <w:t>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spacing w:line="400" w:lineRule="exact"/>
              <w:ind w:firstLine="420" w:firstLineChars="200"/>
              <w:rPr>
                <w:rFonts w:ascii="仿宋_GB2312" w:hAnsi="宋体" w:eastAsia="仿宋_GB2312" w:cs="宋体"/>
              </w:rPr>
            </w:pPr>
            <w:r>
              <w:rPr>
                <w:rFonts w:hint="eastAsia" w:ascii="仿宋_GB2312" w:hAnsi="宋体" w:eastAsia="仿宋_GB2312" w:cs="宋体"/>
              </w:rPr>
              <w:t>2.进一步完善局机关固定资产管理办法，从资产配置、采购、使用、处置、清查各个环节进行规范管理，提高固定资产使用效率；及时对新增的固定资产张贴条码。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rPr>
            </w:pPr>
          </w:p>
        </w:tc>
        <w:tc>
          <w:tcPr>
            <w:tcW w:w="1631" w:type="dxa"/>
            <w:vAlign w:val="center"/>
          </w:tcPr>
          <w:p>
            <w:pPr>
              <w:spacing w:line="576" w:lineRule="exact"/>
              <w:jc w:val="center"/>
              <w:rPr>
                <w:rFonts w:ascii="仿宋_GB2312" w:hAnsi="宋体" w:eastAsia="仿宋_GB2312" w:cs="宋体"/>
              </w:rPr>
            </w:pPr>
            <w:r>
              <w:rPr>
                <w:rFonts w:hint="eastAsia" w:ascii="仿宋_GB2312" w:hAnsi="宋体" w:eastAsia="仿宋_GB2312" w:cs="宋体"/>
              </w:rPr>
              <w:t>其他需要说明问题</w:t>
            </w:r>
          </w:p>
        </w:tc>
        <w:tc>
          <w:tcPr>
            <w:tcW w:w="6858" w:type="dxa"/>
            <w:vAlign w:val="center"/>
          </w:tcPr>
          <w:p>
            <w:pPr>
              <w:spacing w:line="576" w:lineRule="exact"/>
              <w:ind w:right="880" w:rightChars="419"/>
              <w:jc w:val="center"/>
              <w:rPr>
                <w:rFonts w:ascii="仿宋_GB2312" w:hAnsi="宋体" w:eastAsia="仿宋_GB2312" w:cs="宋体"/>
              </w:rPr>
            </w:pPr>
            <w:r>
              <w:rPr>
                <w:rFonts w:hint="eastAsia" w:ascii="仿宋_GB2312" w:hAnsi="宋体" w:eastAsia="仿宋_GB2312" w:cs="宋体"/>
              </w:rPr>
              <w:t>无</w:t>
            </w:r>
          </w:p>
        </w:tc>
      </w:tr>
    </w:tbl>
    <w:p>
      <w:pPr>
        <w:ind w:firstLine="640" w:firstLineChars="200"/>
        <w:jc w:val="left"/>
        <w:rPr>
          <w:rFonts w:ascii="宋体" w:cs="Times New Roman"/>
          <w:color w:val="000000"/>
          <w:kern w:val="0"/>
          <w:sz w:val="32"/>
          <w:szCs w:val="32"/>
        </w:rPr>
      </w:pPr>
    </w:p>
    <w:sectPr>
      <w:pgSz w:w="11906" w:h="16838"/>
      <w:pgMar w:top="1440" w:right="1797" w:bottom="1440" w:left="1797" w:header="851" w:footer="992" w:gutter="0"/>
      <w:cols w:space="0" w:num="1"/>
      <w:docGrid w:type="lines" w:linePitch="319" w:charSpace="6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HorizontalSpacing w:val="107"/>
  <w:drawingGridVerticalSpacing w:val="159"/>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2229B"/>
    <w:rsid w:val="000273BD"/>
    <w:rsid w:val="000415B7"/>
    <w:rsid w:val="00041E3F"/>
    <w:rsid w:val="00055DAA"/>
    <w:rsid w:val="00061F7B"/>
    <w:rsid w:val="000658A3"/>
    <w:rsid w:val="00074155"/>
    <w:rsid w:val="000969EB"/>
    <w:rsid w:val="000A3F69"/>
    <w:rsid w:val="000C696F"/>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A1F37"/>
    <w:rsid w:val="002E0A30"/>
    <w:rsid w:val="003130C4"/>
    <w:rsid w:val="00316C4B"/>
    <w:rsid w:val="0032192B"/>
    <w:rsid w:val="00327585"/>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233E"/>
    <w:rsid w:val="0051441A"/>
    <w:rsid w:val="00517C33"/>
    <w:rsid w:val="00523644"/>
    <w:rsid w:val="0054069E"/>
    <w:rsid w:val="00544866"/>
    <w:rsid w:val="00553C7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24B3"/>
    <w:rsid w:val="006A351B"/>
    <w:rsid w:val="006B0422"/>
    <w:rsid w:val="006C1B53"/>
    <w:rsid w:val="006D7730"/>
    <w:rsid w:val="006E5284"/>
    <w:rsid w:val="006F10EB"/>
    <w:rsid w:val="006F3EB5"/>
    <w:rsid w:val="00702E34"/>
    <w:rsid w:val="00704395"/>
    <w:rsid w:val="00717621"/>
    <w:rsid w:val="00720FF1"/>
    <w:rsid w:val="00727A53"/>
    <w:rsid w:val="00730801"/>
    <w:rsid w:val="007467F2"/>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81D4A"/>
    <w:rsid w:val="00A92E9F"/>
    <w:rsid w:val="00B33BEA"/>
    <w:rsid w:val="00B36887"/>
    <w:rsid w:val="00B57C9F"/>
    <w:rsid w:val="00B63572"/>
    <w:rsid w:val="00B845B3"/>
    <w:rsid w:val="00B85D8B"/>
    <w:rsid w:val="00BB4A40"/>
    <w:rsid w:val="00BD6C3E"/>
    <w:rsid w:val="00BE3674"/>
    <w:rsid w:val="00C10681"/>
    <w:rsid w:val="00C3049A"/>
    <w:rsid w:val="00C31B1E"/>
    <w:rsid w:val="00C55ACD"/>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40DC"/>
    <w:rsid w:val="00E8683C"/>
    <w:rsid w:val="00EA2B72"/>
    <w:rsid w:val="00EB088B"/>
    <w:rsid w:val="00F25650"/>
    <w:rsid w:val="00F74360"/>
    <w:rsid w:val="00FB462F"/>
    <w:rsid w:val="00FE16FA"/>
    <w:rsid w:val="00FE328A"/>
    <w:rsid w:val="00FE6269"/>
    <w:rsid w:val="01FC1A8B"/>
    <w:rsid w:val="022027C4"/>
    <w:rsid w:val="035900D9"/>
    <w:rsid w:val="04374BA4"/>
    <w:rsid w:val="05BC7987"/>
    <w:rsid w:val="066F32DE"/>
    <w:rsid w:val="06BF797B"/>
    <w:rsid w:val="06F37C90"/>
    <w:rsid w:val="070C055B"/>
    <w:rsid w:val="073342BB"/>
    <w:rsid w:val="07CC4EFA"/>
    <w:rsid w:val="082D64EB"/>
    <w:rsid w:val="08A22A95"/>
    <w:rsid w:val="09220FD2"/>
    <w:rsid w:val="099A1D1A"/>
    <w:rsid w:val="0B2D757C"/>
    <w:rsid w:val="0BBE6E68"/>
    <w:rsid w:val="0BFF3EC0"/>
    <w:rsid w:val="0C6A07D3"/>
    <w:rsid w:val="0EAC229F"/>
    <w:rsid w:val="0EBF449A"/>
    <w:rsid w:val="0ED50FF1"/>
    <w:rsid w:val="0F0179AD"/>
    <w:rsid w:val="0F8A3DED"/>
    <w:rsid w:val="128A265C"/>
    <w:rsid w:val="128D6C93"/>
    <w:rsid w:val="12B74597"/>
    <w:rsid w:val="14251C93"/>
    <w:rsid w:val="148D1DBD"/>
    <w:rsid w:val="14922AF9"/>
    <w:rsid w:val="15AD167B"/>
    <w:rsid w:val="16DF003A"/>
    <w:rsid w:val="1706294D"/>
    <w:rsid w:val="178D3380"/>
    <w:rsid w:val="18335CE3"/>
    <w:rsid w:val="188D019D"/>
    <w:rsid w:val="18DF4942"/>
    <w:rsid w:val="1A4C0BD2"/>
    <w:rsid w:val="1B1213FD"/>
    <w:rsid w:val="1B2B1290"/>
    <w:rsid w:val="1B985A18"/>
    <w:rsid w:val="1BB4727A"/>
    <w:rsid w:val="1BB6600A"/>
    <w:rsid w:val="1BBD7784"/>
    <w:rsid w:val="1C1D3D28"/>
    <w:rsid w:val="1C2B5EF5"/>
    <w:rsid w:val="1E235F2D"/>
    <w:rsid w:val="1E6C3A6B"/>
    <w:rsid w:val="1F6A1F81"/>
    <w:rsid w:val="20927A37"/>
    <w:rsid w:val="21F000C8"/>
    <w:rsid w:val="23090149"/>
    <w:rsid w:val="24393999"/>
    <w:rsid w:val="25517B4E"/>
    <w:rsid w:val="25815AF6"/>
    <w:rsid w:val="284E65ED"/>
    <w:rsid w:val="28FE70BF"/>
    <w:rsid w:val="296D6100"/>
    <w:rsid w:val="29CF5F25"/>
    <w:rsid w:val="2A573B82"/>
    <w:rsid w:val="2BB95DF3"/>
    <w:rsid w:val="2C981028"/>
    <w:rsid w:val="2CA40303"/>
    <w:rsid w:val="2E50161A"/>
    <w:rsid w:val="2F0E5E4A"/>
    <w:rsid w:val="2F500023"/>
    <w:rsid w:val="2FFA3B91"/>
    <w:rsid w:val="302443CF"/>
    <w:rsid w:val="32341D60"/>
    <w:rsid w:val="32702A1E"/>
    <w:rsid w:val="335D0C2B"/>
    <w:rsid w:val="34450CE8"/>
    <w:rsid w:val="348A342B"/>
    <w:rsid w:val="34BA2C79"/>
    <w:rsid w:val="34CE1C78"/>
    <w:rsid w:val="36006EAC"/>
    <w:rsid w:val="3619102A"/>
    <w:rsid w:val="38113778"/>
    <w:rsid w:val="38822E80"/>
    <w:rsid w:val="38923FAD"/>
    <w:rsid w:val="389D513F"/>
    <w:rsid w:val="39704ED9"/>
    <w:rsid w:val="3A124D68"/>
    <w:rsid w:val="3A390000"/>
    <w:rsid w:val="3ACF07AA"/>
    <w:rsid w:val="3B38033F"/>
    <w:rsid w:val="3B8E0C51"/>
    <w:rsid w:val="3BE33CC8"/>
    <w:rsid w:val="3C532253"/>
    <w:rsid w:val="3CE21A1F"/>
    <w:rsid w:val="3CF23AEE"/>
    <w:rsid w:val="3D1C784A"/>
    <w:rsid w:val="3D2A51EF"/>
    <w:rsid w:val="3D466B78"/>
    <w:rsid w:val="3D901E1C"/>
    <w:rsid w:val="3DC16A84"/>
    <w:rsid w:val="3DD25C6F"/>
    <w:rsid w:val="3DDA3064"/>
    <w:rsid w:val="3F596794"/>
    <w:rsid w:val="3F783DFA"/>
    <w:rsid w:val="3F933B09"/>
    <w:rsid w:val="3FE054A3"/>
    <w:rsid w:val="4006725A"/>
    <w:rsid w:val="405B6664"/>
    <w:rsid w:val="408E222B"/>
    <w:rsid w:val="41740991"/>
    <w:rsid w:val="42BC762E"/>
    <w:rsid w:val="42E9257E"/>
    <w:rsid w:val="445A0D68"/>
    <w:rsid w:val="46077D7B"/>
    <w:rsid w:val="474B2221"/>
    <w:rsid w:val="474D7278"/>
    <w:rsid w:val="475E1FE3"/>
    <w:rsid w:val="47C4745C"/>
    <w:rsid w:val="47E406B2"/>
    <w:rsid w:val="47F004C3"/>
    <w:rsid w:val="48970701"/>
    <w:rsid w:val="48D21503"/>
    <w:rsid w:val="4AA90716"/>
    <w:rsid w:val="4ADE1A1F"/>
    <w:rsid w:val="4ADE7A14"/>
    <w:rsid w:val="4AF60B67"/>
    <w:rsid w:val="4B365797"/>
    <w:rsid w:val="4B770D20"/>
    <w:rsid w:val="4B8C311B"/>
    <w:rsid w:val="4B9B435E"/>
    <w:rsid w:val="4C243A9A"/>
    <w:rsid w:val="4C55381C"/>
    <w:rsid w:val="4C8D48F5"/>
    <w:rsid w:val="4DAA2245"/>
    <w:rsid w:val="4DE362E2"/>
    <w:rsid w:val="4E785120"/>
    <w:rsid w:val="4FB4785F"/>
    <w:rsid w:val="50714BF6"/>
    <w:rsid w:val="51BF6CBB"/>
    <w:rsid w:val="51C948B4"/>
    <w:rsid w:val="52AA457D"/>
    <w:rsid w:val="53090D1C"/>
    <w:rsid w:val="536D10E2"/>
    <w:rsid w:val="542C4F62"/>
    <w:rsid w:val="542E7DA3"/>
    <w:rsid w:val="543054AB"/>
    <w:rsid w:val="5434582B"/>
    <w:rsid w:val="5511335B"/>
    <w:rsid w:val="566A1AC6"/>
    <w:rsid w:val="56BF0AE5"/>
    <w:rsid w:val="56D17FA6"/>
    <w:rsid w:val="57400172"/>
    <w:rsid w:val="57B44486"/>
    <w:rsid w:val="58A67946"/>
    <w:rsid w:val="58BD31E6"/>
    <w:rsid w:val="58FC2419"/>
    <w:rsid w:val="5A407A1A"/>
    <w:rsid w:val="5AA96F83"/>
    <w:rsid w:val="5ABC580A"/>
    <w:rsid w:val="5B500A27"/>
    <w:rsid w:val="5D26310D"/>
    <w:rsid w:val="5D7E3A2F"/>
    <w:rsid w:val="5E0173EA"/>
    <w:rsid w:val="5E0E69A9"/>
    <w:rsid w:val="5E1F0F4C"/>
    <w:rsid w:val="5E631CDE"/>
    <w:rsid w:val="5E76080D"/>
    <w:rsid w:val="5E943769"/>
    <w:rsid w:val="5F4A20B6"/>
    <w:rsid w:val="5F8141E1"/>
    <w:rsid w:val="5FE840EF"/>
    <w:rsid w:val="605450EC"/>
    <w:rsid w:val="60634ACA"/>
    <w:rsid w:val="60B60AEE"/>
    <w:rsid w:val="6107150E"/>
    <w:rsid w:val="613C1457"/>
    <w:rsid w:val="614F56DE"/>
    <w:rsid w:val="6229273D"/>
    <w:rsid w:val="622D7CF2"/>
    <w:rsid w:val="622F50B6"/>
    <w:rsid w:val="63217B99"/>
    <w:rsid w:val="633125E2"/>
    <w:rsid w:val="63833F83"/>
    <w:rsid w:val="638B0159"/>
    <w:rsid w:val="641522D9"/>
    <w:rsid w:val="647D1FBC"/>
    <w:rsid w:val="64F026C1"/>
    <w:rsid w:val="65D84D51"/>
    <w:rsid w:val="66006C1D"/>
    <w:rsid w:val="662C37D5"/>
    <w:rsid w:val="662F3118"/>
    <w:rsid w:val="665C4BC3"/>
    <w:rsid w:val="66A05EEA"/>
    <w:rsid w:val="67640CE4"/>
    <w:rsid w:val="678D0E3E"/>
    <w:rsid w:val="67AE3A2B"/>
    <w:rsid w:val="67BB19EE"/>
    <w:rsid w:val="67D01E64"/>
    <w:rsid w:val="689E5334"/>
    <w:rsid w:val="68BE6955"/>
    <w:rsid w:val="69B82635"/>
    <w:rsid w:val="6ABA678C"/>
    <w:rsid w:val="6BAA343F"/>
    <w:rsid w:val="6C124083"/>
    <w:rsid w:val="6D4C77C0"/>
    <w:rsid w:val="6DAC5C1B"/>
    <w:rsid w:val="6DBB69D9"/>
    <w:rsid w:val="6E891124"/>
    <w:rsid w:val="6E9539AD"/>
    <w:rsid w:val="6F243F9F"/>
    <w:rsid w:val="6FF4256F"/>
    <w:rsid w:val="704D3983"/>
    <w:rsid w:val="706B417D"/>
    <w:rsid w:val="71766AA4"/>
    <w:rsid w:val="718C437E"/>
    <w:rsid w:val="72BD5D6A"/>
    <w:rsid w:val="72EE57A9"/>
    <w:rsid w:val="734E2196"/>
    <w:rsid w:val="73650061"/>
    <w:rsid w:val="74007D83"/>
    <w:rsid w:val="740D1163"/>
    <w:rsid w:val="74D02880"/>
    <w:rsid w:val="74F35415"/>
    <w:rsid w:val="753409D5"/>
    <w:rsid w:val="754B2996"/>
    <w:rsid w:val="756D0EE1"/>
    <w:rsid w:val="75B01622"/>
    <w:rsid w:val="75C55D1A"/>
    <w:rsid w:val="76465D91"/>
    <w:rsid w:val="77670723"/>
    <w:rsid w:val="77B26461"/>
    <w:rsid w:val="78CA0645"/>
    <w:rsid w:val="79FF4E6B"/>
    <w:rsid w:val="7A0A5050"/>
    <w:rsid w:val="7B814E87"/>
    <w:rsid w:val="7BB01C68"/>
    <w:rsid w:val="7C2D5797"/>
    <w:rsid w:val="7CCD1F58"/>
    <w:rsid w:val="7DD71F0A"/>
    <w:rsid w:val="7E85394B"/>
    <w:rsid w:val="7E87486A"/>
    <w:rsid w:val="7F1C5CF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7"/>
    <w:link w:val="4"/>
    <w:qFormat/>
    <w:locked/>
    <w:uiPriority w:val="99"/>
    <w:rPr>
      <w:sz w:val="18"/>
      <w:szCs w:val="18"/>
    </w:rPr>
  </w:style>
  <w:style w:type="character" w:customStyle="1" w:styleId="9">
    <w:name w:val="页脚 Char"/>
    <w:basedOn w:val="7"/>
    <w:link w:val="3"/>
    <w:qFormat/>
    <w:locked/>
    <w:uiPriority w:val="99"/>
    <w:rPr>
      <w:sz w:val="18"/>
      <w:szCs w:val="18"/>
    </w:rPr>
  </w:style>
  <w:style w:type="paragraph" w:customStyle="1" w:styleId="10">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1">
    <w:name w:val="List Paragraph"/>
    <w:basedOn w:val="1"/>
    <w:qFormat/>
    <w:uiPriority w:val="99"/>
    <w:pPr>
      <w:ind w:firstLine="420" w:firstLineChars="200"/>
    </w:pPr>
  </w:style>
  <w:style w:type="character" w:customStyle="1" w:styleId="12">
    <w:name w:val="批注框文本 Char"/>
    <w:basedOn w:val="7"/>
    <w:link w:val="2"/>
    <w:semiHidden/>
    <w:qFormat/>
    <w:locked/>
    <w:uiPriority w:val="99"/>
    <w:rPr>
      <w:sz w:val="18"/>
      <w:szCs w:val="18"/>
    </w:rPr>
  </w:style>
  <w:style w:type="paragraph" w:customStyle="1" w:styleId="1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409983-924F-478F-8D97-66E7E74AB5C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2211</Words>
  <Characters>12604</Characters>
  <Lines>105</Lines>
  <Paragraphs>29</Paragraphs>
  <TotalTime>9</TotalTime>
  <ScaleCrop>false</ScaleCrop>
  <LinksUpToDate>false</LinksUpToDate>
  <CharactersWithSpaces>14786</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2021-08-05T09:31:00Z</dcterms:created>
  <dc:creator>李航 null</dc:creator>
  <cp:lastModifiedBy>Administrator</cp:lastModifiedBy>
  <cp:lastPrinted>2022-06-16T06:53:00Z</cp:lastPrinted>
  <dcterms:modified xsi:type="dcterms:W3CDTF">2024-08-01T01:33:51Z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2052-11.8.2.9067</vt:lpwstr>
  </property>
  <property fmtid="{D5CDD505-2E9C-101B-9397-08002B2CF9AE}" pid="4" name="ICV">
    <vt:lpwstr>A657EFB301FC4D5FB16B55F61293875A</vt:lpwstr>
  </property>
</Properties>
</file>