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D0C70">
      <w:pPr>
        <w:spacing w:line="520" w:lineRule="exact"/>
        <w:rPr>
          <w:rFonts w:hint="eastAsia" w:ascii="宋体" w:hAnsi="宋体" w:cs="方正小标宋_GBK"/>
          <w:b/>
          <w:bCs/>
          <w:sz w:val="36"/>
          <w:szCs w:val="36"/>
        </w:rPr>
      </w:pPr>
      <w:r>
        <w:rPr>
          <w:rFonts w:hint="eastAsia" w:ascii="仿宋" w:hAnsi="仿宋" w:eastAsia="仿宋"/>
          <w:b/>
          <w:bCs/>
          <w:color w:val="000000"/>
          <w:kern w:val="0"/>
          <w:sz w:val="36"/>
          <w:szCs w:val="36"/>
        </w:rPr>
        <w:t xml:space="preserve"> </w:t>
      </w:r>
      <w:r>
        <w:rPr>
          <w:rFonts w:hint="eastAsia" w:ascii="仿宋" w:hAnsi="仿宋" w:eastAsia="仿宋"/>
          <w:b/>
          <w:bCs/>
          <w:color w:val="000000"/>
          <w:kern w:val="0"/>
          <w:sz w:val="36"/>
          <w:szCs w:val="36"/>
          <w:lang w:val="en-US" w:eastAsia="zh-CN"/>
        </w:rPr>
        <w:t xml:space="preserve"> </w:t>
      </w:r>
      <w:r>
        <w:rPr>
          <w:rFonts w:hint="eastAsia" w:ascii="宋体" w:hAnsi="宋体" w:cs="方正小标宋_GBK"/>
          <w:b/>
          <w:bCs/>
          <w:sz w:val="36"/>
          <w:szCs w:val="36"/>
          <w:lang w:eastAsia="zh-CN"/>
        </w:rPr>
        <w:t>湘潭县司法局</w:t>
      </w:r>
      <w:r>
        <w:rPr>
          <w:rFonts w:hint="eastAsia" w:ascii="宋体" w:hAnsi="宋体" w:cs="方正小标宋_GBK"/>
          <w:b/>
          <w:bCs/>
          <w:sz w:val="36"/>
          <w:szCs w:val="36"/>
          <w:lang w:val="en-US" w:eastAsia="zh-CN"/>
        </w:rPr>
        <w:t>2018年</w:t>
      </w:r>
      <w:r>
        <w:rPr>
          <w:rFonts w:hint="eastAsia" w:ascii="宋体" w:hAnsi="宋体" w:cs="方正小标宋_GBK"/>
          <w:b/>
          <w:bCs/>
          <w:sz w:val="36"/>
          <w:szCs w:val="36"/>
        </w:rPr>
        <w:t>部门整体支出绩效评价报告</w:t>
      </w:r>
    </w:p>
    <w:p w14:paraId="3BBB92DD">
      <w:pPr>
        <w:spacing w:line="520" w:lineRule="exact"/>
        <w:rPr>
          <w:rFonts w:hint="eastAsia" w:ascii="宋体" w:hAnsi="宋体" w:cs="方正小标宋_GBK"/>
          <w:b/>
          <w:bCs/>
          <w:sz w:val="36"/>
          <w:szCs w:val="36"/>
        </w:rPr>
      </w:pPr>
    </w:p>
    <w:tbl>
      <w:tblPr>
        <w:tblStyle w:val="3"/>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38C1E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vAlign w:val="center"/>
          </w:tcPr>
          <w:p w14:paraId="52FD58ED">
            <w:pPr>
              <w:ind w:firstLine="480" w:firstLineChars="150"/>
              <w:jc w:val="center"/>
              <w:rPr>
                <w:rFonts w:hint="eastAsia" w:ascii="仿宋_GB2312" w:eastAsia="仿宋_GB2312"/>
                <w:sz w:val="32"/>
                <w:szCs w:val="32"/>
              </w:rPr>
            </w:pPr>
            <w:r>
              <w:rPr>
                <w:rFonts w:hint="eastAsia" w:ascii="仿宋_GB2312" w:eastAsia="仿宋_GB2312"/>
                <w:sz w:val="32"/>
                <w:szCs w:val="32"/>
              </w:rPr>
              <w:t>部门概况</w:t>
            </w:r>
          </w:p>
        </w:tc>
        <w:tc>
          <w:tcPr>
            <w:tcW w:w="1985" w:type="dxa"/>
            <w:tcBorders>
              <w:top w:val="single" w:color="auto" w:sz="4" w:space="0"/>
              <w:left w:val="nil"/>
              <w:bottom w:val="single" w:color="auto" w:sz="4" w:space="0"/>
              <w:right w:val="single" w:color="auto" w:sz="4" w:space="0"/>
            </w:tcBorders>
            <w:vAlign w:val="center"/>
          </w:tcPr>
          <w:p w14:paraId="142ECEF0">
            <w:pPr>
              <w:ind w:firstLine="480" w:firstLineChars="150"/>
              <w:jc w:val="center"/>
              <w:rPr>
                <w:rFonts w:hint="eastAsia" w:ascii="仿宋_GB2312" w:eastAsia="仿宋_GB2312"/>
                <w:sz w:val="32"/>
                <w:szCs w:val="32"/>
              </w:rPr>
            </w:pPr>
            <w:r>
              <w:rPr>
                <w:rFonts w:hint="eastAsia" w:ascii="仿宋_GB2312" w:eastAsia="仿宋_GB2312"/>
                <w:sz w:val="32"/>
                <w:szCs w:val="32"/>
              </w:rPr>
              <w:t>单位名称</w:t>
            </w:r>
          </w:p>
        </w:tc>
        <w:tc>
          <w:tcPr>
            <w:tcW w:w="5670" w:type="dxa"/>
            <w:tcBorders>
              <w:top w:val="single" w:color="auto" w:sz="4" w:space="0"/>
              <w:left w:val="nil"/>
              <w:bottom w:val="single" w:color="auto" w:sz="4" w:space="0"/>
              <w:right w:val="single" w:color="auto" w:sz="4" w:space="0"/>
            </w:tcBorders>
            <w:vAlign w:val="center"/>
          </w:tcPr>
          <w:p w14:paraId="0B1327E9">
            <w:pPr>
              <w:ind w:firstLine="480" w:firstLineChars="150"/>
              <w:rPr>
                <w:rFonts w:hint="eastAsia" w:ascii="仿宋_GB2312" w:eastAsia="仿宋_GB2312"/>
                <w:sz w:val="32"/>
                <w:szCs w:val="32"/>
                <w:lang w:eastAsia="zh-CN"/>
              </w:rPr>
            </w:pPr>
            <w:r>
              <w:rPr>
                <w:rFonts w:hint="eastAsia" w:ascii="仿宋_GB2312" w:eastAsia="仿宋_GB2312"/>
                <w:sz w:val="32"/>
                <w:szCs w:val="32"/>
                <w:lang w:eastAsia="zh-CN"/>
              </w:rPr>
              <w:t>湘潭县司法局</w:t>
            </w:r>
          </w:p>
        </w:tc>
      </w:tr>
      <w:tr w14:paraId="1981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14:paraId="3C85097C">
            <w:pPr>
              <w:ind w:firstLine="480" w:firstLineChars="150"/>
              <w:jc w:val="center"/>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40F6E7F0">
            <w:pPr>
              <w:ind w:firstLine="480" w:firstLineChars="150"/>
              <w:jc w:val="center"/>
              <w:rPr>
                <w:rFonts w:hint="eastAsia" w:ascii="仿宋_GB2312" w:eastAsia="仿宋_GB2312"/>
                <w:sz w:val="32"/>
                <w:szCs w:val="32"/>
              </w:rPr>
            </w:pPr>
            <w:r>
              <w:rPr>
                <w:rFonts w:hint="eastAsia" w:ascii="仿宋_GB2312" w:eastAsia="仿宋_GB2312"/>
                <w:sz w:val="32"/>
                <w:szCs w:val="32"/>
              </w:rPr>
              <w:t>年度预算金额</w:t>
            </w:r>
          </w:p>
        </w:tc>
        <w:tc>
          <w:tcPr>
            <w:tcW w:w="5670" w:type="dxa"/>
            <w:tcBorders>
              <w:top w:val="single" w:color="auto" w:sz="4" w:space="0"/>
              <w:left w:val="nil"/>
              <w:bottom w:val="single" w:color="auto" w:sz="4" w:space="0"/>
              <w:right w:val="single" w:color="auto" w:sz="4" w:space="0"/>
            </w:tcBorders>
            <w:vAlign w:val="center"/>
          </w:tcPr>
          <w:p w14:paraId="0899E7BB">
            <w:pPr>
              <w:ind w:firstLine="480" w:firstLineChars="150"/>
              <w:rPr>
                <w:rFonts w:hint="eastAsia" w:ascii="仿宋_GB2312" w:eastAsia="仿宋_GB2312"/>
                <w:sz w:val="32"/>
                <w:szCs w:val="32"/>
                <w:lang w:eastAsia="zh-CN"/>
              </w:rPr>
            </w:pPr>
            <w:r>
              <w:rPr>
                <w:rFonts w:hint="eastAsia" w:ascii="仿宋_GB2312" w:eastAsia="仿宋_GB2312"/>
                <w:sz w:val="32"/>
                <w:szCs w:val="32"/>
              </w:rPr>
              <w:t>1531.54</w:t>
            </w:r>
            <w:r>
              <w:rPr>
                <w:rFonts w:hint="eastAsia" w:ascii="仿宋_GB2312" w:eastAsia="仿宋_GB2312"/>
                <w:sz w:val="32"/>
                <w:szCs w:val="32"/>
                <w:lang w:eastAsia="zh-CN"/>
              </w:rPr>
              <w:t>万元</w:t>
            </w:r>
          </w:p>
        </w:tc>
      </w:tr>
      <w:tr w14:paraId="7D939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14:paraId="5744378A">
            <w:pPr>
              <w:ind w:firstLine="480" w:firstLineChars="150"/>
              <w:jc w:val="center"/>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0FFD5394">
            <w:pPr>
              <w:ind w:firstLine="480" w:firstLineChars="150"/>
              <w:jc w:val="center"/>
              <w:rPr>
                <w:rFonts w:hint="eastAsia" w:ascii="仿宋_GB2312" w:eastAsia="仿宋_GB2312"/>
                <w:sz w:val="32"/>
                <w:szCs w:val="32"/>
              </w:rPr>
            </w:pPr>
            <w:r>
              <w:rPr>
                <w:rFonts w:hint="eastAsia" w:ascii="仿宋_GB2312" w:eastAsia="仿宋_GB2312"/>
                <w:sz w:val="32"/>
                <w:szCs w:val="32"/>
              </w:rPr>
              <w:t>主管部门</w:t>
            </w:r>
          </w:p>
        </w:tc>
        <w:tc>
          <w:tcPr>
            <w:tcW w:w="5670" w:type="dxa"/>
            <w:tcBorders>
              <w:top w:val="single" w:color="auto" w:sz="4" w:space="0"/>
              <w:left w:val="nil"/>
              <w:bottom w:val="single" w:color="auto" w:sz="4" w:space="0"/>
              <w:right w:val="single" w:color="auto" w:sz="4" w:space="0"/>
            </w:tcBorders>
            <w:vAlign w:val="center"/>
          </w:tcPr>
          <w:p w14:paraId="0BE0F2E5">
            <w:pPr>
              <w:ind w:firstLine="480" w:firstLineChars="150"/>
              <w:rPr>
                <w:rFonts w:hint="eastAsia" w:ascii="仿宋_GB2312" w:eastAsia="仿宋_GB2312"/>
                <w:sz w:val="32"/>
                <w:szCs w:val="32"/>
                <w:lang w:eastAsia="zh-CN"/>
              </w:rPr>
            </w:pPr>
            <w:r>
              <w:rPr>
                <w:rFonts w:hint="eastAsia" w:ascii="仿宋_GB2312" w:eastAsia="仿宋_GB2312"/>
                <w:sz w:val="32"/>
                <w:szCs w:val="32"/>
                <w:lang w:eastAsia="zh-CN"/>
              </w:rPr>
              <w:t>湘潭县人民政府</w:t>
            </w:r>
          </w:p>
        </w:tc>
      </w:tr>
      <w:tr w14:paraId="0D7AD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vAlign w:val="center"/>
          </w:tcPr>
          <w:p w14:paraId="41653BE4">
            <w:pPr>
              <w:ind w:firstLine="480" w:firstLineChars="150"/>
              <w:jc w:val="center"/>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2DD65924">
            <w:pPr>
              <w:ind w:firstLine="480" w:firstLineChars="150"/>
              <w:jc w:val="center"/>
              <w:rPr>
                <w:rFonts w:hint="eastAsia" w:ascii="仿宋_GB2312" w:eastAsia="仿宋_GB2312"/>
                <w:sz w:val="32"/>
                <w:szCs w:val="32"/>
              </w:rPr>
            </w:pPr>
            <w:r>
              <w:rPr>
                <w:rFonts w:hint="eastAsia" w:ascii="仿宋_GB2312" w:eastAsia="仿宋_GB2312"/>
                <w:sz w:val="32"/>
                <w:szCs w:val="32"/>
              </w:rPr>
              <w:t>单位基本职能</w:t>
            </w:r>
          </w:p>
        </w:tc>
        <w:tc>
          <w:tcPr>
            <w:tcW w:w="5670" w:type="dxa"/>
            <w:tcBorders>
              <w:top w:val="single" w:color="auto" w:sz="4" w:space="0"/>
              <w:left w:val="nil"/>
              <w:bottom w:val="single" w:color="auto" w:sz="4" w:space="0"/>
              <w:right w:val="single" w:color="auto" w:sz="4" w:space="0"/>
            </w:tcBorders>
            <w:vAlign w:val="center"/>
          </w:tcPr>
          <w:p w14:paraId="68738EBD">
            <w:pPr>
              <w:ind w:firstLine="480" w:firstLineChars="150"/>
              <w:rPr>
                <w:rFonts w:hint="eastAsia" w:ascii="仿宋_GB2312" w:eastAsia="仿宋_GB2312"/>
                <w:sz w:val="32"/>
                <w:szCs w:val="32"/>
              </w:rPr>
            </w:pPr>
            <w:r>
              <w:rPr>
                <w:rFonts w:hint="eastAsia" w:ascii="仿宋_GB2312" w:eastAsia="仿宋_GB2312"/>
                <w:sz w:val="32"/>
                <w:szCs w:val="32"/>
              </w:rPr>
              <w:t>1.贯彻执行国家、省、市有关司法行政的方针、政策和法律法规；拟定全县司法行政工作中、长期发展规划和年度计划，经批准后组织实施。</w:t>
            </w:r>
          </w:p>
          <w:p w14:paraId="3778AE03">
            <w:pPr>
              <w:ind w:firstLine="480" w:firstLineChars="150"/>
              <w:rPr>
                <w:rFonts w:hint="eastAsia" w:ascii="仿宋_GB2312" w:eastAsia="仿宋_GB2312"/>
                <w:sz w:val="32"/>
                <w:szCs w:val="32"/>
              </w:rPr>
            </w:pPr>
            <w:r>
              <w:rPr>
                <w:rFonts w:hint="eastAsia" w:ascii="仿宋_GB2312" w:eastAsia="仿宋_GB2312"/>
                <w:sz w:val="32"/>
                <w:szCs w:val="32"/>
              </w:rPr>
              <w:t>2.会同有关部门监督、检查有关司法行政方面的法律、法规和规章执行情况。</w:t>
            </w:r>
          </w:p>
          <w:p w14:paraId="4CD166EF">
            <w:pPr>
              <w:ind w:firstLine="480" w:firstLineChars="150"/>
              <w:rPr>
                <w:rFonts w:hint="eastAsia" w:ascii="仿宋_GB2312" w:eastAsia="仿宋_GB2312"/>
                <w:sz w:val="32"/>
                <w:szCs w:val="32"/>
              </w:rPr>
            </w:pPr>
            <w:r>
              <w:rPr>
                <w:rFonts w:hint="eastAsia" w:ascii="仿宋_GB2312" w:eastAsia="仿宋_GB2312"/>
                <w:sz w:val="32"/>
                <w:szCs w:val="32"/>
              </w:rPr>
              <w:t>3.拟订全县法制宣传教育和依法治县规划，经批准后组织实施。</w:t>
            </w:r>
          </w:p>
          <w:p w14:paraId="2C73EF49">
            <w:pPr>
              <w:ind w:firstLine="480" w:firstLineChars="150"/>
              <w:rPr>
                <w:rFonts w:hint="eastAsia" w:ascii="仿宋_GB2312" w:eastAsia="仿宋_GB2312"/>
                <w:sz w:val="32"/>
                <w:szCs w:val="32"/>
              </w:rPr>
            </w:pPr>
            <w:r>
              <w:rPr>
                <w:rFonts w:hint="eastAsia" w:ascii="仿宋_GB2312" w:eastAsia="仿宋_GB2312"/>
                <w:sz w:val="32"/>
                <w:szCs w:val="32"/>
              </w:rPr>
              <w:t>4.指导全县人民调解工作、司法所建设工作；指导、监督管理基层司法所、司法助理员和基层法律服务工作；参与社会治安综合管理。</w:t>
            </w:r>
          </w:p>
          <w:p w14:paraId="091AFF42">
            <w:pPr>
              <w:ind w:firstLine="480" w:firstLineChars="150"/>
              <w:rPr>
                <w:rFonts w:hint="eastAsia" w:ascii="仿宋_GB2312" w:eastAsia="仿宋_GB2312"/>
                <w:sz w:val="32"/>
                <w:szCs w:val="32"/>
              </w:rPr>
            </w:pPr>
            <w:r>
              <w:rPr>
                <w:rFonts w:hint="eastAsia" w:ascii="仿宋_GB2312" w:eastAsia="仿宋_GB2312"/>
                <w:sz w:val="32"/>
                <w:szCs w:val="32"/>
              </w:rPr>
              <w:t>5.指导管理全县社区矫正工作；指导全县刑满释放人员的安置帮教工作。</w:t>
            </w:r>
          </w:p>
          <w:p w14:paraId="6F350084">
            <w:pPr>
              <w:ind w:firstLine="480" w:firstLineChars="150"/>
              <w:rPr>
                <w:rFonts w:hint="eastAsia" w:ascii="仿宋_GB2312" w:eastAsia="仿宋_GB2312"/>
                <w:sz w:val="32"/>
                <w:szCs w:val="32"/>
              </w:rPr>
            </w:pPr>
            <w:r>
              <w:rPr>
                <w:rFonts w:hint="eastAsia" w:ascii="仿宋_GB2312" w:eastAsia="仿宋_GB2312"/>
                <w:sz w:val="32"/>
                <w:szCs w:val="32"/>
              </w:rPr>
              <w:t>6.负责指导监督全县律师工作和公证工作；负责管理公证机构。</w:t>
            </w:r>
          </w:p>
          <w:p w14:paraId="6139A773">
            <w:pPr>
              <w:ind w:firstLine="480" w:firstLineChars="150"/>
              <w:rPr>
                <w:rFonts w:hint="eastAsia" w:ascii="仿宋_GB2312" w:eastAsia="仿宋_GB2312"/>
                <w:sz w:val="32"/>
                <w:szCs w:val="32"/>
              </w:rPr>
            </w:pPr>
            <w:r>
              <w:rPr>
                <w:rFonts w:hint="eastAsia" w:ascii="仿宋_GB2312" w:eastAsia="仿宋_GB2312"/>
                <w:sz w:val="32"/>
                <w:szCs w:val="32"/>
              </w:rPr>
              <w:t>7.监督管理全县法律援助工作；承办法律援助案件；指导全县公共法律服务工作。</w:t>
            </w:r>
          </w:p>
          <w:p w14:paraId="13B09C0D">
            <w:pPr>
              <w:ind w:firstLine="480" w:firstLineChars="150"/>
              <w:rPr>
                <w:rFonts w:hint="eastAsia" w:ascii="仿宋_GB2312" w:eastAsia="仿宋_GB2312"/>
                <w:sz w:val="32"/>
                <w:szCs w:val="32"/>
              </w:rPr>
            </w:pPr>
            <w:r>
              <w:rPr>
                <w:rFonts w:hint="eastAsia" w:ascii="仿宋_GB2312" w:eastAsia="仿宋_GB2312"/>
                <w:sz w:val="32"/>
                <w:szCs w:val="32"/>
              </w:rPr>
              <w:t>8.指导全县司法行政系统队伍和律师队伍建设、党组织建设和思想政治工作；管理司法行政系统的教育培训、考核奖励工作。</w:t>
            </w:r>
          </w:p>
          <w:p w14:paraId="4E399D82">
            <w:pPr>
              <w:ind w:firstLine="480" w:firstLineChars="150"/>
              <w:rPr>
                <w:rFonts w:hint="eastAsia" w:ascii="仿宋_GB2312" w:eastAsia="仿宋_GB2312"/>
                <w:sz w:val="32"/>
                <w:szCs w:val="32"/>
              </w:rPr>
            </w:pPr>
            <w:r>
              <w:rPr>
                <w:rFonts w:hint="eastAsia" w:ascii="仿宋_GB2312" w:eastAsia="仿宋_GB2312"/>
                <w:sz w:val="32"/>
                <w:szCs w:val="32"/>
              </w:rPr>
              <w:t>9.负责面向社会服务的司法鉴定机构初审和面向社会服务的司法鉴定人执业初审工作。</w:t>
            </w:r>
          </w:p>
          <w:p w14:paraId="27368D95">
            <w:pPr>
              <w:ind w:firstLine="480" w:firstLineChars="150"/>
              <w:rPr>
                <w:rFonts w:hint="eastAsia" w:ascii="仿宋_GB2312" w:eastAsia="仿宋_GB2312"/>
                <w:sz w:val="32"/>
                <w:szCs w:val="32"/>
              </w:rPr>
            </w:pPr>
            <w:r>
              <w:rPr>
                <w:rFonts w:hint="eastAsia" w:ascii="仿宋_GB2312" w:eastAsia="仿宋_GB2312"/>
                <w:sz w:val="32"/>
                <w:szCs w:val="32"/>
              </w:rPr>
              <w:t>10、承办县人民政府交办的其他事项。</w:t>
            </w:r>
          </w:p>
          <w:p w14:paraId="3ADEB8F4">
            <w:pPr>
              <w:ind w:firstLine="480" w:firstLineChars="150"/>
              <w:rPr>
                <w:rFonts w:hint="eastAsia" w:ascii="仿宋_GB2312" w:eastAsia="仿宋_GB2312"/>
                <w:sz w:val="32"/>
                <w:szCs w:val="32"/>
              </w:rPr>
            </w:pPr>
          </w:p>
        </w:tc>
      </w:tr>
      <w:tr w14:paraId="7766C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tcBorders>
              <w:top w:val="nil"/>
              <w:left w:val="single" w:color="auto" w:sz="4" w:space="0"/>
              <w:bottom w:val="single" w:color="auto" w:sz="4" w:space="0"/>
              <w:right w:val="single" w:color="auto" w:sz="4" w:space="0"/>
            </w:tcBorders>
            <w:vAlign w:val="center"/>
          </w:tcPr>
          <w:p w14:paraId="379CD8C9">
            <w:pPr>
              <w:ind w:firstLine="480" w:firstLineChars="150"/>
              <w:jc w:val="center"/>
              <w:rPr>
                <w:rFonts w:hint="eastAsia" w:ascii="仿宋_GB2312" w:eastAsia="仿宋_GB2312"/>
                <w:sz w:val="32"/>
                <w:szCs w:val="32"/>
              </w:rPr>
            </w:pPr>
            <w:r>
              <w:rPr>
                <w:rFonts w:hint="eastAsia" w:ascii="仿宋_GB2312" w:eastAsia="仿宋_GB2312"/>
                <w:sz w:val="32"/>
                <w:szCs w:val="32"/>
              </w:rPr>
              <w:t>绩效完成情况</w:t>
            </w:r>
          </w:p>
        </w:tc>
        <w:tc>
          <w:tcPr>
            <w:tcW w:w="1985" w:type="dxa"/>
            <w:tcBorders>
              <w:top w:val="single" w:color="auto" w:sz="4" w:space="0"/>
              <w:left w:val="nil"/>
              <w:bottom w:val="single" w:color="auto" w:sz="4" w:space="0"/>
              <w:right w:val="single" w:color="auto" w:sz="4" w:space="0"/>
            </w:tcBorders>
            <w:vAlign w:val="center"/>
          </w:tcPr>
          <w:p w14:paraId="414C704F">
            <w:pPr>
              <w:ind w:firstLine="480" w:firstLineChars="150"/>
              <w:jc w:val="center"/>
              <w:rPr>
                <w:rFonts w:hint="eastAsia" w:ascii="仿宋_GB2312" w:eastAsia="仿宋_GB2312"/>
                <w:sz w:val="32"/>
                <w:szCs w:val="32"/>
              </w:rPr>
            </w:pPr>
            <w:r>
              <w:rPr>
                <w:rFonts w:hint="eastAsia" w:ascii="仿宋_GB2312" w:eastAsia="仿宋_GB2312"/>
                <w:sz w:val="32"/>
                <w:szCs w:val="32"/>
              </w:rPr>
              <w:t>部门整体支出管理和使用基本情况</w:t>
            </w:r>
          </w:p>
        </w:tc>
        <w:tc>
          <w:tcPr>
            <w:tcW w:w="5670" w:type="dxa"/>
            <w:tcBorders>
              <w:top w:val="single" w:color="auto" w:sz="4" w:space="0"/>
              <w:left w:val="nil"/>
              <w:bottom w:val="single" w:color="auto" w:sz="4" w:space="0"/>
              <w:right w:val="single" w:color="auto" w:sz="4" w:space="0"/>
            </w:tcBorders>
            <w:vAlign w:val="center"/>
          </w:tcPr>
          <w:p w14:paraId="76521307">
            <w:pPr>
              <w:ind w:firstLine="480" w:firstLineChars="150"/>
              <w:rPr>
                <w:rFonts w:hint="eastAsia" w:ascii="仿宋_GB2312" w:eastAsia="仿宋_GB2312"/>
                <w:sz w:val="32"/>
                <w:szCs w:val="32"/>
              </w:rPr>
            </w:pPr>
            <w:r>
              <w:rPr>
                <w:rFonts w:hint="eastAsia" w:ascii="仿宋_GB2312" w:eastAsia="仿宋_GB2312"/>
                <w:sz w:val="32"/>
                <w:szCs w:val="32"/>
              </w:rPr>
              <w:t>一、预算情况</w:t>
            </w:r>
          </w:p>
          <w:p w14:paraId="2E87F6E0">
            <w:pPr>
              <w:ind w:firstLine="480" w:firstLineChars="150"/>
              <w:rPr>
                <w:rFonts w:hint="eastAsia" w:ascii="仿宋_GB2312" w:eastAsia="仿宋_GB2312"/>
                <w:sz w:val="32"/>
                <w:szCs w:val="32"/>
              </w:rPr>
            </w:pPr>
            <w:r>
              <w:rPr>
                <w:rFonts w:hint="eastAsia" w:ascii="仿宋_GB2312" w:eastAsia="仿宋_GB2312"/>
                <w:sz w:val="32"/>
                <w:szCs w:val="32"/>
                <w:lang w:eastAsia="zh-CN"/>
              </w:rPr>
              <w:t>单位总人数为</w:t>
            </w:r>
            <w:r>
              <w:rPr>
                <w:rFonts w:hint="eastAsia" w:ascii="仿宋_GB2312" w:eastAsia="仿宋_GB2312"/>
                <w:sz w:val="32"/>
                <w:szCs w:val="32"/>
                <w:lang w:val="en-US" w:eastAsia="zh-CN"/>
              </w:rPr>
              <w:t>102人，</w:t>
            </w:r>
            <w:r>
              <w:rPr>
                <w:rFonts w:hint="eastAsia" w:ascii="仿宋_GB2312" w:eastAsia="仿宋_GB2312"/>
                <w:sz w:val="32"/>
                <w:szCs w:val="32"/>
                <w:lang w:eastAsia="zh-CN"/>
              </w:rPr>
              <w:t>其中</w:t>
            </w:r>
            <w:r>
              <w:rPr>
                <w:rFonts w:hint="eastAsia" w:ascii="仿宋_GB2312" w:eastAsia="仿宋_GB2312"/>
                <w:sz w:val="32"/>
                <w:szCs w:val="32"/>
              </w:rPr>
              <w:t>在职人员79人</w:t>
            </w:r>
            <w:r>
              <w:rPr>
                <w:rFonts w:hint="eastAsia" w:ascii="仿宋_GB2312" w:eastAsia="仿宋_GB2312"/>
                <w:sz w:val="32"/>
                <w:szCs w:val="32"/>
                <w:lang w:eastAsia="zh-CN"/>
              </w:rPr>
              <w:t>，</w:t>
            </w:r>
            <w:r>
              <w:rPr>
                <w:rFonts w:hint="eastAsia" w:ascii="仿宋_GB2312" w:eastAsia="仿宋_GB2312"/>
                <w:sz w:val="32"/>
                <w:szCs w:val="32"/>
              </w:rPr>
              <w:t>退休人员19人</w:t>
            </w:r>
            <w:r>
              <w:rPr>
                <w:rFonts w:hint="eastAsia" w:ascii="仿宋_GB2312" w:eastAsia="仿宋_GB2312"/>
                <w:sz w:val="32"/>
                <w:szCs w:val="32"/>
                <w:lang w:eastAsia="zh-CN"/>
              </w:rPr>
              <w:t>，</w:t>
            </w:r>
            <w:r>
              <w:rPr>
                <w:rFonts w:hint="eastAsia" w:ascii="仿宋_GB2312" w:eastAsia="仿宋_GB2312"/>
                <w:sz w:val="32"/>
                <w:szCs w:val="32"/>
              </w:rPr>
              <w:t>遗属4人。部门收入预算为 1531.5430万元，其中：公共财政预算拨款为1455.5430万元</w:t>
            </w:r>
            <w:r>
              <w:rPr>
                <w:rFonts w:hint="eastAsia" w:ascii="仿宋_GB2312" w:eastAsia="仿宋_GB2312"/>
                <w:sz w:val="32"/>
                <w:szCs w:val="32"/>
                <w:lang w:eastAsia="zh-CN"/>
              </w:rPr>
              <w:t>，</w:t>
            </w:r>
            <w:r>
              <w:rPr>
                <w:rFonts w:hint="eastAsia" w:ascii="仿宋_GB2312" w:eastAsia="仿宋_GB2312"/>
                <w:sz w:val="32"/>
                <w:szCs w:val="32"/>
              </w:rPr>
              <w:t>上级补助收入76.00万元。；部门支出预算为1531.54万元，其中：基本支出1095.5430万元（人员支出890.3475万元，公用支出202.8299万元；对个人和家庭的补助支出22.3656万元）；项目支出436.0000万元。</w:t>
            </w:r>
          </w:p>
          <w:p w14:paraId="6AC7C738">
            <w:pPr>
              <w:ind w:firstLine="480" w:firstLineChars="150"/>
              <w:rPr>
                <w:rFonts w:hint="eastAsia" w:ascii="仿宋_GB2312" w:eastAsia="仿宋_GB2312"/>
                <w:sz w:val="32"/>
                <w:szCs w:val="32"/>
              </w:rPr>
            </w:pPr>
            <w:r>
              <w:rPr>
                <w:rFonts w:hint="eastAsia" w:ascii="仿宋_GB2312" w:eastAsia="仿宋_GB2312"/>
                <w:sz w:val="32"/>
                <w:szCs w:val="32"/>
              </w:rPr>
              <w:t>二、经费执行情况</w:t>
            </w:r>
          </w:p>
          <w:p w14:paraId="64996777">
            <w:pPr>
              <w:ind w:firstLine="480" w:firstLineChars="150"/>
              <w:rPr>
                <w:rFonts w:hint="eastAsia" w:ascii="仿宋_GB2312" w:eastAsia="仿宋_GB2312"/>
                <w:sz w:val="32"/>
                <w:szCs w:val="32"/>
              </w:rPr>
            </w:pPr>
            <w:r>
              <w:rPr>
                <w:rFonts w:hint="eastAsia" w:ascii="仿宋_GB2312" w:eastAsia="仿宋_GB2312"/>
                <w:sz w:val="32"/>
                <w:szCs w:val="32"/>
              </w:rPr>
              <w:t>1.全年经费收支情况。年度收入总计</w:t>
            </w:r>
            <w:r>
              <w:rPr>
                <w:rFonts w:hint="eastAsia" w:ascii="仿宋_GB2312" w:eastAsia="仿宋_GB2312"/>
                <w:sz w:val="32"/>
                <w:szCs w:val="32"/>
                <w:lang w:val="en-US" w:eastAsia="zh-CN"/>
              </w:rPr>
              <w:t>1723.13</w:t>
            </w:r>
            <w:r>
              <w:rPr>
                <w:rFonts w:hint="eastAsia" w:ascii="仿宋_GB2312" w:eastAsia="仿宋_GB2312"/>
                <w:sz w:val="32"/>
                <w:szCs w:val="32"/>
              </w:rPr>
              <w:t>万元，包括：财政拨款收入</w:t>
            </w:r>
            <w:r>
              <w:rPr>
                <w:rFonts w:hint="eastAsia" w:ascii="仿宋_GB2312" w:eastAsia="仿宋_GB2312"/>
                <w:sz w:val="32"/>
                <w:szCs w:val="32"/>
                <w:lang w:val="en-US" w:eastAsia="zh-CN"/>
              </w:rPr>
              <w:t>1723.13</w:t>
            </w:r>
            <w:r>
              <w:rPr>
                <w:rFonts w:hint="eastAsia" w:ascii="仿宋_GB2312" w:eastAsia="仿宋_GB2312"/>
                <w:sz w:val="32"/>
                <w:szCs w:val="32"/>
              </w:rPr>
              <w:t>万元，其中：一般公共预算财政拨款收入</w:t>
            </w:r>
            <w:r>
              <w:rPr>
                <w:rFonts w:hint="eastAsia" w:ascii="仿宋_GB2312" w:eastAsia="仿宋_GB2312"/>
                <w:sz w:val="32"/>
                <w:szCs w:val="32"/>
                <w:lang w:val="en-US" w:eastAsia="zh-CN"/>
              </w:rPr>
              <w:t>1723.13</w:t>
            </w:r>
            <w:r>
              <w:rPr>
                <w:rFonts w:hint="eastAsia" w:ascii="仿宋_GB2312" w:eastAsia="仿宋_GB2312"/>
                <w:sz w:val="32"/>
                <w:szCs w:val="32"/>
              </w:rPr>
              <w:t>万元，政府性基金收入0万元；上年结转和结余</w:t>
            </w:r>
            <w:r>
              <w:rPr>
                <w:rFonts w:hint="eastAsia" w:ascii="仿宋_GB2312" w:eastAsia="仿宋_GB2312"/>
                <w:sz w:val="32"/>
                <w:szCs w:val="32"/>
                <w:lang w:val="en-US" w:eastAsia="zh-CN"/>
              </w:rPr>
              <w:t>16.89</w:t>
            </w:r>
            <w:r>
              <w:rPr>
                <w:rFonts w:hint="eastAsia" w:ascii="仿宋_GB2312" w:eastAsia="仿宋_GB2312"/>
                <w:sz w:val="32"/>
                <w:szCs w:val="32"/>
              </w:rPr>
              <w:t>万元。年度支出总计</w:t>
            </w:r>
            <w:r>
              <w:rPr>
                <w:rFonts w:hint="eastAsia" w:ascii="仿宋_GB2312" w:eastAsia="仿宋_GB2312"/>
                <w:sz w:val="32"/>
                <w:szCs w:val="32"/>
                <w:lang w:val="en-US" w:eastAsia="zh-CN"/>
              </w:rPr>
              <w:t>1711.82</w:t>
            </w:r>
            <w:r>
              <w:rPr>
                <w:rFonts w:hint="eastAsia" w:ascii="仿宋_GB2312" w:eastAsia="仿宋_GB2312"/>
                <w:sz w:val="32"/>
                <w:szCs w:val="32"/>
              </w:rPr>
              <w:t>万元，包括：基本支出</w:t>
            </w:r>
            <w:r>
              <w:rPr>
                <w:rFonts w:hint="eastAsia" w:ascii="仿宋_GB2312" w:eastAsia="仿宋_GB2312"/>
                <w:sz w:val="32"/>
                <w:szCs w:val="32"/>
                <w:lang w:val="en-US" w:eastAsia="zh-CN"/>
              </w:rPr>
              <w:t>1275.82</w:t>
            </w:r>
            <w:r>
              <w:rPr>
                <w:rFonts w:hint="eastAsia" w:ascii="仿宋_GB2312" w:eastAsia="仿宋_GB2312"/>
                <w:sz w:val="32"/>
                <w:szCs w:val="32"/>
              </w:rPr>
              <w:t>万元（工资福利支出</w:t>
            </w:r>
            <w:r>
              <w:rPr>
                <w:rFonts w:hint="eastAsia" w:ascii="仿宋_GB2312" w:eastAsia="仿宋_GB2312"/>
                <w:sz w:val="32"/>
                <w:szCs w:val="32"/>
                <w:lang w:val="en-US" w:eastAsia="zh-CN"/>
              </w:rPr>
              <w:t>1001.37</w:t>
            </w:r>
            <w:r>
              <w:rPr>
                <w:rFonts w:hint="eastAsia" w:ascii="仿宋_GB2312" w:eastAsia="仿宋_GB2312"/>
                <w:sz w:val="32"/>
                <w:szCs w:val="32"/>
              </w:rPr>
              <w:t>万元；商品和服务支出</w:t>
            </w:r>
            <w:r>
              <w:rPr>
                <w:rFonts w:hint="eastAsia" w:ascii="仿宋_GB2312" w:eastAsia="仿宋_GB2312"/>
                <w:sz w:val="32"/>
                <w:szCs w:val="32"/>
                <w:lang w:val="en-US" w:eastAsia="zh-CN"/>
              </w:rPr>
              <w:t>202.8299</w:t>
            </w:r>
            <w:r>
              <w:rPr>
                <w:rFonts w:hint="eastAsia" w:ascii="仿宋_GB2312" w:eastAsia="仿宋_GB2312"/>
                <w:sz w:val="32"/>
                <w:szCs w:val="32"/>
              </w:rPr>
              <w:t>万元，对个人和家庭的补助支出</w:t>
            </w:r>
            <w:r>
              <w:rPr>
                <w:rFonts w:hint="eastAsia" w:ascii="仿宋_GB2312" w:eastAsia="仿宋_GB2312"/>
                <w:sz w:val="32"/>
                <w:szCs w:val="32"/>
                <w:lang w:val="en-US" w:eastAsia="zh-CN"/>
              </w:rPr>
              <w:t>71.62</w:t>
            </w:r>
            <w:r>
              <w:rPr>
                <w:rFonts w:hint="eastAsia" w:ascii="仿宋_GB2312" w:eastAsia="仿宋_GB2312"/>
                <w:sz w:val="32"/>
                <w:szCs w:val="32"/>
              </w:rPr>
              <w:t>万元），项目支出</w:t>
            </w:r>
            <w:r>
              <w:rPr>
                <w:rFonts w:hint="eastAsia" w:ascii="仿宋_GB2312" w:eastAsia="仿宋_GB2312"/>
                <w:sz w:val="32"/>
                <w:szCs w:val="32"/>
                <w:lang w:val="en-US" w:eastAsia="zh-CN"/>
              </w:rPr>
              <w:t>436</w:t>
            </w:r>
            <w:r>
              <w:rPr>
                <w:rFonts w:hint="eastAsia" w:ascii="仿宋_GB2312" w:eastAsia="仿宋_GB2312"/>
                <w:sz w:val="32"/>
                <w:szCs w:val="32"/>
              </w:rPr>
              <w:t>万元。年末资金结转结余</w:t>
            </w:r>
            <w:r>
              <w:rPr>
                <w:rFonts w:hint="eastAsia" w:ascii="仿宋_GB2312" w:eastAsia="仿宋_GB2312"/>
                <w:sz w:val="32"/>
                <w:szCs w:val="32"/>
                <w:lang w:val="en-US" w:eastAsia="zh-CN"/>
              </w:rPr>
              <w:t>28.20</w:t>
            </w:r>
            <w:r>
              <w:rPr>
                <w:rFonts w:hint="eastAsia" w:ascii="仿宋_GB2312" w:eastAsia="仿宋_GB2312"/>
                <w:sz w:val="32"/>
                <w:szCs w:val="32"/>
              </w:rPr>
              <w:t>万元。</w:t>
            </w:r>
          </w:p>
          <w:p w14:paraId="0AFAB1FF">
            <w:pPr>
              <w:ind w:firstLine="480" w:firstLineChars="150"/>
              <w:rPr>
                <w:rFonts w:hint="eastAsia" w:ascii="仿宋_GB2312" w:eastAsia="仿宋_GB2312"/>
                <w:sz w:val="32"/>
                <w:szCs w:val="32"/>
              </w:rPr>
            </w:pPr>
            <w:r>
              <w:rPr>
                <w:rFonts w:hint="eastAsia" w:ascii="仿宋_GB2312" w:eastAsia="仿宋_GB2312"/>
                <w:sz w:val="32"/>
                <w:szCs w:val="32"/>
              </w:rPr>
              <w:t>2.“三公”经费使用情况：</w:t>
            </w:r>
            <w:r>
              <w:rPr>
                <w:rFonts w:hint="eastAsia" w:ascii="仿宋_GB2312" w:eastAsia="仿宋_GB2312"/>
                <w:sz w:val="32"/>
                <w:szCs w:val="32"/>
                <w:lang w:val="en-US" w:eastAsia="zh-CN"/>
              </w:rPr>
              <w:t>三公经费”年初预算数30万元，实际支出数23.73万元。公务接待费年初预算数12万元，实际发生50批次280人次的国内公务接待费6.59万元，无国（境）外公务接待费用，比2017年减少15.03万元；公车运行维护费年初预算18万元，实际发生17.14万元，比去年减少0.4225万元。</w:t>
            </w:r>
            <w:r>
              <w:rPr>
                <w:rFonts w:hint="eastAsia" w:ascii="仿宋_GB2312" w:eastAsia="仿宋_GB2312"/>
                <w:sz w:val="32"/>
                <w:szCs w:val="32"/>
                <w:lang w:val="en-US" w:eastAsia="zh-CN"/>
              </w:rPr>
              <w:br w:type="textWrapping"/>
            </w:r>
          </w:p>
          <w:p w14:paraId="0882AF76">
            <w:pPr>
              <w:ind w:firstLine="480" w:firstLineChars="150"/>
              <w:rPr>
                <w:rFonts w:hint="eastAsia" w:ascii="仿宋_GB2312" w:eastAsia="仿宋_GB2312"/>
                <w:sz w:val="32"/>
                <w:szCs w:val="32"/>
              </w:rPr>
            </w:pPr>
          </w:p>
        </w:tc>
      </w:tr>
      <w:tr w14:paraId="18F11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Borders>
              <w:top w:val="nil"/>
              <w:left w:val="single" w:color="auto" w:sz="4" w:space="0"/>
              <w:bottom w:val="single" w:color="auto" w:sz="4" w:space="0"/>
              <w:right w:val="single" w:color="auto" w:sz="4" w:space="0"/>
            </w:tcBorders>
            <w:vAlign w:val="center"/>
          </w:tcPr>
          <w:p w14:paraId="2871F2F3">
            <w:pPr>
              <w:ind w:firstLine="480" w:firstLineChars="150"/>
              <w:jc w:val="center"/>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4886B2E0">
            <w:pPr>
              <w:ind w:firstLine="480" w:firstLineChars="150"/>
              <w:jc w:val="center"/>
              <w:rPr>
                <w:rFonts w:hint="eastAsia" w:ascii="仿宋_GB2312" w:eastAsia="仿宋_GB2312"/>
                <w:sz w:val="32"/>
                <w:szCs w:val="32"/>
              </w:rPr>
            </w:pPr>
            <w:r>
              <w:rPr>
                <w:rFonts w:hint="eastAsia" w:ascii="仿宋_GB2312" w:eastAsia="仿宋_GB2312"/>
                <w:sz w:val="32"/>
                <w:szCs w:val="32"/>
              </w:rPr>
              <w:t>绩效目标完成情况</w:t>
            </w:r>
          </w:p>
        </w:tc>
        <w:tc>
          <w:tcPr>
            <w:tcW w:w="5670" w:type="dxa"/>
            <w:tcBorders>
              <w:top w:val="single" w:color="auto" w:sz="4" w:space="0"/>
              <w:left w:val="nil"/>
              <w:bottom w:val="single" w:color="auto" w:sz="4" w:space="0"/>
              <w:right w:val="single" w:color="auto" w:sz="4" w:space="0"/>
            </w:tcBorders>
            <w:vAlign w:val="center"/>
          </w:tcPr>
          <w:p w14:paraId="33CEA80D">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全县司法行政系统在县委、县政府的正确领导下，深入贯彻落实习近平新时代中国特色社会主义思想和党的十九大精神，紧紧围绕县委、县政府“挺进全国百强县，创建全国文明城市”的战略目标，以推进全县法治建设进程为主线，以维护社会大局稳定为目标，全面开展司法行政各项业务工作，为县域经济的健康快速发展营造了一个良好的法治环境。2018年，湘潭县被评为“全国法治先进县”，湘潭县司法局被中政委等9部委评为“全国创建‘平安医院’先进单位”，全省社区矫正信息化建设现场会和全市婚姻家庭纠纷调解工作推进会陆续在我县召开。国家司法部副部长刘志强，省司法厅党组副书记、副厅长黄春阳，副厅长傅莉娟、唐世月，市委常委、市政法委书记戴德清等上级领导也先后来我县视察指导司法行政工作，均给予高度评价。</w:t>
            </w:r>
          </w:p>
          <w:p w14:paraId="19A34935">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法治莲乡建设创出佳绩</w:t>
            </w:r>
          </w:p>
          <w:p w14:paraId="742D69DE">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2018年，我们以宪法修正案、中国特色社会主义法律体系和党内法规作为法治宣传教育工作的重要内容，围绕服务“三大攻坚战”、“乡村振兴”、</w:t>
            </w:r>
            <w:bookmarkStart w:id="0" w:name="_GoBack"/>
            <w:bookmarkEnd w:id="0"/>
            <w:r>
              <w:rPr>
                <w:rFonts w:hint="eastAsia" w:ascii="仿宋_GB2312" w:eastAsia="仿宋_GB2312"/>
                <w:sz w:val="32"/>
                <w:szCs w:val="32"/>
                <w:lang w:val="en-US" w:eastAsia="zh-CN"/>
              </w:rPr>
              <w:t>扫黑除恶等党委政府中心工作，积极开展了一系列主题法治宣传教育活动，成效明显。实施“互联网+法治宣传”工程，打造以报刊、电视、网络、微信等为载体的全媒体法治宣传平台，我局主办的《法治天地》《法在身边》《掌上学法》《以案说法》等栏目，受到了人民群众的普遍喜爱和欢迎。全面落实“谁执法谁普法”责任制，大力开展“民主法治示范村”、“依法办事示范窗口”等法治创建活动，坚持普治并举，不断提升全社会的法治化水平。同时，我县还涌现出“新时代最美法律服务人”冯华宇、“全省最美法律援助人”谢英姿等一批法治人物。7月8日，《湘潭日报》以头版头条对我县法治建设工作经验进行了专题报道，全市“七五”普法中期督查组对我县推进法治建设过程中取得的成绩也表示充分肯定。</w:t>
            </w:r>
          </w:p>
          <w:p w14:paraId="1EDA5AAA">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矛盾纠纷排调富有特色</w:t>
            </w:r>
          </w:p>
          <w:p w14:paraId="023DA9EC">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zh-TW" w:eastAsia="zh-CN"/>
              </w:rPr>
              <w:t>一方面，</w:t>
            </w:r>
            <w:r>
              <w:rPr>
                <w:rFonts w:hint="eastAsia" w:ascii="仿宋_GB2312" w:eastAsia="仿宋_GB2312"/>
                <w:sz w:val="32"/>
                <w:szCs w:val="32"/>
                <w:lang w:val="zh-TW" w:eastAsia="zh-TW"/>
              </w:rPr>
              <w:t>注重基础基层建设</w:t>
            </w:r>
            <w:r>
              <w:rPr>
                <w:rFonts w:hint="eastAsia" w:ascii="仿宋_GB2312" w:eastAsia="仿宋_GB2312"/>
                <w:sz w:val="32"/>
                <w:szCs w:val="32"/>
                <w:lang w:val="en-US" w:eastAsia="zh-CN"/>
              </w:rPr>
              <w:t>，不断完善基层人民调解组织。截至目前，我县共有人民调解组织387个，人民调解员1476名。其中乡（镇）和村（社区）调委会376个；医疗、交通、婚姻等行业性、专业性调委会10个，驻法院、公安派出所等调解室19个。另一方面，</w:t>
            </w:r>
            <w:r>
              <w:rPr>
                <w:rFonts w:hint="eastAsia" w:ascii="仿宋_GB2312" w:eastAsia="仿宋_GB2312"/>
                <w:sz w:val="32"/>
                <w:szCs w:val="32"/>
                <w:lang w:val="zh-TW" w:eastAsia="zh-TW"/>
              </w:rPr>
              <w:t>注重排查化解</w:t>
            </w:r>
            <w:r>
              <w:rPr>
                <w:rFonts w:hint="eastAsia" w:ascii="仿宋_GB2312" w:eastAsia="仿宋_GB2312"/>
                <w:sz w:val="32"/>
                <w:szCs w:val="32"/>
                <w:lang w:val="zh-TW" w:eastAsia="zh-CN"/>
              </w:rPr>
              <w:t>效率，我们以“</w:t>
            </w:r>
            <w:r>
              <w:rPr>
                <w:rFonts w:hint="eastAsia" w:ascii="仿宋_GB2312" w:eastAsia="仿宋_GB2312"/>
                <w:sz w:val="32"/>
                <w:szCs w:val="32"/>
                <w:lang w:val="en-US" w:eastAsia="zh-CN"/>
              </w:rPr>
              <w:t>四查四防化纠纷 千乡万村创四无”专项调解活动为载体，大力推行“枫桥经验”开展矛盾纠纷排查化解活动，将各类矛盾纠纷消灭在萌芽状态，</w:t>
            </w:r>
            <w:r>
              <w:rPr>
                <w:rFonts w:hint="eastAsia" w:ascii="仿宋_GB2312" w:eastAsia="仿宋_GB2312"/>
                <w:sz w:val="32"/>
                <w:szCs w:val="32"/>
                <w:lang w:val="zh-TW" w:eastAsia="zh-CN"/>
              </w:rPr>
              <w:t xml:space="preserve">截至 </w:t>
            </w:r>
            <w:r>
              <w:rPr>
                <w:rFonts w:hint="eastAsia" w:ascii="仿宋_GB2312" w:eastAsia="仿宋_GB2312"/>
                <w:sz w:val="32"/>
                <w:szCs w:val="32"/>
                <w:lang w:val="en-US" w:eastAsia="zh-CN"/>
              </w:rPr>
              <w:t>10</w:t>
            </w:r>
            <w:r>
              <w:rPr>
                <w:rFonts w:hint="eastAsia" w:ascii="仿宋_GB2312" w:eastAsia="仿宋_GB2312"/>
                <w:sz w:val="32"/>
                <w:szCs w:val="32"/>
                <w:lang w:val="zh-TW" w:eastAsia="zh-TW"/>
              </w:rPr>
              <w:t>月底，全</w:t>
            </w:r>
            <w:r>
              <w:rPr>
                <w:rFonts w:hint="eastAsia" w:ascii="仿宋_GB2312" w:eastAsia="仿宋_GB2312"/>
                <w:sz w:val="32"/>
                <w:szCs w:val="32"/>
                <w:lang w:val="zh-TW" w:eastAsia="zh-CN"/>
              </w:rPr>
              <w:t>县</w:t>
            </w:r>
            <w:r>
              <w:rPr>
                <w:rFonts w:hint="eastAsia" w:ascii="仿宋_GB2312" w:eastAsia="仿宋_GB2312"/>
                <w:sz w:val="32"/>
                <w:szCs w:val="32"/>
                <w:lang w:val="zh-TW" w:eastAsia="zh-TW"/>
              </w:rPr>
              <w:t>共调解纠纷</w:t>
            </w:r>
            <w:r>
              <w:rPr>
                <w:rFonts w:hint="eastAsia" w:ascii="仿宋_GB2312" w:eastAsia="仿宋_GB2312"/>
                <w:sz w:val="32"/>
                <w:szCs w:val="32"/>
                <w:lang w:val="en-US" w:eastAsia="zh-CN"/>
              </w:rPr>
              <w:t>2437</w:t>
            </w:r>
            <w:r>
              <w:rPr>
                <w:rFonts w:hint="eastAsia" w:ascii="仿宋_GB2312" w:eastAsia="仿宋_GB2312"/>
                <w:sz w:val="32"/>
                <w:szCs w:val="32"/>
                <w:lang w:val="zh-TW" w:eastAsia="zh-TW"/>
              </w:rPr>
              <w:t>起，调处成功的</w:t>
            </w:r>
            <w:r>
              <w:rPr>
                <w:rFonts w:hint="eastAsia" w:ascii="仿宋_GB2312" w:eastAsia="仿宋_GB2312"/>
                <w:sz w:val="32"/>
                <w:szCs w:val="32"/>
                <w:lang w:val="en-US" w:eastAsia="zh-CN"/>
              </w:rPr>
              <w:t>2434</w:t>
            </w:r>
            <w:r>
              <w:rPr>
                <w:rFonts w:hint="eastAsia" w:ascii="仿宋_GB2312" w:eastAsia="仿宋_GB2312"/>
                <w:sz w:val="32"/>
                <w:szCs w:val="32"/>
                <w:lang w:val="zh-TW" w:eastAsia="zh-TW"/>
              </w:rPr>
              <w:t>起。</w:t>
            </w:r>
            <w:r>
              <w:rPr>
                <w:rFonts w:hint="eastAsia" w:ascii="仿宋_GB2312" w:eastAsia="仿宋_GB2312"/>
                <w:sz w:val="32"/>
                <w:szCs w:val="32"/>
                <w:lang w:val="zh-TW" w:eastAsia="zh-CN"/>
              </w:rPr>
              <w:t>调解成功率</w:t>
            </w:r>
            <w:r>
              <w:rPr>
                <w:rFonts w:hint="eastAsia" w:ascii="仿宋_GB2312" w:eastAsia="仿宋_GB2312"/>
                <w:sz w:val="32"/>
                <w:szCs w:val="32"/>
                <w:lang w:val="en-US" w:eastAsia="zh-CN"/>
              </w:rPr>
              <w:t>98.7%，没有因调处不当而发生</w:t>
            </w:r>
            <w:r>
              <w:rPr>
                <w:rFonts w:hint="eastAsia" w:ascii="仿宋_GB2312" w:eastAsia="仿宋_GB2312"/>
                <w:sz w:val="32"/>
                <w:szCs w:val="32"/>
                <w:lang w:val="zh-TW" w:eastAsia="zh-TW"/>
              </w:rPr>
              <w:t>“民转刑”案件。</w:t>
            </w:r>
            <w:r>
              <w:rPr>
                <w:rFonts w:hint="eastAsia" w:ascii="仿宋_GB2312" w:eastAsia="仿宋_GB2312"/>
                <w:sz w:val="32"/>
                <w:szCs w:val="32"/>
                <w:lang w:val="zh-TW" w:eastAsia="zh-CN"/>
              </w:rPr>
              <w:t>预计至</w:t>
            </w:r>
            <w:r>
              <w:rPr>
                <w:rFonts w:hint="eastAsia" w:ascii="仿宋_GB2312" w:eastAsia="仿宋_GB2312"/>
                <w:sz w:val="32"/>
                <w:szCs w:val="32"/>
                <w:lang w:val="en-US" w:eastAsia="zh-CN"/>
              </w:rPr>
              <w:t>12月底，全县各类矛盾纠纷将近3000件。7月25日，全市婚姻家庭纠纷调解工作推进会在我县召开，我局党组书记、局长李学军在会上作了题为《确保“三个到位” 筑牢社会和谐稳定基础》的典型经验发言。</w:t>
            </w:r>
          </w:p>
          <w:p w14:paraId="403ECEEC">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公共法律服务成为亮点</w:t>
            </w:r>
          </w:p>
          <w:p w14:paraId="1916C945">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一是以人民群众的法律服务需求为落脚点，不断健全公共法律服务体系。2018年，我们以村民（居民）小组为单位，构建公共法律服务“网格”，打通了公共法律服务“最后一公里”。同时，按上级要求完成了“一村（居）一法律顾问”工作，满足人民群众多方面的法律需求。二是以律师制度改革切入点，在县公共法律服务中心设立律师调解室，充分发挥律师在公共法律服务中的积极作用。三是以法律援助工作为突破口，着力提升人民群众对公共法律服务体系的知晓率和满意度，</w:t>
            </w:r>
            <w:r>
              <w:rPr>
                <w:rFonts w:hint="eastAsia" w:ascii="仿宋_GB2312" w:eastAsia="仿宋_GB2312"/>
                <w:sz w:val="32"/>
                <w:szCs w:val="32"/>
                <w:lang w:val="zh-TW" w:eastAsia="zh-CN"/>
              </w:rPr>
              <w:t xml:space="preserve">截至 </w:t>
            </w:r>
            <w:r>
              <w:rPr>
                <w:rFonts w:hint="eastAsia" w:ascii="仿宋_GB2312" w:eastAsia="仿宋_GB2312"/>
                <w:sz w:val="32"/>
                <w:szCs w:val="32"/>
                <w:lang w:val="en-US" w:eastAsia="zh-CN"/>
              </w:rPr>
              <w:t>12</w:t>
            </w:r>
            <w:r>
              <w:rPr>
                <w:rFonts w:hint="eastAsia" w:ascii="仿宋_GB2312" w:eastAsia="仿宋_GB2312"/>
                <w:sz w:val="32"/>
                <w:szCs w:val="32"/>
                <w:lang w:val="zh-TW" w:eastAsia="zh-TW"/>
              </w:rPr>
              <w:t>月</w:t>
            </w:r>
            <w:r>
              <w:rPr>
                <w:rFonts w:hint="eastAsia" w:ascii="仿宋_GB2312" w:eastAsia="仿宋_GB2312"/>
                <w:sz w:val="32"/>
                <w:szCs w:val="32"/>
                <w:lang w:val="zh-TW" w:eastAsia="zh-CN"/>
              </w:rPr>
              <w:t>底</w:t>
            </w:r>
            <w:r>
              <w:rPr>
                <w:rFonts w:hint="eastAsia" w:ascii="仿宋_GB2312" w:eastAsia="仿宋_GB2312"/>
                <w:sz w:val="32"/>
                <w:szCs w:val="32"/>
                <w:lang w:val="zh-TW" w:eastAsia="zh-TW"/>
              </w:rPr>
              <w:t>，</w:t>
            </w:r>
            <w:r>
              <w:rPr>
                <w:rFonts w:hint="eastAsia" w:ascii="仿宋_GB2312" w:eastAsia="仿宋_GB2312"/>
                <w:sz w:val="32"/>
                <w:szCs w:val="32"/>
                <w:lang w:val="zh-TW" w:eastAsia="zh-CN"/>
              </w:rPr>
              <w:t>全县</w:t>
            </w:r>
            <w:r>
              <w:rPr>
                <w:rFonts w:hint="eastAsia" w:ascii="仿宋_GB2312" w:eastAsia="仿宋_GB2312"/>
                <w:sz w:val="32"/>
                <w:szCs w:val="32"/>
                <w:lang w:val="zh-TW" w:eastAsia="zh-TW"/>
              </w:rPr>
              <w:t>共受理</w:t>
            </w:r>
            <w:r>
              <w:rPr>
                <w:rFonts w:hint="eastAsia" w:ascii="仿宋_GB2312" w:eastAsia="仿宋_GB2312"/>
                <w:sz w:val="32"/>
                <w:szCs w:val="32"/>
                <w:lang w:val="zh-TW" w:eastAsia="zh-CN"/>
              </w:rPr>
              <w:t>法律援助案件</w:t>
            </w:r>
            <w:r>
              <w:rPr>
                <w:rFonts w:hint="eastAsia" w:ascii="仿宋_GB2312" w:eastAsia="仿宋_GB2312"/>
                <w:sz w:val="32"/>
                <w:szCs w:val="32"/>
                <w:lang w:val="en-US" w:eastAsia="zh-CN"/>
              </w:rPr>
              <w:t>504</w:t>
            </w:r>
            <w:r>
              <w:rPr>
                <w:rFonts w:hint="eastAsia" w:ascii="仿宋_GB2312" w:eastAsia="仿宋_GB2312"/>
                <w:sz w:val="32"/>
                <w:szCs w:val="32"/>
                <w:lang w:val="zh-TW" w:eastAsia="zh-TW"/>
              </w:rPr>
              <w:t>件，为当事人挽回经济损失2000余万元，为农民工讨薪600余万</w:t>
            </w:r>
            <w:r>
              <w:rPr>
                <w:rFonts w:hint="eastAsia" w:ascii="仿宋_GB2312" w:eastAsia="仿宋_GB2312"/>
                <w:sz w:val="32"/>
                <w:szCs w:val="32"/>
                <w:lang w:val="zh-TW" w:eastAsia="zh-CN"/>
              </w:rPr>
              <w:t>元，让人民群众切实感受到社会公平正义。</w:t>
            </w:r>
          </w:p>
          <w:p w14:paraId="0F7185DC">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特殊人群管控树立样板</w:t>
            </w:r>
          </w:p>
          <w:p w14:paraId="5D392A9A">
            <w:pPr>
              <w:ind w:firstLine="480" w:firstLineChars="150"/>
              <w:rPr>
                <w:rFonts w:hint="eastAsia" w:ascii="仿宋_GB2312" w:eastAsia="仿宋_GB2312"/>
                <w:sz w:val="32"/>
                <w:szCs w:val="32"/>
                <w:lang w:val="zh-TW" w:eastAsia="zh-TW"/>
              </w:rPr>
            </w:pPr>
            <w:r>
              <w:rPr>
                <w:rFonts w:hint="eastAsia" w:ascii="仿宋_GB2312" w:eastAsia="仿宋_GB2312"/>
                <w:sz w:val="32"/>
                <w:szCs w:val="32"/>
                <w:lang w:val="en-US" w:eastAsia="zh-CN"/>
              </w:rPr>
              <w:t xml:space="preserve"> 一是强化监管措施。截至目前，全县共有在册社区矫正对象284人，全部按照宽管、普管、严管分级落实监管措施，无一脱管漏管。二是</w:t>
            </w:r>
            <w:r>
              <w:rPr>
                <w:rFonts w:hint="eastAsia" w:ascii="仿宋_GB2312" w:eastAsia="仿宋_GB2312"/>
                <w:sz w:val="32"/>
                <w:szCs w:val="32"/>
                <w:lang w:val="zh-TW" w:eastAsia="zh-TW"/>
              </w:rPr>
              <w:t>创新教育模式。</w:t>
            </w:r>
            <w:r>
              <w:rPr>
                <w:rFonts w:hint="eastAsia" w:ascii="仿宋_GB2312" w:eastAsia="仿宋_GB2312"/>
                <w:sz w:val="32"/>
                <w:szCs w:val="32"/>
                <w:lang w:val="en-US" w:eastAsia="zh-CN"/>
              </w:rPr>
              <w:t>通过政府购买服务与专业心理咨询公司签合作协议，在社区服刑人员中广泛开展心理矫治活动，在刑满释放人员中深入开展“三帮一促”“情暖高墙、关爱孩子”“五个一”三大主题帮教活动，帮助困难刑释解教人员解决实际问题，促进其尽快融入社会。三是进一步加快信息化建设步伐，启动全县社区矫正指挥中心建设项目。6月底，该项目已经竣工验收，交付使用。依托综治视频会议系统，我们已将社区矫正信息化建设的触角延伸到全县的每一个乡镇，成为全省信息化建设的样板工程，省内兄弟县市来我县交流学习络绎不绝。</w:t>
            </w:r>
          </w:p>
          <w:p w14:paraId="05C4BA23">
            <w:pPr>
              <w:ind w:firstLine="480" w:firstLineChars="150"/>
              <w:rPr>
                <w:rFonts w:hint="eastAsia" w:ascii="仿宋_GB2312" w:eastAsia="仿宋_GB2312"/>
                <w:sz w:val="32"/>
                <w:szCs w:val="32"/>
                <w:lang w:val="en-US" w:eastAsia="zh-CN"/>
              </w:rPr>
            </w:pPr>
          </w:p>
          <w:p w14:paraId="0324461D">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积极打造过硬队伍，努力彰显担当作为</w:t>
            </w:r>
          </w:p>
          <w:p w14:paraId="1ACF0F20">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坚持党对司法行政工作的绝对领导，持续推进“两学一做”学习教育常态化制度化，积极开展“不忘初心、牢记使命”主题教育，切实提高全局同志的政治素质、品行修养、为民情怀、业务水平。一是狠抓班子建设，严格党的民主集中制原则，落实“三重一大”集体决策、重大事项报告等制度；扎实开好班子民主生活会，深入查找存在的问题并整改落实到位；班子成员带头在学习调研、制度落实、职责履行、“两创一深化”、服务“三大攻坚战”、扫黑除恶、平安创建、支持和推进改革中务实功、求实效；全年党组中心组学习14次，党组书记讲党课3次，班子成员撰写深度调研报告3篇。二是狠抓队伍建设。始终把政治建设摆在首位，积极开展“廉政警示日”“廉政宣传周”活动，全年组织全局政治理论集中学习12次，开展现场教学、警示教育、知识竞赛、体会交流、技能比武、经典重温等活动近30次，参训集学398人次，鼓励28人到高校、党校和省厅培训，对新招的4名公务员进行岗前培训；引导全系统同志牢树“四个意识”，坚定“四个自信”，筑牢思想根基。三是狠抓执行力建设。坚持用制度管人管事，严格落实党风廉政建设“一岗双责”。从严组织开展违反中央八项规定精神突出问题专项治理等活动；切实防止“四风”问题反弹。深入开展交心谈话，全年谈话310余人次；针对重点岗位、重点环节加强廉政风险防控；定期开展作风纪律督查重点工作推进，及时讲评，按季通报，经常督导，发现问题苗头及时提醒，限期改正。注重对年轻干部培养，通过严肃纪律规矩，发挥干部特长，解决实际问题，营造“严管就是厚爱”的氛围。四是积极夯基固本，通过注重支委成员的党建能力提高、丰富主题党日活动的形式和内容、升级阵地建设提升组织生活的水准、健全并落实各项制度，进一步增强支部组织力，充分发挥支部的战斗堡垒作用，在“两创一深化”、“平安创建”、技能比武等活动中涌现了一大批党员先进典型。</w:t>
            </w:r>
          </w:p>
          <w:p w14:paraId="0739DC8F">
            <w:pPr>
              <w:ind w:firstLine="480" w:firstLineChars="150"/>
              <w:rPr>
                <w:rFonts w:hint="eastAsia" w:ascii="仿宋_GB2312" w:eastAsia="仿宋_GB2312"/>
                <w:sz w:val="32"/>
                <w:szCs w:val="32"/>
                <w:lang w:val="en-US" w:eastAsia="zh-CN"/>
              </w:rPr>
            </w:pPr>
          </w:p>
        </w:tc>
      </w:tr>
      <w:tr w14:paraId="49D07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tcBorders>
              <w:top w:val="nil"/>
              <w:left w:val="single" w:color="auto" w:sz="4" w:space="0"/>
              <w:bottom w:val="single" w:color="auto" w:sz="4" w:space="0"/>
              <w:right w:val="single" w:color="auto" w:sz="4" w:space="0"/>
            </w:tcBorders>
            <w:vAlign w:val="center"/>
          </w:tcPr>
          <w:p w14:paraId="6D935698">
            <w:pPr>
              <w:ind w:firstLine="480" w:firstLineChars="150"/>
              <w:jc w:val="center"/>
              <w:rPr>
                <w:rFonts w:hint="eastAsia" w:ascii="仿宋_GB2312" w:eastAsia="仿宋_GB2312"/>
                <w:sz w:val="32"/>
                <w:szCs w:val="32"/>
              </w:rPr>
            </w:pPr>
            <w:r>
              <w:rPr>
                <w:rFonts w:hint="eastAsia" w:ascii="仿宋_GB2312" w:eastAsia="仿宋_GB2312"/>
                <w:sz w:val="32"/>
                <w:szCs w:val="32"/>
              </w:rPr>
              <w:t>存在的问题分析及改进措施</w:t>
            </w:r>
          </w:p>
        </w:tc>
        <w:tc>
          <w:tcPr>
            <w:tcW w:w="1985" w:type="dxa"/>
            <w:tcBorders>
              <w:top w:val="single" w:color="auto" w:sz="4" w:space="0"/>
              <w:left w:val="nil"/>
              <w:bottom w:val="single" w:color="auto" w:sz="4" w:space="0"/>
              <w:right w:val="single" w:color="auto" w:sz="4" w:space="0"/>
            </w:tcBorders>
            <w:vAlign w:val="center"/>
          </w:tcPr>
          <w:p w14:paraId="03F2DA61">
            <w:pPr>
              <w:ind w:firstLine="480" w:firstLineChars="150"/>
              <w:jc w:val="center"/>
              <w:rPr>
                <w:rFonts w:hint="eastAsia" w:ascii="仿宋_GB2312" w:eastAsia="仿宋_GB2312"/>
                <w:sz w:val="32"/>
                <w:szCs w:val="32"/>
              </w:rPr>
            </w:pPr>
            <w:r>
              <w:rPr>
                <w:rFonts w:hint="eastAsia" w:ascii="仿宋_GB2312" w:eastAsia="仿宋_GB2312"/>
                <w:sz w:val="32"/>
                <w:szCs w:val="32"/>
              </w:rPr>
              <w:t>存在的问题</w:t>
            </w:r>
          </w:p>
        </w:tc>
        <w:tc>
          <w:tcPr>
            <w:tcW w:w="5670" w:type="dxa"/>
            <w:tcBorders>
              <w:top w:val="single" w:color="auto" w:sz="4" w:space="0"/>
              <w:left w:val="nil"/>
              <w:bottom w:val="single" w:color="auto" w:sz="4" w:space="0"/>
              <w:right w:val="single" w:color="auto" w:sz="4" w:space="0"/>
            </w:tcBorders>
            <w:vAlign w:val="center"/>
          </w:tcPr>
          <w:p w14:paraId="704968FC">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1.是预算编制有待优化。预算编制与实际支出项目有的存在差异，预算编制的合理性需要提高。</w:t>
            </w:r>
          </w:p>
          <w:p w14:paraId="7B107385">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2.是财务工作水平有待提高。财务工作按部就班，缺乏创新，在精度和深度上欠缺，还需要进一步完善，尤其是在政府采购、固定资产管理方面还需要进一步严格。</w:t>
            </w:r>
          </w:p>
          <w:p w14:paraId="2C1434E3">
            <w:pPr>
              <w:ind w:firstLine="480" w:firstLineChars="150"/>
              <w:rPr>
                <w:rFonts w:hint="eastAsia" w:ascii="仿宋_GB2312" w:eastAsia="仿宋_GB2312"/>
                <w:sz w:val="32"/>
                <w:szCs w:val="32"/>
                <w:lang w:val="en-US" w:eastAsia="zh-CN"/>
              </w:rPr>
            </w:pPr>
          </w:p>
        </w:tc>
      </w:tr>
      <w:tr w14:paraId="43459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Borders>
              <w:top w:val="nil"/>
              <w:left w:val="single" w:color="auto" w:sz="4" w:space="0"/>
              <w:bottom w:val="single" w:color="auto" w:sz="4" w:space="0"/>
              <w:right w:val="single" w:color="auto" w:sz="4" w:space="0"/>
            </w:tcBorders>
            <w:vAlign w:val="center"/>
          </w:tcPr>
          <w:p w14:paraId="51088E47">
            <w:pPr>
              <w:ind w:firstLine="480" w:firstLineChars="150"/>
              <w:jc w:val="center"/>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46D32EE7">
            <w:pPr>
              <w:ind w:firstLine="480" w:firstLineChars="150"/>
              <w:jc w:val="center"/>
              <w:rPr>
                <w:rFonts w:hint="eastAsia" w:ascii="仿宋_GB2312" w:eastAsia="仿宋_GB2312"/>
                <w:sz w:val="32"/>
                <w:szCs w:val="32"/>
              </w:rPr>
            </w:pPr>
            <w:r>
              <w:rPr>
                <w:rFonts w:hint="eastAsia" w:ascii="仿宋_GB2312" w:eastAsia="仿宋_GB2312"/>
                <w:sz w:val="32"/>
                <w:szCs w:val="32"/>
              </w:rPr>
              <w:t>改进措施</w:t>
            </w:r>
          </w:p>
        </w:tc>
        <w:tc>
          <w:tcPr>
            <w:tcW w:w="5670" w:type="dxa"/>
            <w:tcBorders>
              <w:top w:val="single" w:color="auto" w:sz="4" w:space="0"/>
              <w:left w:val="nil"/>
              <w:bottom w:val="single" w:color="auto" w:sz="4" w:space="0"/>
              <w:right w:val="single" w:color="auto" w:sz="4" w:space="0"/>
            </w:tcBorders>
            <w:vAlign w:val="center"/>
          </w:tcPr>
          <w:p w14:paraId="23924310">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3350BB55">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7BDF740E">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14:paraId="3148E1F7">
            <w:pPr>
              <w:ind w:firstLine="480" w:firstLineChars="150"/>
              <w:rPr>
                <w:rFonts w:hint="eastAsia" w:ascii="仿宋_GB2312" w:eastAsia="仿宋_GB2312"/>
                <w:sz w:val="32"/>
                <w:szCs w:val="32"/>
                <w:lang w:val="en-US" w:eastAsia="zh-CN"/>
              </w:rPr>
            </w:pPr>
          </w:p>
        </w:tc>
      </w:tr>
      <w:tr w14:paraId="11BAC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Borders>
              <w:top w:val="nil"/>
              <w:left w:val="single" w:color="auto" w:sz="4" w:space="0"/>
              <w:bottom w:val="single" w:color="auto" w:sz="4" w:space="0"/>
              <w:right w:val="single" w:color="auto" w:sz="4" w:space="0"/>
            </w:tcBorders>
            <w:vAlign w:val="center"/>
          </w:tcPr>
          <w:p w14:paraId="66DD6AE2">
            <w:pPr>
              <w:ind w:firstLine="480" w:firstLineChars="150"/>
              <w:rPr>
                <w:rFonts w:hint="eastAsia" w:ascii="仿宋_GB2312" w:eastAsia="仿宋_GB2312"/>
                <w:sz w:val="32"/>
                <w:szCs w:val="32"/>
              </w:rPr>
            </w:pPr>
          </w:p>
        </w:tc>
        <w:tc>
          <w:tcPr>
            <w:tcW w:w="1985" w:type="dxa"/>
            <w:tcBorders>
              <w:top w:val="single" w:color="auto" w:sz="4" w:space="0"/>
              <w:left w:val="nil"/>
              <w:bottom w:val="single" w:color="auto" w:sz="4" w:space="0"/>
              <w:right w:val="single" w:color="auto" w:sz="4" w:space="0"/>
            </w:tcBorders>
            <w:vAlign w:val="center"/>
          </w:tcPr>
          <w:p w14:paraId="7E48FD87">
            <w:pPr>
              <w:rPr>
                <w:rFonts w:hint="eastAsia" w:ascii="仿宋_GB2312" w:eastAsia="仿宋_GB2312"/>
                <w:sz w:val="32"/>
                <w:szCs w:val="32"/>
              </w:rPr>
            </w:pPr>
            <w:r>
              <w:rPr>
                <w:rFonts w:hint="eastAsia" w:ascii="仿宋_GB2312" w:eastAsia="仿宋_GB2312"/>
                <w:sz w:val="32"/>
                <w:szCs w:val="32"/>
              </w:rPr>
              <w:t>其他需要说明问题</w:t>
            </w:r>
          </w:p>
        </w:tc>
        <w:tc>
          <w:tcPr>
            <w:tcW w:w="5670" w:type="dxa"/>
            <w:tcBorders>
              <w:top w:val="single" w:color="auto" w:sz="4" w:space="0"/>
              <w:left w:val="nil"/>
              <w:bottom w:val="single" w:color="auto" w:sz="4" w:space="0"/>
              <w:right w:val="single" w:color="auto" w:sz="4" w:space="0"/>
            </w:tcBorders>
            <w:vAlign w:val="center"/>
          </w:tcPr>
          <w:p w14:paraId="0F5F0A77">
            <w:pPr>
              <w:ind w:firstLine="480" w:firstLineChars="150"/>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无</w:t>
            </w:r>
          </w:p>
        </w:tc>
      </w:tr>
    </w:tbl>
    <w:p w14:paraId="58DAC37E">
      <w:pPr>
        <w:widowControl/>
        <w:jc w:val="left"/>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 xml:space="preserve"> </w:t>
      </w:r>
    </w:p>
    <w:p w14:paraId="541DF2C6">
      <w:pPr>
        <w:widowControl/>
        <w:spacing w:line="480" w:lineRule="exact"/>
        <w:ind w:left="91"/>
        <w:jc w:val="center"/>
        <w:rPr>
          <w:rFonts w:hint="eastAsia" w:ascii="方正小标宋_GBK" w:eastAsia="方正小标宋_GBK"/>
          <w:kern w:val="0"/>
          <w:sz w:val="36"/>
          <w:szCs w:val="36"/>
        </w:rPr>
      </w:pPr>
      <w:r>
        <w:rPr>
          <w:rFonts w:hint="eastAsia" w:ascii="方正小标宋_GBK" w:eastAsia="方正小标宋_GBK"/>
          <w:kern w:val="0"/>
          <w:sz w:val="36"/>
          <w:szCs w:val="36"/>
        </w:rPr>
        <w:t xml:space="preserve"> </w:t>
      </w:r>
    </w:p>
    <w:p w14:paraId="1F78CF7B">
      <w:pPr>
        <w:widowControl/>
        <w:spacing w:line="480" w:lineRule="exact"/>
        <w:ind w:left="91"/>
        <w:jc w:val="center"/>
        <w:rPr>
          <w:rFonts w:hint="eastAsia" w:ascii="宋体" w:hAnsi="宋体" w:cs="方正小标宋_GBK"/>
          <w:b/>
          <w:bCs/>
          <w:kern w:val="0"/>
          <w:sz w:val="36"/>
          <w:szCs w:val="36"/>
        </w:rPr>
      </w:pPr>
    </w:p>
    <w:p w14:paraId="78E732C7">
      <w:pPr>
        <w:widowControl/>
        <w:spacing w:line="480" w:lineRule="exact"/>
        <w:ind w:left="91"/>
        <w:jc w:val="center"/>
        <w:rPr>
          <w:rFonts w:hint="eastAsia" w:ascii="宋体" w:hAnsi="宋体" w:cs="方正小标宋_GBK"/>
          <w:b/>
          <w:bCs/>
          <w:kern w:val="0"/>
          <w:sz w:val="36"/>
          <w:szCs w:val="36"/>
        </w:rPr>
      </w:pPr>
    </w:p>
    <w:p w14:paraId="0A3F683E">
      <w:pPr>
        <w:widowControl/>
        <w:spacing w:line="480" w:lineRule="exact"/>
        <w:ind w:left="91"/>
        <w:jc w:val="center"/>
        <w:rPr>
          <w:rFonts w:hint="eastAsia" w:ascii="宋体" w:hAnsi="宋体" w:cs="方正小标宋_GBK"/>
          <w:b/>
          <w:bCs/>
          <w:kern w:val="0"/>
          <w:sz w:val="36"/>
          <w:szCs w:val="36"/>
        </w:rPr>
      </w:pPr>
    </w:p>
    <w:p w14:paraId="59D54B11">
      <w:pPr>
        <w:widowControl/>
        <w:spacing w:line="480" w:lineRule="exact"/>
        <w:ind w:left="91"/>
        <w:jc w:val="center"/>
        <w:rPr>
          <w:rFonts w:hint="eastAsia" w:ascii="宋体" w:hAnsi="宋体" w:cs="方正小标宋_GBK"/>
          <w:b/>
          <w:bCs/>
          <w:kern w:val="0"/>
          <w:sz w:val="36"/>
          <w:szCs w:val="36"/>
        </w:rPr>
      </w:pPr>
    </w:p>
    <w:p w14:paraId="650E84EE">
      <w:pPr>
        <w:widowControl/>
        <w:spacing w:line="480" w:lineRule="exact"/>
        <w:ind w:left="91"/>
        <w:jc w:val="center"/>
        <w:rPr>
          <w:rFonts w:hint="eastAsia" w:ascii="宋体" w:hAnsi="宋体" w:cs="方正小标宋_GBK"/>
          <w:b/>
          <w:bCs/>
          <w:kern w:val="0"/>
          <w:sz w:val="36"/>
          <w:szCs w:val="36"/>
          <w:lang w:val="en-US" w:eastAsia="zh-CN"/>
        </w:rPr>
      </w:pPr>
      <w:r>
        <w:rPr>
          <w:rFonts w:hint="eastAsia" w:ascii="宋体" w:hAnsi="宋体" w:cs="方正小标宋_GBK"/>
          <w:b/>
          <w:bCs/>
          <w:kern w:val="0"/>
          <w:sz w:val="36"/>
          <w:szCs w:val="36"/>
          <w:lang w:eastAsia="zh-CN"/>
        </w:rPr>
        <w:t>湘潭县司法局</w:t>
      </w:r>
      <w:r>
        <w:rPr>
          <w:rFonts w:hint="eastAsia" w:ascii="宋体" w:hAnsi="宋体" w:cs="方正小标宋_GBK"/>
          <w:b/>
          <w:bCs/>
          <w:kern w:val="0"/>
          <w:sz w:val="36"/>
          <w:szCs w:val="36"/>
          <w:lang w:val="en-US" w:eastAsia="zh-CN"/>
        </w:rPr>
        <w:t>2018年</w:t>
      </w:r>
    </w:p>
    <w:p w14:paraId="2AF21903">
      <w:pPr>
        <w:widowControl/>
        <w:spacing w:line="480" w:lineRule="exact"/>
        <w:ind w:left="91"/>
        <w:jc w:val="center"/>
        <w:rPr>
          <w:rFonts w:hint="eastAsia" w:ascii="宋体" w:hAnsi="宋体"/>
          <w:b/>
          <w:bCs/>
          <w:kern w:val="0"/>
          <w:sz w:val="36"/>
          <w:szCs w:val="36"/>
        </w:rPr>
      </w:pPr>
      <w:r>
        <w:rPr>
          <w:rFonts w:hint="eastAsia" w:ascii="宋体" w:hAnsi="宋体" w:cs="方正小标宋_GBK"/>
          <w:b/>
          <w:bCs/>
          <w:kern w:val="0"/>
          <w:sz w:val="36"/>
          <w:szCs w:val="36"/>
        </w:rPr>
        <w:t>部门整体支出绩效评价指标完成情况表</w:t>
      </w:r>
    </w:p>
    <w:tbl>
      <w:tblPr>
        <w:tblStyle w:val="3"/>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86"/>
        <w:gridCol w:w="476"/>
      </w:tblGrid>
      <w:tr w14:paraId="645C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1888404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一级指标</w:t>
            </w:r>
          </w:p>
        </w:tc>
        <w:tc>
          <w:tcPr>
            <w:tcW w:w="709" w:type="dxa"/>
            <w:tcBorders>
              <w:top w:val="single" w:color="auto" w:sz="4" w:space="0"/>
              <w:left w:val="nil"/>
              <w:bottom w:val="single" w:color="auto" w:sz="4" w:space="0"/>
              <w:right w:val="single" w:color="auto" w:sz="4" w:space="0"/>
            </w:tcBorders>
            <w:vAlign w:val="center"/>
          </w:tcPr>
          <w:p w14:paraId="45866BF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二级指标</w:t>
            </w:r>
          </w:p>
        </w:tc>
        <w:tc>
          <w:tcPr>
            <w:tcW w:w="614" w:type="dxa"/>
            <w:tcBorders>
              <w:top w:val="single" w:color="auto" w:sz="4" w:space="0"/>
              <w:left w:val="nil"/>
              <w:bottom w:val="single" w:color="auto" w:sz="4" w:space="0"/>
              <w:right w:val="single" w:color="auto" w:sz="4" w:space="0"/>
            </w:tcBorders>
            <w:vAlign w:val="center"/>
          </w:tcPr>
          <w:p w14:paraId="726F0482">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889" w:type="dxa"/>
            <w:tcBorders>
              <w:top w:val="single" w:color="auto" w:sz="4" w:space="0"/>
              <w:left w:val="nil"/>
              <w:bottom w:val="single" w:color="auto" w:sz="4" w:space="0"/>
              <w:right w:val="single" w:color="auto" w:sz="4" w:space="0"/>
            </w:tcBorders>
            <w:vAlign w:val="center"/>
          </w:tcPr>
          <w:p w14:paraId="6246911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三级指标</w:t>
            </w:r>
          </w:p>
        </w:tc>
        <w:tc>
          <w:tcPr>
            <w:tcW w:w="3265" w:type="dxa"/>
            <w:tcBorders>
              <w:top w:val="single" w:color="auto" w:sz="4" w:space="0"/>
              <w:left w:val="nil"/>
              <w:bottom w:val="single" w:color="auto" w:sz="4" w:space="0"/>
              <w:right w:val="single" w:color="auto" w:sz="4" w:space="0"/>
            </w:tcBorders>
            <w:vAlign w:val="center"/>
          </w:tcPr>
          <w:p w14:paraId="5999EAD1">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指标完成情况</w:t>
            </w:r>
          </w:p>
        </w:tc>
        <w:tc>
          <w:tcPr>
            <w:tcW w:w="2278" w:type="dxa"/>
            <w:tcBorders>
              <w:top w:val="single" w:color="auto" w:sz="4" w:space="0"/>
              <w:left w:val="nil"/>
              <w:bottom w:val="single" w:color="auto" w:sz="4" w:space="0"/>
              <w:right w:val="single" w:color="auto" w:sz="4" w:space="0"/>
            </w:tcBorders>
            <w:vAlign w:val="center"/>
          </w:tcPr>
          <w:p w14:paraId="5D981642">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评价标准</w:t>
            </w:r>
          </w:p>
        </w:tc>
        <w:tc>
          <w:tcPr>
            <w:tcW w:w="586" w:type="dxa"/>
            <w:tcBorders>
              <w:top w:val="single" w:color="auto" w:sz="4" w:space="0"/>
              <w:left w:val="nil"/>
              <w:bottom w:val="single" w:color="auto" w:sz="4" w:space="0"/>
              <w:right w:val="single" w:color="auto" w:sz="4" w:space="0"/>
            </w:tcBorders>
            <w:vAlign w:val="center"/>
          </w:tcPr>
          <w:p w14:paraId="0FB50537">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分值</w:t>
            </w:r>
          </w:p>
        </w:tc>
        <w:tc>
          <w:tcPr>
            <w:tcW w:w="476" w:type="dxa"/>
            <w:tcBorders>
              <w:top w:val="single" w:color="auto" w:sz="4" w:space="0"/>
              <w:left w:val="nil"/>
              <w:bottom w:val="single" w:color="auto" w:sz="4" w:space="0"/>
              <w:right w:val="single" w:color="auto" w:sz="4" w:space="0"/>
            </w:tcBorders>
            <w:vAlign w:val="center"/>
          </w:tcPr>
          <w:p w14:paraId="23A22B7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得分</w:t>
            </w:r>
          </w:p>
        </w:tc>
      </w:tr>
      <w:tr w14:paraId="5C96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tcBorders>
              <w:top w:val="nil"/>
              <w:left w:val="single" w:color="auto" w:sz="4" w:space="0"/>
              <w:bottom w:val="single" w:color="auto" w:sz="4" w:space="0"/>
              <w:right w:val="single" w:color="auto" w:sz="4" w:space="0"/>
            </w:tcBorders>
            <w:vAlign w:val="center"/>
          </w:tcPr>
          <w:p w14:paraId="2F09E343">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过    程</w:t>
            </w:r>
          </w:p>
        </w:tc>
        <w:tc>
          <w:tcPr>
            <w:tcW w:w="709" w:type="dxa"/>
            <w:vMerge w:val="restart"/>
            <w:tcBorders>
              <w:top w:val="nil"/>
              <w:left w:val="nil"/>
              <w:bottom w:val="single" w:color="auto" w:sz="4" w:space="0"/>
              <w:right w:val="single" w:color="auto" w:sz="4" w:space="0"/>
            </w:tcBorders>
            <w:vAlign w:val="center"/>
          </w:tcPr>
          <w:p w14:paraId="4A08E4B1">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预算执行</w:t>
            </w:r>
          </w:p>
        </w:tc>
        <w:tc>
          <w:tcPr>
            <w:tcW w:w="614" w:type="dxa"/>
            <w:vMerge w:val="restart"/>
            <w:tcBorders>
              <w:top w:val="nil"/>
              <w:left w:val="nil"/>
              <w:bottom w:val="single" w:color="auto" w:sz="4" w:space="0"/>
              <w:right w:val="single" w:color="auto" w:sz="4" w:space="0"/>
            </w:tcBorders>
            <w:vAlign w:val="center"/>
          </w:tcPr>
          <w:p w14:paraId="35A5CE3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30</w:t>
            </w:r>
          </w:p>
        </w:tc>
        <w:tc>
          <w:tcPr>
            <w:tcW w:w="889" w:type="dxa"/>
            <w:tcBorders>
              <w:top w:val="single" w:color="auto" w:sz="4" w:space="0"/>
              <w:left w:val="nil"/>
              <w:bottom w:val="single" w:color="auto" w:sz="4" w:space="0"/>
              <w:right w:val="single" w:color="auto" w:sz="4" w:space="0"/>
            </w:tcBorders>
            <w:vAlign w:val="center"/>
          </w:tcPr>
          <w:p w14:paraId="30C912CE">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w:t>
            </w:r>
          </w:p>
        </w:tc>
        <w:tc>
          <w:tcPr>
            <w:tcW w:w="3265" w:type="dxa"/>
            <w:tcBorders>
              <w:top w:val="single" w:color="auto" w:sz="4" w:space="0"/>
              <w:left w:val="nil"/>
              <w:bottom w:val="single" w:color="auto" w:sz="4" w:space="0"/>
              <w:right w:val="single" w:color="auto" w:sz="4" w:space="0"/>
            </w:tcBorders>
            <w:vAlign w:val="center"/>
          </w:tcPr>
          <w:p w14:paraId="4CF48E7B">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预算调整率=（预算调整数/预算数）×100%。</w:t>
            </w:r>
          </w:p>
          <w:p w14:paraId="1885AB94">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预算调整数：部门（单位）在本年度内涉及预算的追加、追减或结构调整的资金总和（因落实国家政策，发生不可抗力、上级部门或本级党委政府临时交办而产生的调整除外）。</w:t>
            </w:r>
          </w:p>
        </w:tc>
        <w:tc>
          <w:tcPr>
            <w:tcW w:w="2278" w:type="dxa"/>
            <w:tcBorders>
              <w:top w:val="single" w:color="auto" w:sz="4" w:space="0"/>
              <w:left w:val="nil"/>
              <w:bottom w:val="single" w:color="auto" w:sz="4" w:space="0"/>
              <w:right w:val="single" w:color="auto" w:sz="4" w:space="0"/>
            </w:tcBorders>
            <w:vAlign w:val="center"/>
          </w:tcPr>
          <w:p w14:paraId="0C135927">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预算调整率=0，计5分；0-10%（含），计4分；10-20%（含），计3分；20-30%（含），计2分；大于30%不得分。</w:t>
            </w:r>
          </w:p>
        </w:tc>
        <w:tc>
          <w:tcPr>
            <w:tcW w:w="586" w:type="dxa"/>
            <w:tcBorders>
              <w:top w:val="single" w:color="auto" w:sz="4" w:space="0"/>
              <w:left w:val="nil"/>
              <w:bottom w:val="single" w:color="auto" w:sz="4" w:space="0"/>
              <w:right w:val="single" w:color="auto" w:sz="4" w:space="0"/>
            </w:tcBorders>
            <w:vAlign w:val="center"/>
          </w:tcPr>
          <w:p w14:paraId="54FEFCBF">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4815607C">
            <w:pPr>
              <w:widowControl/>
              <w:spacing w:line="32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r>
      <w:tr w14:paraId="0FC1B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523161DD">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3A3B4149">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5B82222F">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23D00D67">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w:t>
            </w:r>
          </w:p>
        </w:tc>
        <w:tc>
          <w:tcPr>
            <w:tcW w:w="3265" w:type="dxa"/>
            <w:tcBorders>
              <w:top w:val="single" w:color="auto" w:sz="4" w:space="0"/>
              <w:left w:val="nil"/>
              <w:bottom w:val="single" w:color="auto" w:sz="4" w:space="0"/>
              <w:right w:val="single" w:color="auto" w:sz="4" w:space="0"/>
            </w:tcBorders>
            <w:vAlign w:val="center"/>
          </w:tcPr>
          <w:p w14:paraId="1728CA9D">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基本支出预算控制率=（基本支出实际支出/基本支出年度总预算）*100%。</w:t>
            </w:r>
          </w:p>
        </w:tc>
        <w:tc>
          <w:tcPr>
            <w:tcW w:w="2278" w:type="dxa"/>
            <w:tcBorders>
              <w:top w:val="single" w:color="auto" w:sz="4" w:space="0"/>
              <w:left w:val="nil"/>
              <w:bottom w:val="single" w:color="auto" w:sz="4" w:space="0"/>
              <w:right w:val="single" w:color="auto" w:sz="4" w:space="0"/>
            </w:tcBorders>
            <w:vAlign w:val="center"/>
          </w:tcPr>
          <w:p w14:paraId="138D5CD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基本支出预算控制率</w:t>
            </w:r>
            <w:r>
              <w:rPr>
                <w:rFonts w:hint="eastAsia" w:ascii="仿宋_GB2312" w:hAnsi="宋体"/>
                <w:kern w:val="0"/>
              </w:rPr>
              <w:t>≦</w:t>
            </w:r>
            <w:r>
              <w:rPr>
                <w:rFonts w:hint="eastAsia" w:ascii="仿宋_GB2312" w:hAnsi="宋体" w:eastAsia="仿宋_GB2312" w:cs="宋体"/>
                <w:kern w:val="0"/>
              </w:rPr>
              <w:t>100%，计5分；100-110%（含），计4分；110-120%（含），计3分；120-130%（含），计2分；大于130%不得分。</w:t>
            </w:r>
          </w:p>
        </w:tc>
        <w:tc>
          <w:tcPr>
            <w:tcW w:w="586" w:type="dxa"/>
            <w:tcBorders>
              <w:top w:val="single" w:color="auto" w:sz="4" w:space="0"/>
              <w:left w:val="nil"/>
              <w:bottom w:val="single" w:color="auto" w:sz="4" w:space="0"/>
              <w:right w:val="single" w:color="auto" w:sz="4" w:space="0"/>
            </w:tcBorders>
            <w:vAlign w:val="center"/>
          </w:tcPr>
          <w:p w14:paraId="7E109871">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1CD1CA46">
            <w:pPr>
              <w:widowControl/>
              <w:spacing w:line="32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r>
      <w:tr w14:paraId="1D1E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22FD6E1C">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082A2DA0">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74978AB4">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546C56AA">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w:t>
            </w:r>
          </w:p>
        </w:tc>
        <w:tc>
          <w:tcPr>
            <w:tcW w:w="3265" w:type="dxa"/>
            <w:tcBorders>
              <w:top w:val="single" w:color="auto" w:sz="4" w:space="0"/>
              <w:left w:val="nil"/>
              <w:bottom w:val="single" w:color="auto" w:sz="4" w:space="0"/>
              <w:right w:val="single" w:color="auto" w:sz="4" w:space="0"/>
            </w:tcBorders>
            <w:vAlign w:val="center"/>
          </w:tcPr>
          <w:p w14:paraId="520C7AF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项目支出预算控制率=（项目支出实际支出/项目支出年度总预算）*100%。</w:t>
            </w:r>
          </w:p>
        </w:tc>
        <w:tc>
          <w:tcPr>
            <w:tcW w:w="2278" w:type="dxa"/>
            <w:tcBorders>
              <w:top w:val="single" w:color="auto" w:sz="4" w:space="0"/>
              <w:left w:val="nil"/>
              <w:bottom w:val="single" w:color="auto" w:sz="4" w:space="0"/>
              <w:right w:val="single" w:color="auto" w:sz="4" w:space="0"/>
            </w:tcBorders>
            <w:vAlign w:val="center"/>
          </w:tcPr>
          <w:p w14:paraId="5EF551CD">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项目支出预算控制率</w:t>
            </w:r>
            <w:r>
              <w:rPr>
                <w:rFonts w:hint="eastAsia" w:ascii="仿宋_GB2312" w:hAnsi="宋体"/>
                <w:kern w:val="0"/>
              </w:rPr>
              <w:t>≦</w:t>
            </w:r>
            <w:r>
              <w:rPr>
                <w:rFonts w:hint="eastAsia" w:ascii="仿宋_GB2312" w:hAnsi="宋体" w:eastAsia="仿宋_GB2312" w:cs="宋体"/>
                <w:kern w:val="0"/>
              </w:rPr>
              <w:t>100%，计5分；100-110%（含），计4分；110-120%（含），计3分；120-130%（含），计2分；大于130%不得分。</w:t>
            </w:r>
          </w:p>
        </w:tc>
        <w:tc>
          <w:tcPr>
            <w:tcW w:w="586" w:type="dxa"/>
            <w:tcBorders>
              <w:top w:val="single" w:color="auto" w:sz="4" w:space="0"/>
              <w:left w:val="nil"/>
              <w:bottom w:val="single" w:color="auto" w:sz="4" w:space="0"/>
              <w:right w:val="single" w:color="auto" w:sz="4" w:space="0"/>
            </w:tcBorders>
            <w:vAlign w:val="center"/>
          </w:tcPr>
          <w:p w14:paraId="255707E6">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5F1C28D1">
            <w:pPr>
              <w:widowControl/>
              <w:spacing w:line="32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r>
      <w:tr w14:paraId="62C26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591B3D53">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6E7562B3">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49581B3C">
            <w:pPr>
              <w:widowControl/>
              <w:jc w:val="center"/>
              <w:rPr>
                <w:rFonts w:ascii="仿宋_GB2312" w:hAnsi="宋体" w:eastAsia="仿宋_GB2312" w:cs="宋体"/>
                <w:kern w:val="0"/>
              </w:rPr>
            </w:pPr>
          </w:p>
        </w:tc>
        <w:tc>
          <w:tcPr>
            <w:tcW w:w="889" w:type="dxa"/>
            <w:vMerge w:val="restart"/>
            <w:tcBorders>
              <w:top w:val="nil"/>
              <w:left w:val="nil"/>
              <w:bottom w:val="single" w:color="auto" w:sz="4" w:space="0"/>
              <w:right w:val="single" w:color="auto" w:sz="4" w:space="0"/>
            </w:tcBorders>
            <w:vAlign w:val="center"/>
          </w:tcPr>
          <w:p w14:paraId="056BDB95">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资金结余</w:t>
            </w:r>
          </w:p>
        </w:tc>
        <w:tc>
          <w:tcPr>
            <w:tcW w:w="3265" w:type="dxa"/>
            <w:tcBorders>
              <w:top w:val="single" w:color="auto" w:sz="4" w:space="0"/>
              <w:left w:val="nil"/>
              <w:bottom w:val="single" w:color="auto" w:sz="4" w:space="0"/>
              <w:right w:val="single" w:color="auto" w:sz="4" w:space="0"/>
            </w:tcBorders>
            <w:vAlign w:val="center"/>
          </w:tcPr>
          <w:p w14:paraId="5FCA71C9">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44C64B2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无结余，5分；有结余，但不超过上年结余，3分；结余超过上年结余，不得分。</w:t>
            </w:r>
          </w:p>
        </w:tc>
        <w:tc>
          <w:tcPr>
            <w:tcW w:w="586" w:type="dxa"/>
            <w:tcBorders>
              <w:top w:val="single" w:color="auto" w:sz="4" w:space="0"/>
              <w:left w:val="nil"/>
              <w:bottom w:val="single" w:color="auto" w:sz="4" w:space="0"/>
              <w:right w:val="single" w:color="auto" w:sz="4" w:space="0"/>
            </w:tcBorders>
            <w:vAlign w:val="center"/>
          </w:tcPr>
          <w:p w14:paraId="4A6499CA">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3A10C91F">
            <w:pPr>
              <w:widowControl/>
              <w:spacing w:line="32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r>
      <w:tr w14:paraId="77865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500EC2AF">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7959B098">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391D4610">
            <w:pPr>
              <w:widowControl/>
              <w:jc w:val="center"/>
              <w:rPr>
                <w:rFonts w:ascii="仿宋_GB2312" w:hAnsi="宋体" w:eastAsia="仿宋_GB2312" w:cs="宋体"/>
                <w:kern w:val="0"/>
              </w:rPr>
            </w:pPr>
          </w:p>
        </w:tc>
        <w:tc>
          <w:tcPr>
            <w:tcW w:w="889" w:type="dxa"/>
            <w:vMerge w:val="continue"/>
            <w:tcBorders>
              <w:top w:val="nil"/>
              <w:left w:val="nil"/>
              <w:bottom w:val="single" w:color="auto" w:sz="4" w:space="0"/>
              <w:right w:val="single" w:color="auto" w:sz="4" w:space="0"/>
            </w:tcBorders>
            <w:vAlign w:val="center"/>
          </w:tcPr>
          <w:p w14:paraId="0F34654C">
            <w:pPr>
              <w:widowControl/>
              <w:jc w:val="center"/>
              <w:rPr>
                <w:rFonts w:ascii="仿宋_GB2312" w:hAnsi="宋体" w:eastAsia="仿宋_GB2312" w:cs="宋体"/>
                <w:kern w:val="0"/>
              </w:rPr>
            </w:pPr>
          </w:p>
        </w:tc>
        <w:tc>
          <w:tcPr>
            <w:tcW w:w="3265" w:type="dxa"/>
            <w:tcBorders>
              <w:top w:val="single" w:color="auto" w:sz="4" w:space="0"/>
              <w:left w:val="nil"/>
              <w:bottom w:val="single" w:color="auto" w:sz="4" w:space="0"/>
              <w:right w:val="single" w:color="auto" w:sz="4" w:space="0"/>
            </w:tcBorders>
            <w:vAlign w:val="center"/>
          </w:tcPr>
          <w:p w14:paraId="4A8F0817">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03D9DBC1">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是否分项目核算结余结转，是，5分；否，0分。</w:t>
            </w:r>
          </w:p>
        </w:tc>
        <w:tc>
          <w:tcPr>
            <w:tcW w:w="586" w:type="dxa"/>
            <w:tcBorders>
              <w:top w:val="single" w:color="auto" w:sz="4" w:space="0"/>
              <w:left w:val="nil"/>
              <w:bottom w:val="single" w:color="auto" w:sz="4" w:space="0"/>
              <w:right w:val="single" w:color="auto" w:sz="4" w:space="0"/>
            </w:tcBorders>
            <w:vAlign w:val="center"/>
          </w:tcPr>
          <w:p w14:paraId="386FCD1C">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0923C83D">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6BA38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356C7474">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0069742F">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0F44FB5B">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1C58C6D7">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“三公经费”控制率</w:t>
            </w:r>
          </w:p>
        </w:tc>
        <w:tc>
          <w:tcPr>
            <w:tcW w:w="3265" w:type="dxa"/>
            <w:tcBorders>
              <w:top w:val="single" w:color="auto" w:sz="4" w:space="0"/>
              <w:left w:val="nil"/>
              <w:bottom w:val="single" w:color="auto" w:sz="4" w:space="0"/>
              <w:right w:val="single" w:color="auto" w:sz="4" w:space="0"/>
            </w:tcBorders>
            <w:vAlign w:val="center"/>
          </w:tcPr>
          <w:p w14:paraId="48C50E8E">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“三公经费”控制率=（“三公经费”实际支出数/“三公经费”预算安排数）×100%。</w:t>
            </w:r>
          </w:p>
        </w:tc>
        <w:tc>
          <w:tcPr>
            <w:tcW w:w="2278" w:type="dxa"/>
            <w:tcBorders>
              <w:top w:val="single" w:color="auto" w:sz="4" w:space="0"/>
              <w:left w:val="nil"/>
              <w:bottom w:val="single" w:color="auto" w:sz="4" w:space="0"/>
              <w:right w:val="single" w:color="auto" w:sz="4" w:space="0"/>
            </w:tcBorders>
            <w:vAlign w:val="center"/>
          </w:tcPr>
          <w:p w14:paraId="3764C126">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以100%为标准。三公经费控制率</w:t>
            </w:r>
            <w:r>
              <w:rPr>
                <w:rFonts w:hint="eastAsia" w:ascii="仿宋_GB2312" w:hAnsi="宋体"/>
                <w:kern w:val="0"/>
              </w:rPr>
              <w:t>≦</w:t>
            </w:r>
            <w:r>
              <w:rPr>
                <w:rFonts w:hint="eastAsia" w:ascii="仿宋_GB2312" w:hAnsi="宋体" w:eastAsia="仿宋_GB2312" w:cs="宋体"/>
                <w:kern w:val="0"/>
              </w:rPr>
              <w:t>100%，计5分；每超过一个百分点扣1分，扣完为止。</w:t>
            </w:r>
          </w:p>
        </w:tc>
        <w:tc>
          <w:tcPr>
            <w:tcW w:w="586" w:type="dxa"/>
            <w:tcBorders>
              <w:top w:val="single" w:color="auto" w:sz="4" w:space="0"/>
              <w:left w:val="nil"/>
              <w:bottom w:val="single" w:color="auto" w:sz="4" w:space="0"/>
              <w:right w:val="single" w:color="auto" w:sz="4" w:space="0"/>
            </w:tcBorders>
            <w:vAlign w:val="center"/>
          </w:tcPr>
          <w:p w14:paraId="5C283EBF">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7CE2E136">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18D5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0ABB85B8">
            <w:pPr>
              <w:widowControl/>
              <w:jc w:val="center"/>
              <w:rPr>
                <w:rFonts w:ascii="仿宋_GB2312" w:hAnsi="宋体" w:eastAsia="仿宋_GB2312" w:cs="宋体"/>
                <w:kern w:val="0"/>
              </w:rPr>
            </w:pPr>
          </w:p>
        </w:tc>
        <w:tc>
          <w:tcPr>
            <w:tcW w:w="709" w:type="dxa"/>
            <w:vMerge w:val="restart"/>
            <w:tcBorders>
              <w:top w:val="nil"/>
              <w:left w:val="nil"/>
              <w:bottom w:val="single" w:color="auto" w:sz="4" w:space="0"/>
              <w:right w:val="single" w:color="auto" w:sz="4" w:space="0"/>
            </w:tcBorders>
            <w:vAlign w:val="center"/>
          </w:tcPr>
          <w:p w14:paraId="0E27F25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预算管理</w:t>
            </w:r>
          </w:p>
        </w:tc>
        <w:tc>
          <w:tcPr>
            <w:tcW w:w="614" w:type="dxa"/>
            <w:vMerge w:val="restart"/>
            <w:tcBorders>
              <w:top w:val="nil"/>
              <w:left w:val="nil"/>
              <w:bottom w:val="single" w:color="auto" w:sz="4" w:space="0"/>
              <w:right w:val="single" w:color="auto" w:sz="4" w:space="0"/>
            </w:tcBorders>
            <w:vAlign w:val="center"/>
          </w:tcPr>
          <w:p w14:paraId="6287223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20</w:t>
            </w:r>
          </w:p>
        </w:tc>
        <w:tc>
          <w:tcPr>
            <w:tcW w:w="889" w:type="dxa"/>
            <w:tcBorders>
              <w:top w:val="single" w:color="auto" w:sz="4" w:space="0"/>
              <w:left w:val="nil"/>
              <w:bottom w:val="single" w:color="auto" w:sz="4" w:space="0"/>
              <w:right w:val="single" w:color="auto" w:sz="4" w:space="0"/>
            </w:tcBorders>
            <w:vAlign w:val="center"/>
          </w:tcPr>
          <w:p w14:paraId="58776273">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管理制度健全性</w:t>
            </w:r>
          </w:p>
        </w:tc>
        <w:tc>
          <w:tcPr>
            <w:tcW w:w="3265" w:type="dxa"/>
            <w:tcBorders>
              <w:top w:val="single" w:color="auto" w:sz="4" w:space="0"/>
              <w:left w:val="nil"/>
              <w:bottom w:val="single" w:color="auto" w:sz="4" w:space="0"/>
              <w:right w:val="single" w:color="auto" w:sz="4" w:space="0"/>
            </w:tcBorders>
            <w:vAlign w:val="center"/>
          </w:tcPr>
          <w:p w14:paraId="3805323E">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774000E6">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①已制定或具有预算资金管理办法，内部财务管理制度、会计核算制度等管理制度，3分；②相关管理制度合法、合规、完整，2分。</w:t>
            </w:r>
          </w:p>
        </w:tc>
        <w:tc>
          <w:tcPr>
            <w:tcW w:w="586" w:type="dxa"/>
            <w:tcBorders>
              <w:top w:val="single" w:color="auto" w:sz="4" w:space="0"/>
              <w:left w:val="nil"/>
              <w:bottom w:val="single" w:color="auto" w:sz="4" w:space="0"/>
              <w:right w:val="single" w:color="auto" w:sz="4" w:space="0"/>
            </w:tcBorders>
            <w:vAlign w:val="center"/>
          </w:tcPr>
          <w:p w14:paraId="4EAC7C5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323C2807">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r>
      <w:tr w14:paraId="6DD38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1B26568B">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2B300876">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0EDD5587">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0039CD6A">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专账核算</w:t>
            </w:r>
          </w:p>
        </w:tc>
        <w:tc>
          <w:tcPr>
            <w:tcW w:w="3265" w:type="dxa"/>
            <w:tcBorders>
              <w:top w:val="single" w:color="auto" w:sz="4" w:space="0"/>
              <w:left w:val="nil"/>
              <w:bottom w:val="single" w:color="auto" w:sz="4" w:space="0"/>
              <w:right w:val="single" w:color="auto" w:sz="4" w:space="0"/>
            </w:tcBorders>
            <w:vAlign w:val="center"/>
          </w:tcPr>
          <w:p w14:paraId="03885B27">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6091A84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项目支出是否分项目单独核算，是5；否，0分。</w:t>
            </w:r>
          </w:p>
        </w:tc>
        <w:tc>
          <w:tcPr>
            <w:tcW w:w="586" w:type="dxa"/>
            <w:tcBorders>
              <w:top w:val="single" w:color="auto" w:sz="4" w:space="0"/>
              <w:left w:val="nil"/>
              <w:bottom w:val="single" w:color="auto" w:sz="4" w:space="0"/>
              <w:right w:val="single" w:color="auto" w:sz="4" w:space="0"/>
            </w:tcBorders>
            <w:vAlign w:val="center"/>
          </w:tcPr>
          <w:p w14:paraId="7D9A6D61">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39E1D13E">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0763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4A1DB513">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0EFF7D45">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6BBB4907">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75395ECE">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预决算信息公开性和完善性</w:t>
            </w:r>
          </w:p>
        </w:tc>
        <w:tc>
          <w:tcPr>
            <w:tcW w:w="3265" w:type="dxa"/>
            <w:tcBorders>
              <w:top w:val="single" w:color="auto" w:sz="4" w:space="0"/>
              <w:left w:val="nil"/>
              <w:bottom w:val="single" w:color="auto" w:sz="4" w:space="0"/>
              <w:right w:val="single" w:color="auto" w:sz="4" w:space="0"/>
            </w:tcBorders>
            <w:vAlign w:val="center"/>
          </w:tcPr>
          <w:p w14:paraId="57BD67AD">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预决算信息是指与部门预算、执行、决算、监督、绩效等管理相关的信息。</w:t>
            </w:r>
          </w:p>
        </w:tc>
        <w:tc>
          <w:tcPr>
            <w:tcW w:w="2278" w:type="dxa"/>
            <w:tcBorders>
              <w:top w:val="single" w:color="auto" w:sz="4" w:space="0"/>
              <w:left w:val="nil"/>
              <w:bottom w:val="single" w:color="auto" w:sz="4" w:space="0"/>
              <w:right w:val="single" w:color="auto" w:sz="4" w:space="0"/>
            </w:tcBorders>
            <w:vAlign w:val="center"/>
          </w:tcPr>
          <w:p w14:paraId="478A6BF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①按规定内容公开预决算信息，3分；②按规定时限公开预决算信息，2分。</w:t>
            </w:r>
          </w:p>
        </w:tc>
        <w:tc>
          <w:tcPr>
            <w:tcW w:w="586" w:type="dxa"/>
            <w:tcBorders>
              <w:top w:val="single" w:color="auto" w:sz="4" w:space="0"/>
              <w:left w:val="nil"/>
              <w:bottom w:val="single" w:color="auto" w:sz="4" w:space="0"/>
              <w:right w:val="single" w:color="auto" w:sz="4" w:space="0"/>
            </w:tcBorders>
            <w:vAlign w:val="center"/>
          </w:tcPr>
          <w:p w14:paraId="5DCEF57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07A3FC87">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044C4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2D9A455E">
            <w:pPr>
              <w:widowControl/>
              <w:jc w:val="center"/>
              <w:rPr>
                <w:rFonts w:ascii="仿宋_GB2312" w:hAnsi="宋体" w:eastAsia="仿宋_GB2312" w:cs="宋体"/>
                <w:kern w:val="0"/>
              </w:rPr>
            </w:pPr>
          </w:p>
        </w:tc>
        <w:tc>
          <w:tcPr>
            <w:tcW w:w="709" w:type="dxa"/>
            <w:vMerge w:val="continue"/>
            <w:tcBorders>
              <w:top w:val="nil"/>
              <w:left w:val="nil"/>
              <w:bottom w:val="single" w:color="auto" w:sz="4" w:space="0"/>
              <w:right w:val="single" w:color="auto" w:sz="4" w:space="0"/>
            </w:tcBorders>
            <w:vAlign w:val="center"/>
          </w:tcPr>
          <w:p w14:paraId="374EB2DE">
            <w:pPr>
              <w:widowControl/>
              <w:jc w:val="center"/>
              <w:rPr>
                <w:rFonts w:ascii="仿宋_GB2312" w:hAnsi="宋体" w:eastAsia="仿宋_GB2312" w:cs="宋体"/>
                <w:kern w:val="0"/>
              </w:rPr>
            </w:pPr>
          </w:p>
        </w:tc>
        <w:tc>
          <w:tcPr>
            <w:tcW w:w="614" w:type="dxa"/>
            <w:vMerge w:val="continue"/>
            <w:tcBorders>
              <w:top w:val="nil"/>
              <w:left w:val="nil"/>
              <w:bottom w:val="single" w:color="auto" w:sz="4" w:space="0"/>
              <w:right w:val="single" w:color="auto" w:sz="4" w:space="0"/>
            </w:tcBorders>
            <w:vAlign w:val="center"/>
          </w:tcPr>
          <w:p w14:paraId="2E7C713D">
            <w:pPr>
              <w:widowControl/>
              <w:jc w:val="center"/>
              <w:rPr>
                <w:rFonts w:ascii="仿宋_GB2312" w:hAnsi="宋体" w:eastAsia="仿宋_GB2312" w:cs="宋体"/>
                <w:kern w:val="0"/>
              </w:rPr>
            </w:pPr>
          </w:p>
        </w:tc>
        <w:tc>
          <w:tcPr>
            <w:tcW w:w="889" w:type="dxa"/>
            <w:tcBorders>
              <w:top w:val="single" w:color="auto" w:sz="4" w:space="0"/>
              <w:left w:val="nil"/>
              <w:bottom w:val="single" w:color="auto" w:sz="4" w:space="0"/>
              <w:right w:val="single" w:color="auto" w:sz="4" w:space="0"/>
            </w:tcBorders>
            <w:vAlign w:val="center"/>
          </w:tcPr>
          <w:p w14:paraId="3CD71B9B">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政府采购完成情况</w:t>
            </w:r>
          </w:p>
        </w:tc>
        <w:tc>
          <w:tcPr>
            <w:tcW w:w="3265" w:type="dxa"/>
            <w:tcBorders>
              <w:top w:val="single" w:color="auto" w:sz="4" w:space="0"/>
              <w:left w:val="nil"/>
              <w:bottom w:val="single" w:color="auto" w:sz="4" w:space="0"/>
              <w:right w:val="single" w:color="auto" w:sz="4" w:space="0"/>
            </w:tcBorders>
            <w:vAlign w:val="center"/>
          </w:tcPr>
          <w:p w14:paraId="2078505A">
            <w:pPr>
              <w:widowControl/>
              <w:spacing w:line="32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0B0C053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达到政府采购要求的是否进行了政府采购，是，5分；否，0分。</w:t>
            </w:r>
          </w:p>
        </w:tc>
        <w:tc>
          <w:tcPr>
            <w:tcW w:w="586" w:type="dxa"/>
            <w:tcBorders>
              <w:top w:val="single" w:color="auto" w:sz="4" w:space="0"/>
              <w:left w:val="nil"/>
              <w:bottom w:val="single" w:color="auto" w:sz="4" w:space="0"/>
              <w:right w:val="single" w:color="auto" w:sz="4" w:space="0"/>
            </w:tcBorders>
            <w:vAlign w:val="center"/>
          </w:tcPr>
          <w:p w14:paraId="3D78B36C">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09BBD1D7">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3B15A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6B1350B0">
            <w:pPr>
              <w:widowControl/>
              <w:jc w:val="center"/>
              <w:rPr>
                <w:rFonts w:ascii="仿宋_GB2312" w:hAnsi="宋体" w:eastAsia="仿宋_GB2312" w:cs="宋体"/>
                <w:kern w:val="0"/>
              </w:rPr>
            </w:pPr>
          </w:p>
        </w:tc>
        <w:tc>
          <w:tcPr>
            <w:tcW w:w="709" w:type="dxa"/>
            <w:tcBorders>
              <w:top w:val="single" w:color="auto" w:sz="4" w:space="0"/>
              <w:left w:val="nil"/>
              <w:bottom w:val="single" w:color="auto" w:sz="4" w:space="0"/>
              <w:right w:val="single" w:color="auto" w:sz="4" w:space="0"/>
            </w:tcBorders>
            <w:vAlign w:val="center"/>
          </w:tcPr>
          <w:p w14:paraId="70CB34AC">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资产管理</w:t>
            </w:r>
          </w:p>
        </w:tc>
        <w:tc>
          <w:tcPr>
            <w:tcW w:w="614" w:type="dxa"/>
            <w:tcBorders>
              <w:top w:val="single" w:color="auto" w:sz="4" w:space="0"/>
              <w:left w:val="nil"/>
              <w:bottom w:val="single" w:color="auto" w:sz="4" w:space="0"/>
              <w:right w:val="single" w:color="auto" w:sz="4" w:space="0"/>
            </w:tcBorders>
            <w:vAlign w:val="center"/>
          </w:tcPr>
          <w:p w14:paraId="32E102DC">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889" w:type="dxa"/>
            <w:tcBorders>
              <w:top w:val="single" w:color="auto" w:sz="4" w:space="0"/>
              <w:left w:val="nil"/>
              <w:bottom w:val="single" w:color="auto" w:sz="4" w:space="0"/>
              <w:right w:val="single" w:color="auto" w:sz="4" w:space="0"/>
            </w:tcBorders>
            <w:vAlign w:val="center"/>
          </w:tcPr>
          <w:p w14:paraId="2D525E72">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管理制度健全性</w:t>
            </w:r>
          </w:p>
        </w:tc>
        <w:tc>
          <w:tcPr>
            <w:tcW w:w="3265" w:type="dxa"/>
            <w:tcBorders>
              <w:top w:val="single" w:color="auto" w:sz="4" w:space="0"/>
              <w:left w:val="nil"/>
              <w:bottom w:val="single" w:color="auto" w:sz="4" w:space="0"/>
              <w:right w:val="single" w:color="auto" w:sz="4" w:space="0"/>
            </w:tcBorders>
            <w:vAlign w:val="center"/>
          </w:tcPr>
          <w:p w14:paraId="04A5258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部门（单位）为加强资产管理，规范资产管理行为而制定的管理制度是否健全完整、用以反映                                                                                                                                                                                                                                                                                                                                                                                                                                                                                                                                                                               和考核部门（单位）资产管理制度对完成主要职责或促进社会发展的保障情况。</w:t>
            </w:r>
          </w:p>
        </w:tc>
        <w:tc>
          <w:tcPr>
            <w:tcW w:w="2278" w:type="dxa"/>
            <w:tcBorders>
              <w:top w:val="single" w:color="auto" w:sz="4" w:space="0"/>
              <w:left w:val="nil"/>
              <w:bottom w:val="single" w:color="auto" w:sz="4" w:space="0"/>
              <w:right w:val="single" w:color="auto" w:sz="4" w:space="0"/>
            </w:tcBorders>
            <w:vAlign w:val="center"/>
          </w:tcPr>
          <w:p w14:paraId="64F86D1A">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①已制定或具有资产管理制度，3分；②相关资产管理制度合法、合规、完整，2分；。</w:t>
            </w:r>
          </w:p>
        </w:tc>
        <w:tc>
          <w:tcPr>
            <w:tcW w:w="586" w:type="dxa"/>
            <w:tcBorders>
              <w:top w:val="single" w:color="auto" w:sz="4" w:space="0"/>
              <w:left w:val="nil"/>
              <w:bottom w:val="single" w:color="auto" w:sz="4" w:space="0"/>
              <w:right w:val="single" w:color="auto" w:sz="4" w:space="0"/>
            </w:tcBorders>
            <w:vAlign w:val="center"/>
          </w:tcPr>
          <w:p w14:paraId="269CF417">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5</w:t>
            </w:r>
          </w:p>
        </w:tc>
        <w:tc>
          <w:tcPr>
            <w:tcW w:w="476" w:type="dxa"/>
            <w:tcBorders>
              <w:top w:val="single" w:color="auto" w:sz="4" w:space="0"/>
              <w:left w:val="nil"/>
              <w:bottom w:val="single" w:color="auto" w:sz="4" w:space="0"/>
              <w:right w:val="single" w:color="auto" w:sz="4" w:space="0"/>
            </w:tcBorders>
            <w:vAlign w:val="center"/>
          </w:tcPr>
          <w:p w14:paraId="65736BCB">
            <w:pPr>
              <w:widowControl/>
              <w:spacing w:line="320" w:lineRule="exact"/>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r>
      <w:tr w14:paraId="0C160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675" w:type="dxa"/>
            <w:vMerge w:val="restart"/>
            <w:tcBorders>
              <w:top w:val="nil"/>
              <w:left w:val="single" w:color="auto" w:sz="4" w:space="0"/>
              <w:bottom w:val="single" w:color="auto" w:sz="4" w:space="0"/>
              <w:right w:val="single" w:color="auto" w:sz="4" w:space="0"/>
            </w:tcBorders>
            <w:vAlign w:val="center"/>
          </w:tcPr>
          <w:p w14:paraId="69BE50A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产   出</w:t>
            </w:r>
          </w:p>
          <w:p w14:paraId="25FD45D5">
            <w:pPr>
              <w:spacing w:line="320" w:lineRule="exact"/>
              <w:jc w:val="center"/>
              <w:rPr>
                <w:rFonts w:ascii="仿宋_GB2312" w:hAnsi="宋体" w:eastAsia="仿宋_GB2312" w:cs="宋体"/>
                <w:kern w:val="0"/>
              </w:rPr>
            </w:pPr>
            <w:r>
              <w:rPr>
                <w:rFonts w:hint="eastAsia" w:ascii="仿宋_GB2312" w:hAnsi="宋体" w:eastAsia="仿宋_GB2312" w:cs="宋体"/>
                <w:kern w:val="0"/>
              </w:rPr>
              <w:t>效   果</w:t>
            </w:r>
          </w:p>
        </w:tc>
        <w:tc>
          <w:tcPr>
            <w:tcW w:w="709" w:type="dxa"/>
            <w:tcBorders>
              <w:top w:val="single" w:color="auto" w:sz="4" w:space="0"/>
              <w:left w:val="nil"/>
              <w:bottom w:val="single" w:color="auto" w:sz="4" w:space="0"/>
              <w:right w:val="single" w:color="auto" w:sz="4" w:space="0"/>
            </w:tcBorders>
            <w:vAlign w:val="center"/>
          </w:tcPr>
          <w:p w14:paraId="567DBEB0">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职责 履行</w:t>
            </w:r>
          </w:p>
        </w:tc>
        <w:tc>
          <w:tcPr>
            <w:tcW w:w="614" w:type="dxa"/>
            <w:vMerge w:val="restart"/>
            <w:tcBorders>
              <w:top w:val="nil"/>
              <w:left w:val="nil"/>
              <w:bottom w:val="single" w:color="auto" w:sz="4" w:space="0"/>
              <w:right w:val="single" w:color="auto" w:sz="4" w:space="0"/>
            </w:tcBorders>
            <w:vAlign w:val="center"/>
          </w:tcPr>
          <w:p w14:paraId="325070DD">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45</w:t>
            </w:r>
          </w:p>
        </w:tc>
        <w:tc>
          <w:tcPr>
            <w:tcW w:w="889" w:type="dxa"/>
            <w:vMerge w:val="restart"/>
            <w:tcBorders>
              <w:top w:val="nil"/>
              <w:left w:val="nil"/>
              <w:bottom w:val="single" w:color="auto" w:sz="4" w:space="0"/>
              <w:right w:val="single" w:color="auto" w:sz="4" w:space="0"/>
            </w:tcBorders>
            <w:vAlign w:val="center"/>
          </w:tcPr>
          <w:p w14:paraId="77796193">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绩效目标完成情况</w:t>
            </w:r>
          </w:p>
        </w:tc>
        <w:tc>
          <w:tcPr>
            <w:tcW w:w="3265" w:type="dxa"/>
            <w:vMerge w:val="restart"/>
            <w:tcBorders>
              <w:top w:val="nil"/>
              <w:left w:val="nil"/>
              <w:bottom w:val="single" w:color="auto" w:sz="4" w:space="0"/>
              <w:right w:val="single" w:color="auto" w:sz="4" w:space="0"/>
            </w:tcBorders>
            <w:vAlign w:val="center"/>
          </w:tcPr>
          <w:p w14:paraId="5C515165">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部门（单位）根据2018年部门整体支出绩效目标申报表提炼部门整体支出绩效评价指标。</w:t>
            </w:r>
          </w:p>
          <w:p w14:paraId="54E4BDE6">
            <w:pPr>
              <w:widowControl/>
              <w:spacing w:line="320" w:lineRule="exact"/>
              <w:jc w:val="center"/>
              <w:rPr>
                <w:rFonts w:ascii="仿宋_GB2312" w:hAnsi="宋体" w:eastAsia="仿宋_GB2312" w:cs="宋体"/>
                <w:kern w:val="0"/>
              </w:rPr>
            </w:pPr>
          </w:p>
        </w:tc>
        <w:tc>
          <w:tcPr>
            <w:tcW w:w="2278" w:type="dxa"/>
            <w:vMerge w:val="restart"/>
            <w:tcBorders>
              <w:top w:val="nil"/>
              <w:left w:val="nil"/>
              <w:bottom w:val="single" w:color="auto" w:sz="4" w:space="0"/>
              <w:right w:val="single" w:color="auto" w:sz="4" w:space="0"/>
            </w:tcBorders>
            <w:vAlign w:val="center"/>
          </w:tcPr>
          <w:p w14:paraId="116CF078">
            <w:pPr>
              <w:widowControl/>
              <w:spacing w:line="320" w:lineRule="exact"/>
              <w:jc w:val="center"/>
              <w:rPr>
                <w:rFonts w:ascii="仿宋_GB2312" w:hAnsi="宋体" w:eastAsia="仿宋_GB2312" w:cs="宋体"/>
                <w:kern w:val="0"/>
              </w:rPr>
            </w:pPr>
          </w:p>
        </w:tc>
        <w:tc>
          <w:tcPr>
            <w:tcW w:w="586" w:type="dxa"/>
            <w:vMerge w:val="restart"/>
            <w:tcBorders>
              <w:top w:val="nil"/>
              <w:left w:val="nil"/>
              <w:bottom w:val="single" w:color="auto" w:sz="4" w:space="0"/>
              <w:right w:val="single" w:color="auto" w:sz="4" w:space="0"/>
            </w:tcBorders>
            <w:vAlign w:val="center"/>
          </w:tcPr>
          <w:p w14:paraId="0837977D">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45</w:t>
            </w:r>
          </w:p>
        </w:tc>
        <w:tc>
          <w:tcPr>
            <w:tcW w:w="476" w:type="dxa"/>
            <w:vMerge w:val="restart"/>
            <w:tcBorders>
              <w:top w:val="nil"/>
              <w:left w:val="nil"/>
              <w:bottom w:val="single" w:color="auto" w:sz="4" w:space="0"/>
              <w:right w:val="single" w:color="auto" w:sz="4" w:space="0"/>
            </w:tcBorders>
            <w:vAlign w:val="center"/>
          </w:tcPr>
          <w:p w14:paraId="2DC13997">
            <w:pPr>
              <w:widowControl/>
              <w:spacing w:line="32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r>
      <w:tr w14:paraId="58E55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675" w:type="dxa"/>
            <w:vMerge w:val="continue"/>
            <w:tcBorders>
              <w:top w:val="nil"/>
              <w:left w:val="single" w:color="auto" w:sz="4" w:space="0"/>
              <w:bottom w:val="single" w:color="auto" w:sz="4" w:space="0"/>
              <w:right w:val="single" w:color="auto" w:sz="4" w:space="0"/>
            </w:tcBorders>
            <w:vAlign w:val="center"/>
          </w:tcPr>
          <w:p w14:paraId="615CD4F9">
            <w:pPr>
              <w:widowControl/>
              <w:jc w:val="center"/>
              <w:rPr>
                <w:rFonts w:ascii="仿宋_GB2312" w:hAnsi="宋体" w:eastAsia="仿宋_GB2312" w:cs="宋体"/>
                <w:kern w:val="0"/>
              </w:rPr>
            </w:pPr>
          </w:p>
        </w:tc>
        <w:tc>
          <w:tcPr>
            <w:tcW w:w="709" w:type="dxa"/>
            <w:tcBorders>
              <w:top w:val="single" w:color="auto" w:sz="4" w:space="0"/>
              <w:left w:val="nil"/>
              <w:bottom w:val="single" w:color="auto" w:sz="4" w:space="0"/>
              <w:right w:val="single" w:color="auto" w:sz="4" w:space="0"/>
            </w:tcBorders>
            <w:vAlign w:val="center"/>
          </w:tcPr>
          <w:p w14:paraId="74F9E4E3">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履职 效益</w:t>
            </w:r>
          </w:p>
        </w:tc>
        <w:tc>
          <w:tcPr>
            <w:tcW w:w="614" w:type="dxa"/>
            <w:vMerge w:val="continue"/>
            <w:tcBorders>
              <w:top w:val="nil"/>
              <w:left w:val="nil"/>
              <w:bottom w:val="single" w:color="auto" w:sz="4" w:space="0"/>
              <w:right w:val="single" w:color="auto" w:sz="4" w:space="0"/>
            </w:tcBorders>
            <w:vAlign w:val="center"/>
          </w:tcPr>
          <w:p w14:paraId="4DE69256">
            <w:pPr>
              <w:widowControl/>
              <w:jc w:val="center"/>
              <w:rPr>
                <w:rFonts w:ascii="仿宋_GB2312" w:hAnsi="宋体" w:eastAsia="仿宋_GB2312" w:cs="宋体"/>
                <w:kern w:val="0"/>
              </w:rPr>
            </w:pPr>
          </w:p>
        </w:tc>
        <w:tc>
          <w:tcPr>
            <w:tcW w:w="889" w:type="dxa"/>
            <w:vMerge w:val="continue"/>
            <w:tcBorders>
              <w:top w:val="nil"/>
              <w:left w:val="nil"/>
              <w:bottom w:val="single" w:color="auto" w:sz="4" w:space="0"/>
              <w:right w:val="single" w:color="auto" w:sz="4" w:space="0"/>
            </w:tcBorders>
            <w:vAlign w:val="center"/>
          </w:tcPr>
          <w:p w14:paraId="3A359D1F">
            <w:pPr>
              <w:widowControl/>
              <w:jc w:val="center"/>
              <w:rPr>
                <w:rFonts w:ascii="仿宋_GB2312" w:hAnsi="宋体" w:eastAsia="仿宋_GB2312" w:cs="宋体"/>
                <w:kern w:val="0"/>
              </w:rPr>
            </w:pPr>
          </w:p>
        </w:tc>
        <w:tc>
          <w:tcPr>
            <w:tcW w:w="3265" w:type="dxa"/>
            <w:vMerge w:val="continue"/>
            <w:tcBorders>
              <w:top w:val="nil"/>
              <w:left w:val="nil"/>
              <w:bottom w:val="single" w:color="auto" w:sz="4" w:space="0"/>
              <w:right w:val="single" w:color="auto" w:sz="4" w:space="0"/>
            </w:tcBorders>
            <w:vAlign w:val="center"/>
          </w:tcPr>
          <w:p w14:paraId="0F4AA766">
            <w:pPr>
              <w:widowControl/>
              <w:jc w:val="center"/>
              <w:rPr>
                <w:rFonts w:ascii="仿宋_GB2312" w:hAnsi="宋体" w:eastAsia="仿宋_GB2312" w:cs="宋体"/>
                <w:kern w:val="0"/>
              </w:rPr>
            </w:pPr>
          </w:p>
        </w:tc>
        <w:tc>
          <w:tcPr>
            <w:tcW w:w="2278" w:type="dxa"/>
            <w:vMerge w:val="continue"/>
            <w:tcBorders>
              <w:top w:val="nil"/>
              <w:left w:val="nil"/>
              <w:bottom w:val="single" w:color="auto" w:sz="4" w:space="0"/>
              <w:right w:val="single" w:color="auto" w:sz="4" w:space="0"/>
            </w:tcBorders>
            <w:vAlign w:val="center"/>
          </w:tcPr>
          <w:p w14:paraId="43BB227B">
            <w:pPr>
              <w:widowControl/>
              <w:jc w:val="center"/>
              <w:rPr>
                <w:rFonts w:ascii="仿宋_GB2312" w:hAnsi="宋体" w:eastAsia="仿宋_GB2312" w:cs="宋体"/>
                <w:kern w:val="0"/>
              </w:rPr>
            </w:pPr>
          </w:p>
        </w:tc>
        <w:tc>
          <w:tcPr>
            <w:tcW w:w="586" w:type="dxa"/>
            <w:vMerge w:val="continue"/>
            <w:tcBorders>
              <w:top w:val="nil"/>
              <w:left w:val="nil"/>
              <w:bottom w:val="single" w:color="auto" w:sz="4" w:space="0"/>
              <w:right w:val="single" w:color="auto" w:sz="4" w:space="0"/>
            </w:tcBorders>
            <w:vAlign w:val="center"/>
          </w:tcPr>
          <w:p w14:paraId="181EDE94">
            <w:pPr>
              <w:widowControl/>
              <w:jc w:val="center"/>
              <w:rPr>
                <w:rFonts w:ascii="仿宋_GB2312" w:hAnsi="宋体" w:eastAsia="仿宋_GB2312" w:cs="宋体"/>
                <w:kern w:val="0"/>
              </w:rPr>
            </w:pPr>
          </w:p>
        </w:tc>
        <w:tc>
          <w:tcPr>
            <w:tcW w:w="476" w:type="dxa"/>
            <w:vMerge w:val="continue"/>
            <w:tcBorders>
              <w:top w:val="nil"/>
              <w:left w:val="nil"/>
              <w:bottom w:val="single" w:color="auto" w:sz="4" w:space="0"/>
              <w:right w:val="single" w:color="auto" w:sz="4" w:space="0"/>
            </w:tcBorders>
            <w:vAlign w:val="center"/>
          </w:tcPr>
          <w:p w14:paraId="195D905A">
            <w:pPr>
              <w:widowControl/>
              <w:jc w:val="center"/>
              <w:rPr>
                <w:rFonts w:ascii="仿宋_GB2312" w:hAnsi="宋体" w:eastAsia="仿宋_GB2312" w:cs="宋体"/>
                <w:kern w:val="0"/>
              </w:rPr>
            </w:pPr>
          </w:p>
        </w:tc>
      </w:tr>
      <w:tr w14:paraId="7824B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14:paraId="5106AA59">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合计</w:t>
            </w:r>
          </w:p>
        </w:tc>
        <w:tc>
          <w:tcPr>
            <w:tcW w:w="709" w:type="dxa"/>
            <w:tcBorders>
              <w:top w:val="single" w:color="auto" w:sz="4" w:space="0"/>
              <w:left w:val="nil"/>
              <w:bottom w:val="single" w:color="auto" w:sz="4" w:space="0"/>
              <w:right w:val="single" w:color="auto" w:sz="4" w:space="0"/>
            </w:tcBorders>
            <w:vAlign w:val="center"/>
          </w:tcPr>
          <w:p w14:paraId="51FF2BA3">
            <w:pPr>
              <w:widowControl/>
              <w:spacing w:line="320" w:lineRule="exact"/>
              <w:jc w:val="center"/>
              <w:rPr>
                <w:rFonts w:ascii="仿宋_GB2312" w:hAnsi="宋体" w:eastAsia="仿宋_GB2312" w:cs="宋体"/>
                <w:kern w:val="0"/>
              </w:rPr>
            </w:pPr>
          </w:p>
        </w:tc>
        <w:tc>
          <w:tcPr>
            <w:tcW w:w="614" w:type="dxa"/>
            <w:tcBorders>
              <w:top w:val="single" w:color="auto" w:sz="4" w:space="0"/>
              <w:left w:val="nil"/>
              <w:bottom w:val="single" w:color="auto" w:sz="4" w:space="0"/>
              <w:right w:val="single" w:color="auto" w:sz="4" w:space="0"/>
            </w:tcBorders>
            <w:vAlign w:val="center"/>
          </w:tcPr>
          <w:p w14:paraId="64C91718">
            <w:pPr>
              <w:widowControl/>
              <w:spacing w:line="320" w:lineRule="exact"/>
              <w:jc w:val="center"/>
              <w:rPr>
                <w:rFonts w:ascii="仿宋_GB2312" w:hAnsi="宋体" w:eastAsia="仿宋_GB2312" w:cs="宋体"/>
                <w:kern w:val="0"/>
              </w:rPr>
            </w:pPr>
            <w:r>
              <w:rPr>
                <w:rFonts w:hint="eastAsia" w:ascii="仿宋_GB2312" w:hAnsi="宋体" w:eastAsia="仿宋_GB2312" w:cs="宋体"/>
                <w:kern w:val="0"/>
              </w:rPr>
              <w:t>100</w:t>
            </w:r>
          </w:p>
        </w:tc>
        <w:tc>
          <w:tcPr>
            <w:tcW w:w="889" w:type="dxa"/>
            <w:tcBorders>
              <w:top w:val="single" w:color="auto" w:sz="4" w:space="0"/>
              <w:left w:val="nil"/>
              <w:bottom w:val="single" w:color="auto" w:sz="4" w:space="0"/>
              <w:right w:val="single" w:color="auto" w:sz="4" w:space="0"/>
            </w:tcBorders>
            <w:vAlign w:val="center"/>
          </w:tcPr>
          <w:p w14:paraId="4549517C">
            <w:pPr>
              <w:widowControl/>
              <w:spacing w:line="320" w:lineRule="exact"/>
              <w:jc w:val="center"/>
              <w:rPr>
                <w:rFonts w:ascii="仿宋_GB2312" w:hAnsi="宋体" w:eastAsia="仿宋_GB2312" w:cs="宋体"/>
                <w:kern w:val="0"/>
              </w:rPr>
            </w:pPr>
          </w:p>
        </w:tc>
        <w:tc>
          <w:tcPr>
            <w:tcW w:w="3265" w:type="dxa"/>
            <w:tcBorders>
              <w:top w:val="single" w:color="auto" w:sz="4" w:space="0"/>
              <w:left w:val="nil"/>
              <w:bottom w:val="single" w:color="auto" w:sz="4" w:space="0"/>
              <w:right w:val="single" w:color="auto" w:sz="4" w:space="0"/>
            </w:tcBorders>
            <w:vAlign w:val="center"/>
          </w:tcPr>
          <w:p w14:paraId="32DEFA05">
            <w:pPr>
              <w:widowControl/>
              <w:spacing w:line="240" w:lineRule="exact"/>
              <w:jc w:val="center"/>
              <w:rPr>
                <w:rFonts w:ascii="仿宋_GB2312" w:hAnsi="宋体" w:eastAsia="仿宋_GB2312" w:cs="宋体"/>
                <w:kern w:val="0"/>
              </w:rPr>
            </w:pPr>
          </w:p>
        </w:tc>
        <w:tc>
          <w:tcPr>
            <w:tcW w:w="2278" w:type="dxa"/>
            <w:tcBorders>
              <w:top w:val="single" w:color="auto" w:sz="4" w:space="0"/>
              <w:left w:val="nil"/>
              <w:bottom w:val="single" w:color="auto" w:sz="4" w:space="0"/>
              <w:right w:val="single" w:color="auto" w:sz="4" w:space="0"/>
            </w:tcBorders>
            <w:vAlign w:val="center"/>
          </w:tcPr>
          <w:p w14:paraId="0BF7183F">
            <w:pPr>
              <w:widowControl/>
              <w:spacing w:line="240" w:lineRule="exact"/>
              <w:jc w:val="center"/>
              <w:rPr>
                <w:rFonts w:ascii="仿宋_GB2312" w:hAnsi="宋体" w:eastAsia="仿宋_GB2312" w:cs="宋体"/>
                <w:kern w:val="0"/>
              </w:rPr>
            </w:pPr>
          </w:p>
        </w:tc>
        <w:tc>
          <w:tcPr>
            <w:tcW w:w="586" w:type="dxa"/>
            <w:tcBorders>
              <w:top w:val="single" w:color="auto" w:sz="4" w:space="0"/>
              <w:left w:val="nil"/>
              <w:bottom w:val="single" w:color="auto" w:sz="4" w:space="0"/>
              <w:right w:val="single" w:color="auto" w:sz="4" w:space="0"/>
            </w:tcBorders>
            <w:vAlign w:val="center"/>
          </w:tcPr>
          <w:p w14:paraId="240ACBF3">
            <w:pPr>
              <w:widowControl/>
              <w:spacing w:line="240" w:lineRule="exact"/>
              <w:jc w:val="center"/>
              <w:rPr>
                <w:rFonts w:ascii="仿宋_GB2312" w:hAnsi="宋体" w:eastAsia="仿宋_GB2312" w:cs="宋体"/>
                <w:kern w:val="0"/>
              </w:rPr>
            </w:pPr>
            <w:r>
              <w:rPr>
                <w:rFonts w:hint="eastAsia" w:ascii="仿宋_GB2312" w:hAnsi="宋体" w:eastAsia="仿宋_GB2312" w:cs="宋体"/>
                <w:kern w:val="0"/>
              </w:rPr>
              <w:t>100</w:t>
            </w:r>
          </w:p>
        </w:tc>
        <w:tc>
          <w:tcPr>
            <w:tcW w:w="476" w:type="dxa"/>
            <w:tcBorders>
              <w:top w:val="single" w:color="auto" w:sz="4" w:space="0"/>
              <w:left w:val="nil"/>
              <w:bottom w:val="single" w:color="auto" w:sz="4" w:space="0"/>
              <w:right w:val="single" w:color="auto" w:sz="4" w:space="0"/>
            </w:tcBorders>
            <w:vAlign w:val="center"/>
          </w:tcPr>
          <w:p w14:paraId="77727175">
            <w:pPr>
              <w:widowControl/>
              <w:spacing w:line="240" w:lineRule="exact"/>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93</w:t>
            </w:r>
          </w:p>
        </w:tc>
      </w:tr>
    </w:tbl>
    <w:p w14:paraId="64F79AA6">
      <w:pPr>
        <w:snapToGrid w:val="0"/>
        <w:spacing w:line="54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14:paraId="4C3CC311">
      <w:pPr>
        <w:snapToGrid w:val="0"/>
        <w:spacing w:line="54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14:paraId="2F67BD11">
      <w:pPr>
        <w:snapToGrid w:val="0"/>
        <w:spacing w:line="54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p w14:paraId="18E9507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JiZjBhZWVjNDRlNGEyNzkzZjJkOWQxM2UwZGJiYjcifQ=="/>
  </w:docVars>
  <w:rsids>
    <w:rsidRoot w:val="006135FF"/>
    <w:rsid w:val="00572D56"/>
    <w:rsid w:val="006135FF"/>
    <w:rsid w:val="09632348"/>
    <w:rsid w:val="0D370F6A"/>
    <w:rsid w:val="0D4B39D4"/>
    <w:rsid w:val="144F4DB5"/>
    <w:rsid w:val="1F224E13"/>
    <w:rsid w:val="31476425"/>
    <w:rsid w:val="3E443102"/>
    <w:rsid w:val="4311609B"/>
    <w:rsid w:val="43454294"/>
    <w:rsid w:val="440A4052"/>
    <w:rsid w:val="451F7F84"/>
    <w:rsid w:val="478B74E9"/>
    <w:rsid w:val="487E161C"/>
    <w:rsid w:val="497B0780"/>
    <w:rsid w:val="4C0E2CCD"/>
    <w:rsid w:val="4EC4520A"/>
    <w:rsid w:val="58F367EF"/>
    <w:rsid w:val="59750361"/>
    <w:rsid w:val="599F79E8"/>
    <w:rsid w:val="617444B2"/>
    <w:rsid w:val="69324ECF"/>
    <w:rsid w:val="6AC63154"/>
    <w:rsid w:val="6BDB39FA"/>
    <w:rsid w:val="716C26EC"/>
    <w:rsid w:val="77EA5778"/>
    <w:rsid w:val="7EA526BD"/>
    <w:rsid w:val="7F9E6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4912</Words>
  <Characters>5245</Characters>
  <Lines>14</Lines>
  <Paragraphs>4</Paragraphs>
  <TotalTime>14</TotalTime>
  <ScaleCrop>false</ScaleCrop>
  <LinksUpToDate>false</LinksUpToDate>
  <CharactersWithSpaces>5833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2019-10-17T22:39:00Z</dcterms:created>
  <dc:creator>Windows 用户</dc:creator>
  <cp:lastModifiedBy>Administrator</cp:lastModifiedBy>
  <dcterms:modified xsi:type="dcterms:W3CDTF">2024-07-24T07:32:07Z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D2548F722A8841D09D737A089656F802</vt:lpwstr>
  </property>
</Properties>
</file>