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黑体" w:hAnsi="仿宋" w:eastAsia="黑体" w:cs="方正小标宋简体"/>
          <w:sz w:val="44"/>
          <w:szCs w:val="44"/>
        </w:rPr>
      </w:pPr>
      <w:r>
        <w:rPr>
          <w:rFonts w:hint="eastAsia" w:ascii="黑体" w:hAnsi="仿宋" w:eastAsia="黑体" w:cs="方正小标宋简体"/>
          <w:sz w:val="44"/>
          <w:szCs w:val="44"/>
        </w:rPr>
        <w:t>202</w:t>
      </w:r>
      <w:r>
        <w:rPr>
          <w:rFonts w:ascii="黑体" w:hAnsi="仿宋" w:eastAsia="黑体" w:cs="方正小标宋简体"/>
          <w:sz w:val="44"/>
          <w:szCs w:val="44"/>
        </w:rPr>
        <w:t>3</w:t>
      </w:r>
      <w:r>
        <w:rPr>
          <w:rFonts w:hint="eastAsia" w:ascii="黑体" w:hAnsi="仿宋" w:eastAsia="黑体" w:cs="方正小标宋简体"/>
          <w:sz w:val="44"/>
          <w:szCs w:val="44"/>
        </w:rPr>
        <w:t>年度湘潭县城镇污水处理经费</w:t>
      </w:r>
    </w:p>
    <w:p>
      <w:pPr>
        <w:spacing w:line="576" w:lineRule="exact"/>
        <w:jc w:val="center"/>
        <w:rPr>
          <w:rFonts w:ascii="黑体" w:hAnsi="仿宋" w:eastAsia="黑体" w:cs="方正小标宋简体"/>
          <w:szCs w:val="32"/>
        </w:rPr>
      </w:pPr>
      <w:r>
        <w:rPr>
          <w:rFonts w:hint="eastAsia" w:ascii="黑体" w:hAnsi="仿宋" w:eastAsia="黑体" w:cs="方正小标宋简体"/>
          <w:bCs/>
          <w:sz w:val="44"/>
          <w:szCs w:val="44"/>
        </w:rPr>
        <w:t>项目支出绩效评价报告</w:t>
      </w:r>
    </w:p>
    <w:tbl>
      <w:tblPr>
        <w:tblStyle w:val="4"/>
        <w:tblW w:w="91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90"/>
        <w:gridCol w:w="65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部门概况</w:t>
            </w:r>
          </w:p>
        </w:tc>
        <w:tc>
          <w:tcPr>
            <w:tcW w:w="1390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项目名称</w:t>
            </w:r>
          </w:p>
        </w:tc>
        <w:tc>
          <w:tcPr>
            <w:tcW w:w="6528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202</w:t>
            </w: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年度湘潭县城镇污水处理经费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年度预算金额</w:t>
            </w:r>
          </w:p>
        </w:tc>
        <w:tc>
          <w:tcPr>
            <w:tcW w:w="6528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4200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项目主管部门</w:t>
            </w:r>
          </w:p>
        </w:tc>
        <w:tc>
          <w:tcPr>
            <w:tcW w:w="6528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湘潭县住房和城乡建设局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项目立项目的</w:t>
            </w:r>
          </w:p>
        </w:tc>
        <w:tc>
          <w:tcPr>
            <w:tcW w:w="6528" w:type="dxa"/>
          </w:tcPr>
          <w:p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根据</w:t>
            </w:r>
            <w:r>
              <w:rPr>
                <w:rFonts w:ascii="仿宋_GB2312" w:hAnsi="仿宋" w:eastAsia="仿宋_GB2312" w:cs="方正小标宋简体"/>
                <w:sz w:val="24"/>
              </w:rPr>
              <w:t>BOT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合同及补充协议约定，污水处理厂特许经营年限为30年，累计可处理污水约</w:t>
            </w:r>
            <w:r>
              <w:rPr>
                <w:rFonts w:ascii="仿宋_GB2312" w:hAnsi="仿宋" w:eastAsia="仿宋_GB2312" w:cs="方正小标宋简体"/>
                <w:sz w:val="24"/>
              </w:rPr>
              <w:t>42450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万吨，运行成本约</w:t>
            </w:r>
            <w:r>
              <w:rPr>
                <w:rFonts w:ascii="仿宋_GB2312" w:hAnsi="仿宋" w:eastAsia="仿宋_GB2312" w:cs="方正小标宋简体"/>
                <w:sz w:val="24"/>
              </w:rPr>
              <w:t>29280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万元，可确保城区污水得到有效处理，对改善湘江水质、保护城区饮用水水源起到举足轻重的作用，并杜绝了邯郸港泄洪区污水囤积腐化发臭的情况，污水处理的正常运行有着良好的社会效益和生态效益。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绩效情况</w:t>
            </w: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项目支出管理和使用基本情况</w:t>
            </w:r>
          </w:p>
        </w:tc>
        <w:tc>
          <w:tcPr>
            <w:tcW w:w="6528" w:type="dxa"/>
          </w:tcPr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第一污水处理厂总设计规模为日处理污水5万吨，分两期建设，汇水面积约25.27平方公里，服务人口约15万。一期采用卡努赛尔2000型氧化沟污水处理工艺，于2009年10月通过市环保局组织的环保竣工验收；二期采用微曝氧化沟的处理工艺，于2013年6月动工建设，2014年1月23日投入试运行，7月6日组织进行竣工验收，8月15日通过环保验收，12月1日进入正式运营。为更好的保护湘江水质，县污水处理厂对出水进行提标改造，2015年6月动工建设， 2016年12月14日进行了环保验收，由《城镇污水处理厂污染物综合排放标准》一级B标准，提升至一级A标准。</w:t>
            </w:r>
          </w:p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湘潭县第二污水处理厂采用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PPP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模式实施，分两期建设，其中一期工程设计规模为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2.5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万 </w:t>
            </w:r>
            <w:r>
              <w:rPr>
                <w:rFonts w:ascii="仿宋_GB2312" w:hAnsi="仿宋" w:eastAsia="仿宋_GB2312" w:cs="方正小标宋简体"/>
                <w:sz w:val="24"/>
              </w:rPr>
              <w:t>m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³</w:t>
            </w:r>
            <w:r>
              <w:rPr>
                <w:rFonts w:ascii="仿宋_GB2312" w:hAnsi="仿宋" w:eastAsia="仿宋_GB2312" w:cs="方正小标宋简体"/>
                <w:sz w:val="24"/>
              </w:rPr>
              <w:t>/d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，远期新增设计规模为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2.5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万 </w:t>
            </w:r>
            <w:r>
              <w:rPr>
                <w:rFonts w:ascii="仿宋_GB2312" w:hAnsi="仿宋" w:eastAsia="仿宋_GB2312" w:cs="方正小标宋简体"/>
                <w:sz w:val="24"/>
              </w:rPr>
              <w:t>m³/d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；项目实行投资、设计、建设、运营、移交一体化的运作方式。项目合作期限：拟定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30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年，包括建设期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18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个月、运营期；项目运作模式：采用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BOT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模式（建设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经营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转让）；项目回报机制：本项目实行使用者付费</w:t>
            </w:r>
            <w:r>
              <w:rPr>
                <w:rFonts w:ascii="仿宋_GB2312" w:hAnsi="仿宋" w:eastAsia="仿宋_GB2312" w:cs="方正小标宋简体"/>
                <w:sz w:val="24"/>
              </w:rPr>
              <w:t>+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政府可行性缺口补助的付费方式（使用者付费</w:t>
            </w:r>
            <w:r>
              <w:rPr>
                <w:rFonts w:ascii="仿宋_GB2312" w:hAnsi="仿宋" w:eastAsia="仿宋_GB2312" w:cs="方正小标宋简体"/>
                <w:sz w:val="24"/>
              </w:rPr>
              <w:t>=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污水处理单价</w:t>
            </w:r>
            <w:r>
              <w:rPr>
                <w:rFonts w:ascii="仿宋_GB2312" w:hAnsi="仿宋" w:eastAsia="仿宋_GB2312" w:cs="方正小标宋简体"/>
                <w:sz w:val="24"/>
              </w:rPr>
              <w:t>×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月实际污水处理量，政府年可行性缺口补助</w:t>
            </w:r>
            <w:r>
              <w:rPr>
                <w:rFonts w:ascii="仿宋_GB2312" w:hAnsi="仿宋" w:eastAsia="仿宋_GB2312" w:cs="方正小标宋简体"/>
                <w:sz w:val="24"/>
              </w:rPr>
              <w:t>=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污水处理服务费单价</w:t>
            </w:r>
            <w:r>
              <w:rPr>
                <w:rFonts w:ascii="仿宋_GB2312" w:hAnsi="仿宋" w:eastAsia="仿宋_GB2312" w:cs="方正小标宋简体"/>
                <w:sz w:val="24"/>
              </w:rPr>
              <w:t>×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年污水处理量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使用者付费）。 污水处理工艺采用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A/A/O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工艺，深度处理采用高效沉淀池</w:t>
            </w:r>
            <w:r>
              <w:rPr>
                <w:rFonts w:ascii="仿宋_GB2312" w:hAnsi="仿宋" w:eastAsia="仿宋_GB2312" w:cs="方正小标宋简体"/>
                <w:sz w:val="24"/>
              </w:rPr>
              <w:t>+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反硝化滤池工艺，处理后出水采用紫外线消毒，污泥处理采用板框压滤，出水水质执行《城镇污水处理厂污染物排放标准》（</w:t>
            </w:r>
            <w:r>
              <w:rPr>
                <w:rFonts w:ascii="仿宋_GB2312" w:hAnsi="仿宋" w:eastAsia="仿宋_GB2312" w:cs="方正小标宋简体"/>
                <w:sz w:val="24"/>
              </w:rPr>
              <w:t>GB 18918-2002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）一级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A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标准，厂区出水进一步通过人工湿地等相关工艺深度净化，部分用于厂区绿化灌溉。</w:t>
            </w:r>
          </w:p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项目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排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4200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元，其中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由自来水费代收的污水处理费基金收入安排1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00万元、预算内资金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2500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万元。主要用于支付污水处理厂污水处理费、污泥厂污泥处置费、京湘供水公司代征手续费、易俗河水利站电费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、乡镇垃圾处理服务费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等。</w:t>
            </w:r>
          </w:p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1、资金到位情况</w:t>
            </w:r>
          </w:p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  <w:highlight w:val="none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截至202</w:t>
            </w: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年12月31日，202</w:t>
            </w: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年湘潭县城镇污水处理经费项目专项资金实际收到财政资金</w:t>
            </w:r>
            <w:r>
              <w:rPr>
                <w:rFonts w:ascii="仿宋_GB2312" w:hAnsi="仿宋" w:eastAsia="仿宋_GB2312" w:cs="方正小标宋简体"/>
                <w:sz w:val="24"/>
                <w:highlight w:val="none"/>
              </w:rPr>
              <w:t>2500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万元，收到政府性基金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1300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万元，共计收到项目资金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3800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万元。资金到位率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90.48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%。</w:t>
            </w: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资金使用情况</w:t>
            </w:r>
          </w:p>
          <w:p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202</w:t>
            </w:r>
            <w:r>
              <w:rPr>
                <w:rFonts w:ascii="仿宋_GB2312" w:hAnsi="仿宋" w:eastAsia="仿宋_GB2312" w:cs="方正小标宋简体"/>
                <w:sz w:val="24"/>
                <w:highlight w:val="none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年支付污水处理费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3047.13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万元，污泥处理费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177.4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万元，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eastAsia="zh-CN"/>
              </w:rPr>
              <w:t>乡镇垃圾处理服务费等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300.5万元，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京湘供水公司代征手续费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55.44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万元，电费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共计支付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3600.47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万元。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2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项目绩效目标完成情况</w:t>
            </w:r>
          </w:p>
        </w:tc>
        <w:tc>
          <w:tcPr>
            <w:tcW w:w="6528" w:type="dxa"/>
          </w:tcPr>
          <w:p>
            <w:pPr>
              <w:pStyle w:val="6"/>
              <w:ind w:firstLine="480"/>
              <w:rPr>
                <w:rFonts w:cs="方正小标宋简体"/>
                <w:sz w:val="24"/>
              </w:rPr>
            </w:pPr>
          </w:p>
          <w:p>
            <w:pPr>
              <w:pStyle w:val="6"/>
              <w:ind w:firstLine="480"/>
              <w:rPr>
                <w:rFonts w:cs="方正小标宋简体"/>
                <w:sz w:val="24"/>
              </w:rPr>
            </w:pPr>
            <w:r>
              <w:rPr>
                <w:rFonts w:hint="eastAsia" w:cs="方正小标宋简体"/>
                <w:sz w:val="24"/>
              </w:rPr>
              <w:t>202</w:t>
            </w:r>
            <w:r>
              <w:rPr>
                <w:rFonts w:cs="方正小标宋简体"/>
                <w:sz w:val="24"/>
              </w:rPr>
              <w:t>3</w:t>
            </w:r>
            <w:r>
              <w:rPr>
                <w:rFonts w:hint="eastAsia" w:cs="方正小标宋简体"/>
                <w:sz w:val="24"/>
              </w:rPr>
              <w:t>年度本项目的目标已实现，其具体完成情况如下：</w:t>
            </w:r>
          </w:p>
          <w:tbl>
            <w:tblPr>
              <w:tblStyle w:val="4"/>
              <w:tblW w:w="5000" w:type="pct"/>
              <w:jc w:val="center"/>
              <w:tblBorders>
                <w:top w:val="single" w:color="auto" w:sz="18" w:space="0"/>
                <w:left w:val="none" w:color="auto" w:sz="0" w:space="0"/>
                <w:bottom w:val="single" w:color="auto" w:sz="18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20"/>
              <w:gridCol w:w="1428"/>
              <w:gridCol w:w="2664"/>
            </w:tblGrid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  <w:jc w:val="center"/>
              </w:trPr>
              <w:tc>
                <w:tcPr>
                  <w:tcW w:w="1759" w:type="pct"/>
                  <w:tcBorders>
                    <w:top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预期目标</w:t>
                  </w:r>
                </w:p>
              </w:tc>
              <w:tc>
                <w:tcPr>
                  <w:tcW w:w="1131" w:type="pct"/>
                  <w:tcBorders>
                    <w:top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0" w:firstLineChars="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完成情况</w:t>
                  </w:r>
                </w:p>
              </w:tc>
              <w:tc>
                <w:tcPr>
                  <w:tcW w:w="2110" w:type="pct"/>
                  <w:tcBorders>
                    <w:top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66" w:hRule="exact"/>
                <w:jc w:val="center"/>
              </w:trPr>
              <w:tc>
                <w:tcPr>
                  <w:tcW w:w="1759" w:type="pct"/>
                </w:tcPr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预计2023年污水处理量2774万吨</w:t>
                  </w:r>
                </w:p>
              </w:tc>
              <w:tc>
                <w:tcPr>
                  <w:tcW w:w="1131" w:type="pct"/>
                </w:tcPr>
                <w:p>
                  <w:pPr>
                    <w:rPr>
                      <w:rFonts w:hint="default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本年一污厂处理2006.44万吨，二污厂处理558.33万吨，全年共计处理2564.77万吨，完成率92.46%</w:t>
                  </w:r>
                </w:p>
              </w:tc>
              <w:tc>
                <w:tcPr>
                  <w:tcW w:w="2110" w:type="pct"/>
                </w:tcPr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  <w:p>
                  <w:pP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" w:eastAsia="仿宋_GB2312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一污厂根据BOT协议保底水量5万吨/天，二污厂预计约2.2万吨/天，预测2023年平均处理水量为7.6万吨/天。</w:t>
                  </w: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8" w:hRule="exact"/>
                <w:jc w:val="center"/>
              </w:trPr>
              <w:tc>
                <w:tcPr>
                  <w:tcW w:w="1759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出水水质按国家相关规范和标准执行。COD、BOD、SS、氨氮、总磷、总氮、粪大肠杆菌等</w:t>
                  </w:r>
                </w:p>
              </w:tc>
              <w:tc>
                <w:tcPr>
                  <w:tcW w:w="1131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COD削减量3456.85万吨，氨氮削减量499.46万吨。</w:t>
                  </w:r>
                </w:p>
              </w:tc>
              <w:tc>
                <w:tcPr>
                  <w:tcW w:w="2110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出水水质满足《城镇污水处理厂污染物排放标准》（GB18918-2002）一级A标准规定的排放标准；100%达标排放。</w:t>
                  </w: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9" w:hRule="exact"/>
                <w:jc w:val="center"/>
              </w:trPr>
              <w:tc>
                <w:tcPr>
                  <w:tcW w:w="1759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城镇污水处理经费预计</w:t>
                  </w:r>
                  <w:r>
                    <w:rPr>
                      <w:sz w:val="21"/>
                      <w:szCs w:val="21"/>
                    </w:rPr>
                    <w:t>4200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1131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3600.47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2110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实收</w:t>
                  </w: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3800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56" w:hRule="exact"/>
                <w:jc w:val="center"/>
              </w:trPr>
              <w:tc>
                <w:tcPr>
                  <w:tcW w:w="1759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保护城区饮用水水源，调查表满意度90%以上</w:t>
                  </w:r>
                </w:p>
              </w:tc>
              <w:tc>
                <w:tcPr>
                  <w:tcW w:w="1131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主管部门监察记录，核查是否有因污水处理厂处理未满负荷导致污水直排现象。</w:t>
                  </w: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4" w:hRule="exact"/>
                <w:jc w:val="center"/>
              </w:trPr>
              <w:tc>
                <w:tcPr>
                  <w:tcW w:w="1759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有效确保非雨季城区污水得到有效处理排放。</w:t>
                  </w:r>
                </w:p>
              </w:tc>
              <w:tc>
                <w:tcPr>
                  <w:tcW w:w="1131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560"/>
                  </w:pPr>
                </w:p>
              </w:tc>
            </w:tr>
            <w:tr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4" w:hRule="exact"/>
                <w:jc w:val="center"/>
              </w:trPr>
              <w:tc>
                <w:tcPr>
                  <w:tcW w:w="1759" w:type="pct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城镇居民满意度90%以上</w:t>
                  </w:r>
                </w:p>
              </w:tc>
              <w:tc>
                <w:tcPr>
                  <w:tcW w:w="1131" w:type="pct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pStyle w:val="6"/>
                    <w:adjustRightInd w:val="0"/>
                    <w:snapToGrid w:val="0"/>
                    <w:ind w:firstLine="560"/>
                  </w:pPr>
                </w:p>
              </w:tc>
            </w:tr>
          </w:tbl>
          <w:p>
            <w:pPr>
              <w:pStyle w:val="6"/>
              <w:ind w:firstLine="0" w:firstLineChars="0"/>
              <w:rPr>
                <w:rFonts w:cs="方正小标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存在的问题分析及改进措施</w:t>
            </w: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</w:t>
            </w:r>
          </w:p>
        </w:tc>
        <w:tc>
          <w:tcPr>
            <w:tcW w:w="6528" w:type="dxa"/>
            <w:vAlign w:val="center"/>
          </w:tcPr>
          <w:p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1、由于财政资金紧张，污水处理费项目资金未能按计划及时支付。</w:t>
            </w:r>
          </w:p>
          <w:p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、实际污水处理量大于计划处理量影响的原因。本项目每年度计划污水处理量是由上年度处理量制定，而实际污水处理量受多方因素影响，因而会导致实际污水处理量及费用和计划污水处理量、费用出现差异，而污水处理单价实行梯度计费，因此污水处理费用的实际支出与年初计划金额存在偏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改进措施</w:t>
            </w:r>
          </w:p>
        </w:tc>
        <w:tc>
          <w:tcPr>
            <w:tcW w:w="6528" w:type="dxa"/>
            <w:vAlign w:val="center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1、在资金充裕的情况下，我局会严格按照相关规定按月拨付污水处理款项。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2、从多方面考虑污水处理量，更精准的预测下一年度污水处理量。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242" w:type="dxa"/>
            <w:vMerge w:val="continue"/>
            <w:tcBorders>
              <w:bottom w:val="single" w:color="auto" w:sz="12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其他需要说明问题</w:t>
            </w:r>
          </w:p>
        </w:tc>
        <w:tc>
          <w:tcPr>
            <w:tcW w:w="6528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B99A5"/>
    <w:multiLevelType w:val="singleLevel"/>
    <w:tmpl w:val="273B99A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AE59DC"/>
    <w:rsid w:val="00010D17"/>
    <w:rsid w:val="000533C0"/>
    <w:rsid w:val="0005436A"/>
    <w:rsid w:val="0009249F"/>
    <w:rsid w:val="000C0153"/>
    <w:rsid w:val="000D7F34"/>
    <w:rsid w:val="0012347E"/>
    <w:rsid w:val="001B6834"/>
    <w:rsid w:val="00224535"/>
    <w:rsid w:val="002274ED"/>
    <w:rsid w:val="00232B5E"/>
    <w:rsid w:val="00257AC2"/>
    <w:rsid w:val="002A3E8E"/>
    <w:rsid w:val="002C22E2"/>
    <w:rsid w:val="0031165E"/>
    <w:rsid w:val="003319DE"/>
    <w:rsid w:val="003B03B4"/>
    <w:rsid w:val="003B65DA"/>
    <w:rsid w:val="003E08C2"/>
    <w:rsid w:val="004076B8"/>
    <w:rsid w:val="00417DA3"/>
    <w:rsid w:val="00433519"/>
    <w:rsid w:val="00443F70"/>
    <w:rsid w:val="00446125"/>
    <w:rsid w:val="00450F0C"/>
    <w:rsid w:val="00457565"/>
    <w:rsid w:val="004673BF"/>
    <w:rsid w:val="004A2EF1"/>
    <w:rsid w:val="004A3990"/>
    <w:rsid w:val="004C1AD0"/>
    <w:rsid w:val="004C46BC"/>
    <w:rsid w:val="00504CC0"/>
    <w:rsid w:val="00523962"/>
    <w:rsid w:val="00544AF9"/>
    <w:rsid w:val="00591551"/>
    <w:rsid w:val="005C1304"/>
    <w:rsid w:val="006011F3"/>
    <w:rsid w:val="006A72DD"/>
    <w:rsid w:val="006B7232"/>
    <w:rsid w:val="006C7E72"/>
    <w:rsid w:val="0075608D"/>
    <w:rsid w:val="00764593"/>
    <w:rsid w:val="007B4870"/>
    <w:rsid w:val="0080746F"/>
    <w:rsid w:val="008C115D"/>
    <w:rsid w:val="008C315B"/>
    <w:rsid w:val="008C5961"/>
    <w:rsid w:val="008F50FF"/>
    <w:rsid w:val="00905C09"/>
    <w:rsid w:val="00962D86"/>
    <w:rsid w:val="0096682C"/>
    <w:rsid w:val="009A3B54"/>
    <w:rsid w:val="009E2D16"/>
    <w:rsid w:val="00A22550"/>
    <w:rsid w:val="00A87580"/>
    <w:rsid w:val="00AE59DC"/>
    <w:rsid w:val="00B01FFE"/>
    <w:rsid w:val="00B23DB8"/>
    <w:rsid w:val="00B27961"/>
    <w:rsid w:val="00B64A26"/>
    <w:rsid w:val="00BE0D4F"/>
    <w:rsid w:val="00C33766"/>
    <w:rsid w:val="00C34464"/>
    <w:rsid w:val="00C37CF3"/>
    <w:rsid w:val="00C70067"/>
    <w:rsid w:val="00CB5868"/>
    <w:rsid w:val="00CC1CFC"/>
    <w:rsid w:val="00CF3C95"/>
    <w:rsid w:val="00D03D51"/>
    <w:rsid w:val="00D0598A"/>
    <w:rsid w:val="00D1598E"/>
    <w:rsid w:val="00D37F88"/>
    <w:rsid w:val="00D94862"/>
    <w:rsid w:val="00DB016A"/>
    <w:rsid w:val="00DB4289"/>
    <w:rsid w:val="00DD5F2F"/>
    <w:rsid w:val="00DE1E8F"/>
    <w:rsid w:val="00DE5725"/>
    <w:rsid w:val="00E00A6C"/>
    <w:rsid w:val="00EE4F0D"/>
    <w:rsid w:val="00F13FCE"/>
    <w:rsid w:val="00F54914"/>
    <w:rsid w:val="00F66026"/>
    <w:rsid w:val="00F914E2"/>
    <w:rsid w:val="00F93FA2"/>
    <w:rsid w:val="00FD2265"/>
    <w:rsid w:val="030763D0"/>
    <w:rsid w:val="173700AB"/>
    <w:rsid w:val="18834D1F"/>
    <w:rsid w:val="2CDF7C6C"/>
    <w:rsid w:val="3ECE2D67"/>
    <w:rsid w:val="43B62307"/>
    <w:rsid w:val="4729356C"/>
    <w:rsid w:val="55B650D5"/>
    <w:rsid w:val="5B1276F8"/>
    <w:rsid w:val="638A41A8"/>
    <w:rsid w:val="6E905DB3"/>
    <w:rsid w:val="798302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字符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_Style 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1719</Words>
  <Characters>1938</Characters>
  <Lines>14</Lines>
  <Paragraphs>4</Paragraphs>
  <TotalTime>51</TotalTime>
  <ScaleCrop>false</ScaleCrop>
  <LinksUpToDate>false</LinksUpToDate>
  <CharactersWithSpaces>1959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2019-09-04T08:52:00Z</dcterms:created>
  <dc:creator>微软中国</dc:creator>
  <cp:lastModifiedBy>Administrator</cp:lastModifiedBy>
  <dcterms:modified xsi:type="dcterms:W3CDTF">2024-05-28T02:03:25Z</dcterms:modified>
  <dc:title>附件5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8EFC02167B424A0E9DF349F36C3A03B5</vt:lpwstr>
  </property>
</Properties>
</file>