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宋体" w:hAnsi="宋体" w:eastAsia="宋体"/>
          <w:color w:val="000000" w:themeColor="text1"/>
        </w:rPr>
      </w:pPr>
      <w:r>
        <w:rPr>
          <w:rFonts w:hint="eastAsia" w:ascii="宋体" w:hAnsi="宋体" w:eastAsia="宋体"/>
          <w:color w:val="000000" w:themeColor="text1"/>
        </w:rPr>
        <w:t>2016年锦石乡部门决算</w:t>
      </w:r>
      <w:r>
        <w:rPr>
          <w:rFonts w:hint="eastAsia" w:ascii="宋体" w:hAnsi="宋体" w:eastAsia="宋体"/>
          <w:color w:val="000000" w:themeColor="text1"/>
          <w:lang w:eastAsia="zh-CN"/>
        </w:rPr>
        <w:t>公开</w:t>
      </w:r>
      <w:r>
        <w:rPr>
          <w:rFonts w:hint="eastAsia" w:ascii="宋体" w:hAnsi="宋体" w:eastAsia="宋体"/>
          <w:color w:val="000000" w:themeColor="text1"/>
        </w:rPr>
        <w:t>报告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</w:rPr>
      </w:pP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</w:rPr>
      </w:pPr>
      <w:r>
        <w:rPr>
          <w:rFonts w:hint="eastAsia" w:ascii="黑体" w:hAnsi="黑体"/>
          <w:color w:val="000000" w:themeColor="text1"/>
          <w:sz w:val="32"/>
        </w:rPr>
        <w:t>一、部门（单位）情况</w:t>
      </w:r>
    </w:p>
    <w:p>
      <w:pPr>
        <w:pStyle w:val="3"/>
        <w:spacing w:line="560" w:lineRule="exact"/>
        <w:ind w:left="643"/>
        <w:jc w:val="both"/>
        <w:rPr>
          <w:rFonts w:ascii="楷体" w:hAnsi="楷体" w:eastAsia="楷体"/>
          <w:color w:val="000000" w:themeColor="text1"/>
          <w:sz w:val="32"/>
        </w:rPr>
      </w:pPr>
      <w:r>
        <w:rPr>
          <w:rFonts w:hint="eastAsia" w:ascii="楷体" w:hAnsi="楷体" w:eastAsia="楷体"/>
          <w:color w:val="000000" w:themeColor="text1"/>
          <w:sz w:val="32"/>
        </w:rPr>
        <w:t>（一）基本情况</w:t>
      </w:r>
    </w:p>
    <w:p>
      <w:pPr>
        <w:spacing w:after="0" w:line="560" w:lineRule="exact"/>
        <w:ind w:firstLine="803" w:firstLineChars="25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1、主要职能</w:t>
      </w:r>
    </w:p>
    <w:p>
      <w:pPr>
        <w:pStyle w:val="12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（1）制定和组织实施经济、科技和社会发展计划，制定资源开发技术改造和产业结构调整方案，组织指导好各业生产，搞好商品流通，协调好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:lang w:eastAsia="zh-CN"/>
        </w:rPr>
        <w:t>本乡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与外地区的经济交流与合作，抓好招商引资，人才引进项目开发，不断培育市场体系，组织经济运行，促进经济发展。</w:t>
      </w:r>
    </w:p>
    <w:p>
      <w:pPr>
        <w:pStyle w:val="12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（2）制定并组织实施村镇建设规划，部署重点工程建设，地方道路建设及公共设施，水利设施的管理，负责土地、林木、水等自然资源和生态环境的保护，做好护林防火工作。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pStyle w:val="12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（3）负责本行政区域内的民政、计划生育、文化教育、卫生、体育等社会公益事业的综合性工作，维护一切经济单位和个人的正当经济权益</w:t>
      </w: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，取缔非法经济活动，调解和处理民事纠纷，打击刑事犯罪维护社会稳定。</w:t>
      </w:r>
    </w:p>
    <w:p>
      <w:pPr>
        <w:pStyle w:val="12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（4）按计划组织本级财政收入和地方税的征收，完成国家财政计划，不断培植税源，管好财政资金，增强财政实力。</w:t>
      </w:r>
    </w:p>
    <w:p>
      <w:pPr>
        <w:pStyle w:val="12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（5）抓好精神文明建设，丰富群众文化生活，提倡移风易俗，反对封建迷信，破除陈规陋习，树立社会主义新风尚。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</w:p>
    <w:p>
      <w:pPr>
        <w:spacing w:after="0" w:line="560" w:lineRule="exact"/>
        <w:ind w:firstLine="643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2、机构人员情况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2016年本乡共有机构数11个，其中行政单位5个，事业单位6个，实有人数116人，其中在职80人，退休27人，遗属补助9人，在职行政人员30人，事业人员50人，其中政府24人、财政11人、计生10人、推广服务中心15人、林业4人、水管4人、规划4人、文化广播1人。</w:t>
      </w:r>
    </w:p>
    <w:p>
      <w:pPr>
        <w:pStyle w:val="12"/>
        <w:spacing w:after="0" w:line="560" w:lineRule="exact"/>
        <w:ind w:left="643" w:firstLine="0" w:firstLineChars="0"/>
        <w:jc w:val="both"/>
        <w:rPr>
          <w:rFonts w:ascii="楷体" w:hAnsi="楷体" w:eastAsia="楷体"/>
          <w:b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（二）当年取得的主要事业成效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我乡主动适应新常态，牢固树立新理念，坚持科学决策，积极应对，做到了总量与质量并重、速度与效益并举，有力推动了乡域经济综合实力显著提升。</w:t>
      </w:r>
    </w:p>
    <w:p>
      <w:pPr>
        <w:pStyle w:val="9"/>
        <w:shd w:val="clear" w:color="auto" w:fill="FFFFFF"/>
        <w:spacing w:line="560" w:lineRule="exact"/>
        <w:ind w:firstLine="643" w:firstLineChars="200"/>
        <w:jc w:val="both"/>
        <w:rPr>
          <w:rFonts w:ascii="仿宋" w:hAnsi="仿宋" w:eastAsia="仿宋" w:cs="楷体_GB2312"/>
          <w:b/>
          <w:bCs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 w:cs="楷体_GB2312"/>
          <w:b/>
          <w:bCs/>
          <w:color w:val="000000" w:themeColor="text1"/>
          <w:kern w:val="2"/>
          <w:sz w:val="32"/>
          <w:szCs w:val="32"/>
        </w:rPr>
        <w:t>1.经济指标稳步推进。</w:t>
      </w:r>
    </w:p>
    <w:p>
      <w:pPr>
        <w:pStyle w:val="9"/>
        <w:shd w:val="clear" w:color="auto" w:fill="FFFFFF"/>
        <w:spacing w:line="560" w:lineRule="exact"/>
        <w:ind w:firstLine="800" w:firstLineChars="250"/>
        <w:jc w:val="both"/>
        <w:rPr>
          <w:rFonts w:ascii="仿宋" w:hAnsi="仿宋" w:eastAsia="仿宋" w:cs="Times New Roman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我乡政府会同国、地税部门在税收宣传月开展宣传教育活动，在增强全民纳税意识的同时，及时落实征管措施，强化征管责任，健全各项机制，确保了税收收入稳步增长，形成了“党政一把手亲自抓，分管领导主要抓，相关部门协助抓，专门班子具体抓”的良好氛围。</w:t>
      </w:r>
      <w: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</w:rPr>
        <w:t>2016年圆满完成两税收入312万元，其中：国税86万元、地税226万元。同时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围绕经济工作部署，突出工作重点，服务经济建设大局，加大对基础设施、民生领域等方面的资金投入力度。</w:t>
      </w:r>
    </w:p>
    <w:p>
      <w:pPr>
        <w:spacing w:after="0" w:line="560" w:lineRule="exact"/>
        <w:ind w:firstLine="643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2、深化改革加强管理。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2016年我乡在国库支付改革的基础上建立健全了有关规章制度，严格按财经审批程序执行，合理调度各类资金，保证了工资的按时发放，并使有限的资金发挥了最大的效益，在财政监督上，党政主要领导从自身做起，严格执行县公务消费管理办法，维护了正常的财经秩序，全年“三公”经费较去年同期共计减少25万。</w:t>
      </w:r>
    </w:p>
    <w:p>
      <w:pPr>
        <w:pStyle w:val="9"/>
        <w:shd w:val="clear" w:color="auto" w:fill="FFFFFF"/>
        <w:spacing w:line="560" w:lineRule="exact"/>
        <w:ind w:firstLine="643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 xml:space="preserve">3、统筹兼顾保障重点。  </w:t>
      </w:r>
    </w:p>
    <w:p>
      <w:pPr>
        <w:pStyle w:val="9"/>
        <w:shd w:val="clear" w:color="auto" w:fill="FFFFFF"/>
        <w:spacing w:line="560" w:lineRule="exact"/>
        <w:ind w:firstLine="640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我乡按照“优化结构、有保有压、突出重点、兼顾其他”的原则，通过筹资控支，合理调度资金，充分利用各种关系，积极多渠道争取资金,在城乡建设任务繁重，投入较大的同时，没有加重农民负担，没有占用、克扣专项资金，没有影响机关的正常运转，正确处理适度负债和经济持续发展的关系，克服守摊思想，下大的魄力，加大投入力度，致力于打破经济发展的瓶颈，改变落后的基础设施面貌。通过加大投入力度，实现了投入与发展的良性互动，保证了政府工作正常有序的运转和各项事业的发展，大大地增强了全乡干群快速发展的自信心。</w:t>
      </w:r>
    </w:p>
    <w:p>
      <w:pPr>
        <w:widowControl w:val="0"/>
        <w:adjustRightInd/>
        <w:snapToGrid/>
        <w:spacing w:after="0" w:line="560" w:lineRule="exact"/>
        <w:ind w:firstLine="643" w:firstLineChars="200"/>
        <w:jc w:val="both"/>
        <w:rPr>
          <w:rFonts w:ascii="仿宋" w:hAnsi="仿宋" w:eastAsia="仿宋" w:cs="楷体_GB2312"/>
          <w:b/>
          <w:bCs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 w:cs="楷体_GB2312"/>
          <w:b/>
          <w:bCs/>
          <w:color w:val="000000" w:themeColor="text1"/>
          <w:kern w:val="2"/>
          <w:sz w:val="32"/>
          <w:szCs w:val="32"/>
        </w:rPr>
        <w:t>4.助力村级经济发展。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 w:cs="楷体_GB2312"/>
          <w:bCs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 w:cs="楷体_GB2312"/>
          <w:bCs/>
          <w:color w:val="000000" w:themeColor="text1"/>
          <w:kern w:val="2"/>
          <w:sz w:val="32"/>
          <w:szCs w:val="32"/>
        </w:rPr>
        <w:t>2016年完成扶持村级集体经济力量，通过对碧泉村槟榔加工厂厂房建设的支持，政府政策引导，各部门能动起来，给村级经济发展提供软、硬件支持。让村级集体经济具备造血功能，发展当地影响周边村级的思路和发展。锦石乡以碧泉潭文化为核心突出绿色、文化为重点发展锦石乡经济，目前以完成对碧泉潭沿线的道路拓宽项目投入，同步的有省设计院给出的发展规划图，美好锦石从村级经济发展为基点，愿锦石的发展更美好。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</w:rPr>
      </w:pPr>
      <w:r>
        <w:rPr>
          <w:rFonts w:hint="eastAsia" w:ascii="黑体" w:hAnsi="黑体"/>
          <w:color w:val="000000" w:themeColor="text1"/>
          <w:sz w:val="32"/>
        </w:rPr>
        <w:t>二、收入支出预算执行情况分析</w:t>
      </w:r>
    </w:p>
    <w:p>
      <w:pPr>
        <w:pStyle w:val="12"/>
        <w:spacing w:after="0" w:line="560" w:lineRule="exact"/>
        <w:ind w:left="643" w:firstLine="0" w:firstLineChars="0"/>
        <w:jc w:val="both"/>
        <w:rPr>
          <w:rFonts w:ascii="楷体" w:hAnsi="楷体" w:eastAsia="楷体"/>
          <w:b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（一）收入支出预算安排情况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一、财政收入预算：财政收入预算安排为1996万元，较上年完成数增长2.6%。其中：公共财政预算收入安排1407万元，一般预算外收入589万元。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二、财政支出预算：按照现行财政体制计算，2016年可供支出的预算财力为1996万元，较上年预算增长2.6%。其中：公共财政预算收入安排1407万元，一般预算外收入589万元。</w:t>
      </w:r>
    </w:p>
    <w:p>
      <w:pPr>
        <w:pStyle w:val="12"/>
        <w:spacing w:after="0" w:line="560" w:lineRule="exact"/>
        <w:ind w:left="643" w:firstLine="0" w:firstLineChars="0"/>
        <w:jc w:val="both"/>
        <w:rPr>
          <w:rFonts w:ascii="楷体" w:hAnsi="楷体" w:eastAsia="楷体"/>
          <w:b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（二）收入支出执行情况</w:t>
      </w:r>
    </w:p>
    <w:p>
      <w:pPr>
        <w:spacing w:after="0" w:line="560" w:lineRule="exact"/>
        <w:ind w:left="8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1、财政收支执行情况</w:t>
      </w:r>
    </w:p>
    <w:p>
      <w:pPr>
        <w:spacing w:after="0" w:line="560" w:lineRule="exact"/>
        <w:ind w:left="709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（（1）财政收入执行情况：财政总收入2994万元。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1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①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县财政拨款收入1964万元；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2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②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上级补助收入1030万元；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（2）财政支出执行情况：财政总支出2994万元,其中人员经费795万元，日常公用经费2199万元；</w:t>
      </w:r>
    </w:p>
    <w:p>
      <w:pPr>
        <w:spacing w:after="0" w:line="560" w:lineRule="exact"/>
        <w:ind w:left="709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1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①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一般公共服务支出1014万元，其中政府支出326万元，财政事务支出136万元，发展与改革事务支出462万，税收事务支出90万元；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2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②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文化体育与传媒支出28万元；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3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③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社会保障和就业支出48万元；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4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④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医疗卫生与计划生育支出130万元；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5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⑤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城乡社区规划与管理支出66万元；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6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⑥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农林水务支出1602万元，其中农业支出163万元，林业支出82万元，水利支出434万元，农村综合改革支出923万元；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7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⑦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安全生产监管支出56万元；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8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⑧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公共安全支出40万元；</w:t>
      </w:r>
    </w:p>
    <w:p>
      <w:pPr>
        <w:pStyle w:val="12"/>
        <w:spacing w:after="0" w:line="560" w:lineRule="exact"/>
        <w:ind w:firstLine="800" w:firstLineChars="2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fldChar w:fldCharType="begin"/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instrText xml:space="preserve">= 9 \* GB3</w:instrText>
      </w:r>
      <w:r>
        <w:rPr>
          <w:rFonts w:ascii="仿宋" w:hAnsi="仿宋" w:eastAsia="仿宋"/>
          <w:color w:val="000000" w:themeColor="text1"/>
          <w:sz w:val="32"/>
          <w:szCs w:val="32"/>
        </w:rPr>
        <w:instrText xml:space="preserve"> </w:instrTex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⑨</w:t>
      </w:r>
      <w:r>
        <w:rPr>
          <w:rFonts w:ascii="仿宋" w:hAnsi="仿宋" w:eastAsia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其他支出10万元；</w:t>
      </w:r>
    </w:p>
    <w:p>
      <w:pPr>
        <w:pStyle w:val="12"/>
        <w:spacing w:after="0" w:line="560" w:lineRule="exact"/>
        <w:ind w:left="640" w:firstLine="161" w:firstLineChars="5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2、收入支出结构分析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各项收入占总收入的比重，各项支出占总支出的比重：</w:t>
      </w:r>
    </w:p>
    <w:p>
      <w:pPr>
        <w:spacing w:after="0"/>
        <w:ind w:firstLine="160" w:firstLineChars="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drawing>
          <wp:inline distT="0" distB="0" distL="0" distR="0">
            <wp:extent cx="5219700" cy="3086100"/>
            <wp:effectExtent l="1905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spacing w:after="0"/>
        <w:ind w:firstLine="160" w:firstLineChars="5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drawing>
          <wp:inline distT="0" distB="0" distL="0" distR="0">
            <wp:extent cx="5334000" cy="4591050"/>
            <wp:effectExtent l="1905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spacing w:after="0" w:line="560" w:lineRule="exact"/>
        <w:ind w:firstLine="643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3、重点经济分类支出执行情况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（1）三公消费2015年支出578563元，2016年支出267743元，相比去年节约310820元，减少53.72%，进一步降低了行政运行成本。</w:t>
      </w:r>
    </w:p>
    <w:p>
      <w:pPr>
        <w:pStyle w:val="12"/>
        <w:spacing w:after="0" w:line="560" w:lineRule="exact"/>
        <w:ind w:left="640" w:firstLine="0" w:firstLineChars="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（2）重点经济分类支出今后改进措施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一是经费预算从紧。各部门要按照厉行勤俭节约、防止铺张浪费的原则，严格控制“三公”经费全年支出总额在机关运行经费预算总额中的规模和比例。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二是公务接待从俭。公务接待坚持经费控制、联审联签、公开透明、科目单列、节约简朴原则。账务处理实行“两单一票”制度，即派餐单、菜单和发票齐全方可支出。派餐单上须注明接待对象、人数、接待标准等，经办人必须签字。“两单一票”不齐全的，不得进行账务处理，记入账务的一律视为违规支出。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三是会议经费从严。控制会议时间、会议规模，能够简化的会议形式一定简化。会议费报销时需提供会议审批文件、会议通知及实际参会人员签到表、定点会议场所等会议服务单位提供的费用原始明细单据、电子结算单等凭证。严格按规定审核会议费开支，对未列入年度会议计划，以及超范围、超标准开支的经费不予报销。</w:t>
      </w:r>
    </w:p>
    <w:p>
      <w:pPr>
        <w:spacing w:after="0" w:line="560" w:lineRule="exact"/>
        <w:ind w:firstLine="643" w:firstLineChars="200"/>
        <w:jc w:val="both"/>
        <w:rPr>
          <w:rFonts w:ascii="仿宋" w:hAnsi="仿宋" w:eastAsia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</w:rPr>
        <w:t>4、当年预算执行中存在的问题、原因及改进措施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（1）当年预算执行中存在的问题、原因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一是2016年县政府在体制经费结算中加大了对乡镇的投入，我乡收入总量上虽然较往年提高，但机构改革后，乡财政负担的人员经费大幅增加消化了这部分增量，造成乡财政的可用财力仍然不多；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二近几年来的基础设施建设造成一定负债，虽千方百计争取资金，但仍然有不少资金缺口，造成财力紧张；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三是化解乡村两级历史负债需占用当年度可用财力（如欠发工资、集资款、工程欠款、历史决算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>乡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欠县财政资金），使得本级财政异常吃力；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四是仍然存在乡财政资金调拨速度较之以前变慢，调配力度变小的情况，乡村两级均感到资金运转压力较大。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（2）改进措施</w:t>
      </w:r>
    </w:p>
    <w:p>
      <w:pPr>
        <w:spacing w:after="0" w:line="560" w:lineRule="exact"/>
        <w:ind w:firstLine="640" w:firstLineChars="200"/>
        <w:jc w:val="center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一是通过对部门更细致、更有效的调查，准确掌握各项基础数据；通过国库单一账户制度准确掌握各项收入情</w:t>
      </w:r>
    </w:p>
    <w:p>
      <w:pPr>
        <w:spacing w:after="0" w:line="560" w:lineRule="exact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况，为科学合理地制定定额标准奠定一个扎实的基础。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二是加强预算编制管理，夯实预算执行基础。强化预算编制的真实性、合法性和科学完整性，每一项收支项目数字的测算依据实际或计划的基础数据，运用科学合理的方法进行测算。遵循量入为出、收支平衡的原则，采取有效的程序和方法合理安排各项资金，达到综合预算、不偏不漏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三是加强预算执行分析，提高运行效率和使用效益。及时跟踪预算执行动态变化过程，重点研究预算执行过程中出现的各种问题，强化预算执行全过程的管理，提供详实准确的预算执行数据，并准确预测预算收支的发展趋势，进一步提高财政预算的管理和决策水平。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</w:rPr>
      </w:pPr>
      <w:r>
        <w:rPr>
          <w:rFonts w:hint="eastAsia" w:ascii="黑体" w:hAnsi="黑体"/>
          <w:color w:val="000000" w:themeColor="text1"/>
          <w:sz w:val="32"/>
        </w:rPr>
        <w:t>三、本年度部门决算等财务工作开展情况</w:t>
      </w:r>
    </w:p>
    <w:p>
      <w:pPr>
        <w:pStyle w:val="12"/>
        <w:spacing w:after="0" w:line="560" w:lineRule="exact"/>
        <w:ind w:firstLine="643"/>
        <w:jc w:val="both"/>
        <w:rPr>
          <w:rFonts w:ascii="楷体" w:hAnsi="楷体" w:eastAsia="楷体"/>
          <w:b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（一）本部门(单位)财务管理、决算组织、编报、审核情况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 w:cs="Arial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我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>乡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严格按照《中华人民共和国预算法》、《中华人民共和国会计法》、《行政单位财务规则》、《事业单位财务规则》和《事业单位会计准则》等法律规章，圆满的完成了2016年财务管理、决算组织、编报、审核一系列工作，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201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6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年预算执行情况较好。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 w:cs="Arial"/>
          <w:color w:val="000000" w:themeColor="text1"/>
          <w:sz w:val="32"/>
          <w:szCs w:val="32"/>
        </w:rPr>
        <w:t>财务决算工作既是当年财务收支状况的综合反映，同时也是下一年度财力安排的重要依据。为做好201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6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年度财务决算工作，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我乡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集中人力尽快解决结账、对账中的复杂问题，并在基础数据生成后以最短的时间形成决算分析报告，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顺利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完成了决算编制工作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。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在201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6</w:t>
      </w:r>
      <w:r>
        <w:rPr>
          <w:rFonts w:ascii="仿宋" w:hAnsi="仿宋" w:eastAsia="仿宋" w:cs="Arial"/>
          <w:color w:val="000000" w:themeColor="text1"/>
          <w:sz w:val="32"/>
          <w:szCs w:val="32"/>
        </w:rPr>
        <w:t>年预算执行工作中没有违反预算的支出行为，预算执行情况较好。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</w:rPr>
        <w:t>同时组织财务人员配合主管部门对决算数据的真实性、完整性和准确性进行审核,审核结果无误。</w:t>
      </w:r>
    </w:p>
    <w:p>
      <w:pPr>
        <w:pStyle w:val="12"/>
        <w:spacing w:after="0" w:line="560" w:lineRule="exact"/>
        <w:ind w:firstLine="643"/>
        <w:jc w:val="both"/>
        <w:rPr>
          <w:rFonts w:ascii="楷体" w:hAnsi="楷体" w:eastAsia="楷体"/>
          <w:b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（二）本部门(单位)决算公开工作、主管部门对所属单位按规定批复决算工作开展情况</w:t>
      </w:r>
    </w:p>
    <w:p>
      <w:pPr>
        <w:pStyle w:val="12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本乡将按照行政事业单位财务管理制度对决算结果进行公开。</w:t>
      </w: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502620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TgxMjliNjg2OWU3ZjMwNzZlMjYzMGE3MGJhYjQyOTIifQ=="/>
  </w:docVars>
  <w:rsids>
    <w:rsidRoot w:val="00D31D50"/>
    <w:rsid w:val="00023ECA"/>
    <w:rsid w:val="00026284"/>
    <w:rsid w:val="00035DA3"/>
    <w:rsid w:val="0003615C"/>
    <w:rsid w:val="00037CBF"/>
    <w:rsid w:val="000430E3"/>
    <w:rsid w:val="00046414"/>
    <w:rsid w:val="00070B0C"/>
    <w:rsid w:val="0007110D"/>
    <w:rsid w:val="00073BB2"/>
    <w:rsid w:val="00086409"/>
    <w:rsid w:val="00087089"/>
    <w:rsid w:val="000A5A71"/>
    <w:rsid w:val="000C5574"/>
    <w:rsid w:val="000D3D06"/>
    <w:rsid w:val="000E1766"/>
    <w:rsid w:val="000F0BC9"/>
    <w:rsid w:val="000F149E"/>
    <w:rsid w:val="00104B0A"/>
    <w:rsid w:val="0010690F"/>
    <w:rsid w:val="00113EEC"/>
    <w:rsid w:val="00120424"/>
    <w:rsid w:val="00127D4A"/>
    <w:rsid w:val="00127D86"/>
    <w:rsid w:val="00130ADE"/>
    <w:rsid w:val="0013142A"/>
    <w:rsid w:val="0014175C"/>
    <w:rsid w:val="00165CFB"/>
    <w:rsid w:val="00166640"/>
    <w:rsid w:val="0017310F"/>
    <w:rsid w:val="00180711"/>
    <w:rsid w:val="00181536"/>
    <w:rsid w:val="001B1CE2"/>
    <w:rsid w:val="001D3EC3"/>
    <w:rsid w:val="001E3CEA"/>
    <w:rsid w:val="001E543B"/>
    <w:rsid w:val="001F63D3"/>
    <w:rsid w:val="002214D0"/>
    <w:rsid w:val="00231C17"/>
    <w:rsid w:val="00232C1E"/>
    <w:rsid w:val="0026669D"/>
    <w:rsid w:val="00277ACA"/>
    <w:rsid w:val="002A566A"/>
    <w:rsid w:val="002A57E7"/>
    <w:rsid w:val="002B3C80"/>
    <w:rsid w:val="002B61BF"/>
    <w:rsid w:val="002E1BB2"/>
    <w:rsid w:val="002E5A49"/>
    <w:rsid w:val="002E71A2"/>
    <w:rsid w:val="002F4BFF"/>
    <w:rsid w:val="00304DC5"/>
    <w:rsid w:val="00323B43"/>
    <w:rsid w:val="003A20EB"/>
    <w:rsid w:val="003A3306"/>
    <w:rsid w:val="003B2430"/>
    <w:rsid w:val="003B6D9D"/>
    <w:rsid w:val="003D2FD2"/>
    <w:rsid w:val="003D37D8"/>
    <w:rsid w:val="003D5968"/>
    <w:rsid w:val="003E49CE"/>
    <w:rsid w:val="003E7006"/>
    <w:rsid w:val="003F20E9"/>
    <w:rsid w:val="00403B9D"/>
    <w:rsid w:val="0041099D"/>
    <w:rsid w:val="00414BE4"/>
    <w:rsid w:val="00426133"/>
    <w:rsid w:val="004358AB"/>
    <w:rsid w:val="00437B59"/>
    <w:rsid w:val="0044295E"/>
    <w:rsid w:val="0045016D"/>
    <w:rsid w:val="00452C72"/>
    <w:rsid w:val="00474F5D"/>
    <w:rsid w:val="004821FB"/>
    <w:rsid w:val="004854F9"/>
    <w:rsid w:val="00496E7B"/>
    <w:rsid w:val="004A0629"/>
    <w:rsid w:val="004B4B30"/>
    <w:rsid w:val="004D6B19"/>
    <w:rsid w:val="004E25D8"/>
    <w:rsid w:val="004F3E94"/>
    <w:rsid w:val="005039EB"/>
    <w:rsid w:val="005043B4"/>
    <w:rsid w:val="00517A26"/>
    <w:rsid w:val="00522099"/>
    <w:rsid w:val="005418FA"/>
    <w:rsid w:val="00541C3D"/>
    <w:rsid w:val="00554FC5"/>
    <w:rsid w:val="005558F1"/>
    <w:rsid w:val="00557214"/>
    <w:rsid w:val="005632B8"/>
    <w:rsid w:val="00564910"/>
    <w:rsid w:val="00577D92"/>
    <w:rsid w:val="005815D0"/>
    <w:rsid w:val="00596FB9"/>
    <w:rsid w:val="005A434D"/>
    <w:rsid w:val="005A749E"/>
    <w:rsid w:val="005B6128"/>
    <w:rsid w:val="005C00E0"/>
    <w:rsid w:val="005C62DB"/>
    <w:rsid w:val="005D0766"/>
    <w:rsid w:val="005E50D3"/>
    <w:rsid w:val="005E50EA"/>
    <w:rsid w:val="005F3172"/>
    <w:rsid w:val="00602285"/>
    <w:rsid w:val="00604FA9"/>
    <w:rsid w:val="0061529D"/>
    <w:rsid w:val="00626138"/>
    <w:rsid w:val="006271C8"/>
    <w:rsid w:val="00634F79"/>
    <w:rsid w:val="00636774"/>
    <w:rsid w:val="00642AB9"/>
    <w:rsid w:val="00651FBE"/>
    <w:rsid w:val="006837D8"/>
    <w:rsid w:val="00684A3C"/>
    <w:rsid w:val="006A2F74"/>
    <w:rsid w:val="006B197A"/>
    <w:rsid w:val="006C114A"/>
    <w:rsid w:val="006C3263"/>
    <w:rsid w:val="006C75FA"/>
    <w:rsid w:val="006D22DE"/>
    <w:rsid w:val="006E7DD7"/>
    <w:rsid w:val="007010CB"/>
    <w:rsid w:val="00702670"/>
    <w:rsid w:val="00706E54"/>
    <w:rsid w:val="00707426"/>
    <w:rsid w:val="00712C67"/>
    <w:rsid w:val="0072309C"/>
    <w:rsid w:val="0072466B"/>
    <w:rsid w:val="007501B9"/>
    <w:rsid w:val="00750B93"/>
    <w:rsid w:val="0075116B"/>
    <w:rsid w:val="00751195"/>
    <w:rsid w:val="00751679"/>
    <w:rsid w:val="00761EA3"/>
    <w:rsid w:val="00771C6D"/>
    <w:rsid w:val="007725D1"/>
    <w:rsid w:val="007761BD"/>
    <w:rsid w:val="00780E1E"/>
    <w:rsid w:val="0078312F"/>
    <w:rsid w:val="007845AD"/>
    <w:rsid w:val="00785097"/>
    <w:rsid w:val="00786A7F"/>
    <w:rsid w:val="007908A8"/>
    <w:rsid w:val="0079146E"/>
    <w:rsid w:val="007A3D46"/>
    <w:rsid w:val="007B03C3"/>
    <w:rsid w:val="007B0CCF"/>
    <w:rsid w:val="007B1F2D"/>
    <w:rsid w:val="007C70B7"/>
    <w:rsid w:val="007C7C2E"/>
    <w:rsid w:val="007D001F"/>
    <w:rsid w:val="007D2216"/>
    <w:rsid w:val="007F30B0"/>
    <w:rsid w:val="00804C5C"/>
    <w:rsid w:val="0083222E"/>
    <w:rsid w:val="00833F93"/>
    <w:rsid w:val="00834CBC"/>
    <w:rsid w:val="00846701"/>
    <w:rsid w:val="00851867"/>
    <w:rsid w:val="00852069"/>
    <w:rsid w:val="008613F2"/>
    <w:rsid w:val="00870FC1"/>
    <w:rsid w:val="00874955"/>
    <w:rsid w:val="00875B8D"/>
    <w:rsid w:val="00877F14"/>
    <w:rsid w:val="008853B5"/>
    <w:rsid w:val="00892898"/>
    <w:rsid w:val="00895E07"/>
    <w:rsid w:val="00895E6A"/>
    <w:rsid w:val="008A707A"/>
    <w:rsid w:val="008B741B"/>
    <w:rsid w:val="008B7726"/>
    <w:rsid w:val="008C6893"/>
    <w:rsid w:val="008F5617"/>
    <w:rsid w:val="00906E7A"/>
    <w:rsid w:val="00907B59"/>
    <w:rsid w:val="009176A5"/>
    <w:rsid w:val="00927A2C"/>
    <w:rsid w:val="00933F34"/>
    <w:rsid w:val="00944550"/>
    <w:rsid w:val="009465EA"/>
    <w:rsid w:val="00950072"/>
    <w:rsid w:val="0095121B"/>
    <w:rsid w:val="00971292"/>
    <w:rsid w:val="00972014"/>
    <w:rsid w:val="00975D67"/>
    <w:rsid w:val="00980484"/>
    <w:rsid w:val="00996424"/>
    <w:rsid w:val="009A1AF7"/>
    <w:rsid w:val="009A65F4"/>
    <w:rsid w:val="009B24AD"/>
    <w:rsid w:val="009B5971"/>
    <w:rsid w:val="009B6134"/>
    <w:rsid w:val="009C3A4A"/>
    <w:rsid w:val="009D45F7"/>
    <w:rsid w:val="009E1AC6"/>
    <w:rsid w:val="00A04351"/>
    <w:rsid w:val="00A0548B"/>
    <w:rsid w:val="00A10431"/>
    <w:rsid w:val="00A26B63"/>
    <w:rsid w:val="00A323CB"/>
    <w:rsid w:val="00A41513"/>
    <w:rsid w:val="00A45B92"/>
    <w:rsid w:val="00A47562"/>
    <w:rsid w:val="00A503DD"/>
    <w:rsid w:val="00A50EDE"/>
    <w:rsid w:val="00A51BEB"/>
    <w:rsid w:val="00A540D6"/>
    <w:rsid w:val="00A653CF"/>
    <w:rsid w:val="00A70256"/>
    <w:rsid w:val="00A91F48"/>
    <w:rsid w:val="00A9395D"/>
    <w:rsid w:val="00AA1F37"/>
    <w:rsid w:val="00AA2F91"/>
    <w:rsid w:val="00AB0961"/>
    <w:rsid w:val="00AC7D59"/>
    <w:rsid w:val="00AD2293"/>
    <w:rsid w:val="00AD55A4"/>
    <w:rsid w:val="00B13936"/>
    <w:rsid w:val="00B17938"/>
    <w:rsid w:val="00B275D4"/>
    <w:rsid w:val="00B330A6"/>
    <w:rsid w:val="00B33B65"/>
    <w:rsid w:val="00B360AF"/>
    <w:rsid w:val="00B40CD2"/>
    <w:rsid w:val="00B45E24"/>
    <w:rsid w:val="00B57040"/>
    <w:rsid w:val="00B64974"/>
    <w:rsid w:val="00BA1F35"/>
    <w:rsid w:val="00BA2A35"/>
    <w:rsid w:val="00BB248B"/>
    <w:rsid w:val="00BB2A35"/>
    <w:rsid w:val="00BB4842"/>
    <w:rsid w:val="00BC3A45"/>
    <w:rsid w:val="00BE0245"/>
    <w:rsid w:val="00BE1623"/>
    <w:rsid w:val="00BE74F0"/>
    <w:rsid w:val="00BE7936"/>
    <w:rsid w:val="00BF25C4"/>
    <w:rsid w:val="00BF539B"/>
    <w:rsid w:val="00C14B19"/>
    <w:rsid w:val="00C260F6"/>
    <w:rsid w:val="00C27A37"/>
    <w:rsid w:val="00C31591"/>
    <w:rsid w:val="00C41A65"/>
    <w:rsid w:val="00C424BE"/>
    <w:rsid w:val="00C44988"/>
    <w:rsid w:val="00C578AC"/>
    <w:rsid w:val="00C67AE2"/>
    <w:rsid w:val="00C74037"/>
    <w:rsid w:val="00C82213"/>
    <w:rsid w:val="00C8449E"/>
    <w:rsid w:val="00C92F6A"/>
    <w:rsid w:val="00C93644"/>
    <w:rsid w:val="00CA0BA5"/>
    <w:rsid w:val="00CA534F"/>
    <w:rsid w:val="00CA5DEE"/>
    <w:rsid w:val="00CB02AC"/>
    <w:rsid w:val="00CC65D4"/>
    <w:rsid w:val="00CD63F3"/>
    <w:rsid w:val="00D01FC4"/>
    <w:rsid w:val="00D04BF0"/>
    <w:rsid w:val="00D04FB3"/>
    <w:rsid w:val="00D31D50"/>
    <w:rsid w:val="00D45E95"/>
    <w:rsid w:val="00D53E9E"/>
    <w:rsid w:val="00D6292B"/>
    <w:rsid w:val="00D83468"/>
    <w:rsid w:val="00D8516D"/>
    <w:rsid w:val="00DE311C"/>
    <w:rsid w:val="00DE5239"/>
    <w:rsid w:val="00E01D97"/>
    <w:rsid w:val="00E04A20"/>
    <w:rsid w:val="00E05C01"/>
    <w:rsid w:val="00E27246"/>
    <w:rsid w:val="00E30604"/>
    <w:rsid w:val="00E34CFE"/>
    <w:rsid w:val="00E3693E"/>
    <w:rsid w:val="00E52D4F"/>
    <w:rsid w:val="00E9648F"/>
    <w:rsid w:val="00EA69E5"/>
    <w:rsid w:val="00EB5063"/>
    <w:rsid w:val="00EB520D"/>
    <w:rsid w:val="00EC32A9"/>
    <w:rsid w:val="00EC441C"/>
    <w:rsid w:val="00F075E6"/>
    <w:rsid w:val="00F13734"/>
    <w:rsid w:val="00F24D9E"/>
    <w:rsid w:val="00F36741"/>
    <w:rsid w:val="00F42B34"/>
    <w:rsid w:val="00F43B29"/>
    <w:rsid w:val="00F65679"/>
    <w:rsid w:val="00F65ADB"/>
    <w:rsid w:val="00F8481F"/>
    <w:rsid w:val="00F917A4"/>
    <w:rsid w:val="00F951B6"/>
    <w:rsid w:val="00FA6213"/>
    <w:rsid w:val="00FA6CE0"/>
    <w:rsid w:val="00FB6FC2"/>
    <w:rsid w:val="00FB7847"/>
    <w:rsid w:val="00FD2780"/>
    <w:rsid w:val="00FE1089"/>
    <w:rsid w:val="00FE1D48"/>
    <w:rsid w:val="00FE6C7A"/>
    <w:rsid w:val="455B4F1E"/>
    <w:rsid w:val="6053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after="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after="0" w:line="360" w:lineRule="exact"/>
      <w:outlineLvl w:val="1"/>
    </w:pPr>
    <w:rPr>
      <w:rFonts w:eastAsia="黑体"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after="0" w:line="360" w:lineRule="exact"/>
      <w:outlineLvl w:val="2"/>
    </w:pPr>
    <w:rPr>
      <w:rFonts w:eastAsia="黑体"/>
      <w:b/>
      <w:bCs/>
      <w:sz w:val="28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Balloon Text"/>
    <w:basedOn w:val="1"/>
    <w:link w:val="18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11"/>
    <w:link w:val="8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11"/>
    <w:link w:val="7"/>
    <w:qFormat/>
    <w:uiPriority w:val="99"/>
    <w:rPr>
      <w:rFonts w:ascii="Tahoma" w:hAnsi="Tahoma"/>
      <w:sz w:val="18"/>
      <w:szCs w:val="18"/>
    </w:rPr>
  </w:style>
  <w:style w:type="character" w:customStyle="1" w:styleId="15">
    <w:name w:val="标题 1 Char"/>
    <w:basedOn w:val="11"/>
    <w:link w:val="2"/>
    <w:qFormat/>
    <w:uiPriority w:val="9"/>
    <w:rPr>
      <w:rFonts w:ascii="Tahoma" w:hAnsi="Tahoma" w:eastAsia="黑体"/>
      <w:b/>
      <w:bCs/>
      <w:kern w:val="44"/>
      <w:sz w:val="44"/>
      <w:szCs w:val="44"/>
    </w:rPr>
  </w:style>
  <w:style w:type="character" w:customStyle="1" w:styleId="16">
    <w:name w:val="标题 2 Char"/>
    <w:basedOn w:val="11"/>
    <w:link w:val="3"/>
    <w:qFormat/>
    <w:uiPriority w:val="9"/>
    <w:rPr>
      <w:rFonts w:eastAsia="黑体" w:asciiTheme="majorHAnsi" w:hAnsiTheme="majorHAnsi" w:cstheme="majorBidi"/>
      <w:b/>
      <w:bCs/>
      <w:sz w:val="28"/>
      <w:szCs w:val="32"/>
    </w:rPr>
  </w:style>
  <w:style w:type="character" w:customStyle="1" w:styleId="17">
    <w:name w:val="标题 3 Char"/>
    <w:basedOn w:val="11"/>
    <w:link w:val="4"/>
    <w:semiHidden/>
    <w:qFormat/>
    <w:uiPriority w:val="9"/>
    <w:rPr>
      <w:rFonts w:ascii="Tahoma" w:hAnsi="Tahoma" w:eastAsia="黑体"/>
      <w:b/>
      <w:bCs/>
      <w:sz w:val="28"/>
      <w:szCs w:val="32"/>
    </w:rPr>
  </w:style>
  <w:style w:type="character" w:customStyle="1" w:styleId="18">
    <w:name w:val="批注框文本 Char"/>
    <w:basedOn w:val="11"/>
    <w:link w:val="6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2.xml"/><Relationship Id="rId7" Type="http://schemas.openxmlformats.org/officeDocument/2006/relationships/chart" Target="charts/chart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9"/>
    </mc:Choice>
    <mc:Fallback>
      <c:style val="9"/>
    </mc:Fallback>
  </mc:AlternateContent>
  <c:chart>
    <c:title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view3D>
      <c:rotX val="30"/>
      <c:rotY val="13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0191577666083336"/>
          <c:y val="0.183758887724174"/>
          <c:w val="0.980842233391666"/>
          <c:h val="0.81624111227582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各项收入占总收入比重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2"/>
                <c:pt idx="0">
                  <c:v>财政拨款收入</c:v>
                </c:pt>
                <c:pt idx="1">
                  <c:v>上级补助收入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1964</c:v>
                </c:pt>
                <c:pt idx="1">
                  <c:v>1030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</c:dLbls>
      </c:pie3DChart>
      <c:spPr>
        <a:ln>
          <a:noFill/>
        </a:ln>
      </c:spPr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9"/>
    </mc:Choice>
    <mc:Fallback>
      <c:style val="9"/>
    </mc:Fallback>
  </mc:AlternateContent>
  <c:chart>
    <c:title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view3D>
      <c:rotX val="30"/>
      <c:rotY val="18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0583111530072825"/>
          <c:y val="0.226686351706037"/>
          <c:w val="0.847660160437692"/>
          <c:h val="0.701427995774387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各项支出占总支出比重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Sheet1!$A$2:$A$12</c:f>
              <c:strCache>
                <c:ptCount val="9"/>
                <c:pt idx="0">
                  <c:v>一般公共服务支出</c:v>
                </c:pt>
                <c:pt idx="1">
                  <c:v>文化体育与传媒支出</c:v>
                </c:pt>
                <c:pt idx="2">
                  <c:v>社会保障和就业支出</c:v>
                </c:pt>
                <c:pt idx="3">
                  <c:v>医疗卫生与计划生育支出</c:v>
                </c:pt>
                <c:pt idx="4">
                  <c:v>城乡社区规划与管理支出</c:v>
                </c:pt>
                <c:pt idx="5">
                  <c:v>农林水务支出</c:v>
                </c:pt>
                <c:pt idx="6">
                  <c:v>安全生产监管支出</c:v>
                </c:pt>
                <c:pt idx="7">
                  <c:v>公共安全支出</c:v>
                </c:pt>
                <c:pt idx="8">
                  <c:v>其他支出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1014</c:v>
                </c:pt>
                <c:pt idx="1">
                  <c:v>28</c:v>
                </c:pt>
                <c:pt idx="2">
                  <c:v>48</c:v>
                </c:pt>
                <c:pt idx="3">
                  <c:v>130</c:v>
                </c:pt>
                <c:pt idx="4">
                  <c:v>66</c:v>
                </c:pt>
                <c:pt idx="5">
                  <c:v>1602</c:v>
                </c:pt>
                <c:pt idx="6">
                  <c:v>56</c:v>
                </c:pt>
                <c:pt idx="7">
                  <c:v>40</c:v>
                </c:pt>
                <c:pt idx="8">
                  <c:v>10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</c:dLbls>
      </c:pie3DChart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D33B3A-DE27-4F7A-90E5-F05F05C3EB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3379</Words>
  <Characters>3524</Characters>
  <Lines>26</Lines>
  <Paragraphs>7</Paragraphs>
  <TotalTime>76</TotalTime>
  <ScaleCrop>false</ScaleCrop>
  <LinksUpToDate>false</LinksUpToDate>
  <CharactersWithSpaces>3526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2017-02-10T06:33:00Z</dcterms:created>
  <dc:creator>Administrator</dc:creator>
  <cp:lastModifiedBy>微信用户</cp:lastModifiedBy>
  <cp:lastPrinted>2017-01-25T04:49:00Z</cp:lastPrinted>
  <dcterms:modified xsi:type="dcterms:W3CDTF">2024-06-13T01:08:03Z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E7F76C3BE52F479F99EA9A5FE09CB7B7_12</vt:lpwstr>
  </property>
</Properties>
</file>