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湖南湘潭天易经济开发区管理委员会</w:t>
      </w:r>
    </w:p>
    <w:p>
      <w:pPr>
        <w:tabs>
          <w:tab w:val="left" w:pos="6480"/>
        </w:tabs>
        <w:spacing w:line="600" w:lineRule="exact"/>
        <w:jc w:val="center"/>
        <w:rPr>
          <w:rFonts w:ascii="宋体" w:hAnsi="宋体" w:cs="方正小标宋_GBK"/>
          <w:b/>
          <w:sz w:val="36"/>
          <w:szCs w:val="36"/>
        </w:rPr>
      </w:pPr>
      <w:r>
        <w:rPr>
          <w:rFonts w:hint="eastAsia" w:ascii="宋体" w:hAnsi="宋体" w:cs="方正小标宋_GBK"/>
          <w:b/>
          <w:bCs/>
          <w:sz w:val="36"/>
          <w:szCs w:val="36"/>
          <w:lang w:val="en-US" w:eastAsia="zh-CN"/>
        </w:rPr>
        <w:t>2023年度</w:t>
      </w:r>
      <w:r>
        <w:rPr>
          <w:rFonts w:hint="eastAsia" w:ascii="宋体" w:hAnsi="宋体" w:cs="方正小标宋_GBK"/>
          <w:b/>
          <w:bCs/>
          <w:sz w:val="36"/>
          <w:szCs w:val="36"/>
        </w:rPr>
        <w:t>部门整体支出绩效评价报告</w:t>
      </w:r>
    </w:p>
    <w:tbl>
      <w:tblPr>
        <w:tblStyle w:val="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部门概况</w:t>
            </w: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单位名称</w:t>
            </w:r>
          </w:p>
        </w:tc>
        <w:tc>
          <w:tcPr>
            <w:tcW w:w="5702" w:type="dxa"/>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rPr>
              <w:t>湖南湘潭天易经济开发区管理委员会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hint="eastAsia" w:ascii="仿宋" w:hAnsi="仿宋" w:eastAsia="仿宋" w:cs="仿宋"/>
                <w:szCs w:val="21"/>
              </w:rPr>
            </w:pP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年度预算金额</w:t>
            </w:r>
          </w:p>
        </w:tc>
        <w:tc>
          <w:tcPr>
            <w:tcW w:w="5702" w:type="dxa"/>
            <w:vAlign w:val="center"/>
          </w:tcPr>
          <w:p>
            <w:pPr>
              <w:spacing w:line="300" w:lineRule="exact"/>
              <w:ind w:firstLine="420" w:firstLineChars="200"/>
              <w:rPr>
                <w:rFonts w:hint="eastAsia" w:ascii="仿宋" w:hAnsi="仿宋" w:eastAsia="仿宋" w:cs="仿宋"/>
                <w:szCs w:val="21"/>
              </w:rPr>
            </w:pPr>
            <w:r>
              <w:rPr>
                <w:rFonts w:hint="eastAsia" w:ascii="仿宋" w:hAnsi="仿宋" w:eastAsia="仿宋" w:cs="仿宋"/>
                <w:szCs w:val="21"/>
                <w:highlight w:val="none"/>
                <w:lang w:val="en-US" w:eastAsia="zh-CN"/>
              </w:rPr>
              <w:t>2023年，天易经开区年初批复预算收入为84,538.00万元，其中财政预算内拨款14,538.00万元，纳入预算管理的非税收入70,000.00万元。2023年，天易经开区年初批复预算支出84,538.00万元，其中基本支出1,625.00万元，项目支出82,913.00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hint="eastAsia" w:ascii="仿宋" w:hAnsi="仿宋" w:eastAsia="仿宋" w:cs="仿宋"/>
                <w:szCs w:val="21"/>
              </w:rPr>
            </w:pP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主管部门</w:t>
            </w:r>
          </w:p>
        </w:tc>
        <w:tc>
          <w:tcPr>
            <w:tcW w:w="5702" w:type="dxa"/>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rPr>
              <w:t>湖南湘潭天易经济开发区管理委员会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hint="eastAsia" w:ascii="仿宋" w:hAnsi="仿宋" w:eastAsia="仿宋" w:cs="仿宋"/>
                <w:szCs w:val="21"/>
              </w:rPr>
            </w:pP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单位基本职能</w:t>
            </w:r>
          </w:p>
        </w:tc>
        <w:tc>
          <w:tcPr>
            <w:tcW w:w="5702" w:type="dxa"/>
            <w:vAlign w:val="center"/>
          </w:tcPr>
          <w:p>
            <w:pPr>
              <w:spacing w:line="300" w:lineRule="exact"/>
              <w:rPr>
                <w:rFonts w:hint="eastAsia" w:ascii="仿宋" w:hAnsi="仿宋" w:eastAsia="仿宋" w:cs="仿宋"/>
              </w:rPr>
            </w:pPr>
            <w:r>
              <w:rPr>
                <w:rFonts w:hint="eastAsia" w:ascii="仿宋" w:hAnsi="仿宋" w:eastAsia="仿宋" w:cs="仿宋"/>
              </w:rPr>
              <w:t>1.负责贯彻执行党和国家关于发展开发区的方针政策、法律法规和决策部署。</w:t>
            </w:r>
          </w:p>
          <w:p>
            <w:pPr>
              <w:spacing w:line="300" w:lineRule="exact"/>
              <w:rPr>
                <w:rFonts w:hint="eastAsia" w:ascii="仿宋" w:hAnsi="仿宋" w:eastAsia="仿宋" w:cs="仿宋"/>
              </w:rPr>
            </w:pPr>
            <w:r>
              <w:rPr>
                <w:rFonts w:hint="eastAsia" w:ascii="仿宋" w:hAnsi="仿宋" w:eastAsia="仿宋" w:cs="仿宋"/>
              </w:rPr>
              <w:t>2.负责研究拟订和组织实施天易经开区重大发展战略、发展规划和工作计划。</w:t>
            </w:r>
          </w:p>
          <w:p>
            <w:pPr>
              <w:spacing w:line="300" w:lineRule="exact"/>
              <w:rPr>
                <w:rFonts w:hint="eastAsia" w:ascii="仿宋" w:hAnsi="仿宋" w:eastAsia="仿宋" w:cs="仿宋"/>
              </w:rPr>
            </w:pPr>
            <w:r>
              <w:rPr>
                <w:rFonts w:hint="eastAsia" w:ascii="仿宋" w:hAnsi="仿宋" w:eastAsia="仿宋" w:cs="仿宋"/>
              </w:rPr>
              <w:t>3.根据湘潭市、湘潭县国土空间总体规划、土地利用总体规划以及国民经济产业总体规划的要求和相关权限，负责统筹建设发展空间布局。负责拟订天易经开区经济发展总体规划、产业发展规划、产业政策、项目准入标准等并组织实施，统一规划产业布局。</w:t>
            </w:r>
          </w:p>
          <w:p>
            <w:pPr>
              <w:spacing w:line="300" w:lineRule="exact"/>
              <w:rPr>
                <w:rFonts w:hint="eastAsia" w:ascii="仿宋" w:hAnsi="仿宋" w:eastAsia="仿宋" w:cs="仿宋"/>
              </w:rPr>
            </w:pPr>
            <w:r>
              <w:rPr>
                <w:rFonts w:hint="eastAsia" w:ascii="仿宋" w:hAnsi="仿宋" w:eastAsia="仿宋" w:cs="仿宋"/>
              </w:rPr>
              <w:t>4.负责天易经开区招商引资工作，组织对外经济技术合作与交流。负责统筹推进基础设施、公用事业、重大项目的建设等相关工作。</w:t>
            </w:r>
          </w:p>
          <w:p>
            <w:pPr>
              <w:spacing w:line="300" w:lineRule="exact"/>
              <w:rPr>
                <w:rFonts w:hint="eastAsia" w:ascii="仿宋" w:hAnsi="仿宋" w:eastAsia="仿宋" w:cs="仿宋"/>
              </w:rPr>
            </w:pPr>
            <w:r>
              <w:rPr>
                <w:rFonts w:hint="eastAsia" w:ascii="仿宋" w:hAnsi="仿宋" w:eastAsia="仿宋" w:cs="仿宋"/>
              </w:rPr>
              <w:t>5.负责天易经开区优化营商环境工作，根据权限依法承担有关行政审批工作，履行行政审批服务职责。</w:t>
            </w:r>
          </w:p>
          <w:p>
            <w:pPr>
              <w:spacing w:line="300" w:lineRule="exact"/>
              <w:rPr>
                <w:rFonts w:hint="eastAsia" w:ascii="仿宋" w:hAnsi="仿宋" w:eastAsia="仿宋" w:cs="仿宋"/>
              </w:rPr>
            </w:pPr>
            <w:r>
              <w:rPr>
                <w:rFonts w:hint="eastAsia" w:ascii="仿宋" w:hAnsi="仿宋" w:eastAsia="仿宋" w:cs="仿宋"/>
              </w:rPr>
              <w:t>6.负责天易经开区内企业的管理和服务，协助企业开展科技创新以及申报高新技术项目、高新技术企业和项目扶持资金。指导区内企业建立现代企业制度，推进高新技术产业化、国际化。</w:t>
            </w:r>
          </w:p>
          <w:p>
            <w:pPr>
              <w:spacing w:line="300" w:lineRule="exact"/>
              <w:rPr>
                <w:rFonts w:hint="eastAsia" w:ascii="仿宋" w:hAnsi="仿宋" w:eastAsia="仿宋" w:cs="仿宋"/>
              </w:rPr>
            </w:pPr>
            <w:r>
              <w:rPr>
                <w:rFonts w:hint="eastAsia" w:ascii="仿宋" w:hAnsi="仿宋" w:eastAsia="仿宋" w:cs="仿宋"/>
              </w:rPr>
              <w:t>7.根据有关要求和职责分工，承担天易经开区综合管理、统计、内部审计、信息、财政收支管理、国有资产管理、安全生产监督管理、生态环境保护等工作。</w:t>
            </w:r>
          </w:p>
          <w:p>
            <w:pPr>
              <w:spacing w:line="300" w:lineRule="exact"/>
              <w:rPr>
                <w:rFonts w:hint="eastAsia" w:ascii="仿宋" w:hAnsi="仿宋" w:eastAsia="仿宋" w:cs="仿宋"/>
              </w:rPr>
            </w:pPr>
            <w:r>
              <w:rPr>
                <w:rFonts w:hint="eastAsia" w:ascii="仿宋" w:hAnsi="仿宋" w:eastAsia="仿宋" w:cs="仿宋"/>
              </w:rPr>
              <w:t>8.负责天易经开区党的建设和“两新”组织党建等工作。</w:t>
            </w:r>
          </w:p>
          <w:p>
            <w:pPr>
              <w:spacing w:line="300" w:lineRule="exact"/>
              <w:rPr>
                <w:rFonts w:hint="eastAsia" w:ascii="仿宋" w:hAnsi="仿宋" w:eastAsia="仿宋" w:cs="仿宋"/>
              </w:rPr>
            </w:pPr>
            <w:r>
              <w:rPr>
                <w:rFonts w:hint="eastAsia" w:ascii="仿宋" w:hAnsi="仿宋" w:eastAsia="仿宋" w:cs="仿宋"/>
              </w:rPr>
              <w:t>9.负责天易经开区人才队伍建设，协助企业做好人才引进和服务工作。</w:t>
            </w:r>
          </w:p>
          <w:p>
            <w:pPr>
              <w:spacing w:line="300" w:lineRule="exact"/>
              <w:rPr>
                <w:rFonts w:hint="eastAsia" w:ascii="仿宋" w:hAnsi="仿宋" w:eastAsia="仿宋" w:cs="仿宋"/>
                <w:szCs w:val="21"/>
              </w:rPr>
            </w:pPr>
            <w:r>
              <w:rPr>
                <w:rFonts w:hint="eastAsia" w:ascii="仿宋" w:hAnsi="仿宋" w:eastAsia="仿宋" w:cs="仿宋"/>
              </w:rPr>
              <w:t xml:space="preserve">10.承办湘潭市委、湘潭市人民政府和湘潭县委、湘潭县人民政府交办的其他事项。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绩效完成情况</w:t>
            </w: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部门整体支出管理和使用基本情况</w:t>
            </w:r>
          </w:p>
        </w:tc>
        <w:tc>
          <w:tcPr>
            <w:tcW w:w="5702" w:type="dxa"/>
          </w:tcPr>
          <w:p>
            <w:pPr>
              <w:spacing w:line="300" w:lineRule="exact"/>
              <w:ind w:firstLine="420" w:firstLineChars="200"/>
              <w:rPr>
                <w:rFonts w:hint="eastAsia" w:ascii="仿宋" w:hAnsi="仿宋" w:eastAsia="仿宋" w:cs="仿宋"/>
                <w:lang w:eastAsia="zh-CN"/>
              </w:rPr>
            </w:pPr>
            <w:r>
              <w:rPr>
                <w:rFonts w:hint="eastAsia" w:ascii="仿宋" w:hAnsi="仿宋" w:eastAsia="仿宋" w:cs="仿宋"/>
                <w:lang w:eastAsia="zh-CN"/>
              </w:rPr>
              <w:t>2023年</w:t>
            </w:r>
            <w:r>
              <w:rPr>
                <w:rFonts w:hint="eastAsia" w:ascii="仿宋" w:hAnsi="仿宋" w:eastAsia="仿宋" w:cs="仿宋"/>
              </w:rPr>
              <w:t>，天易经开区坚持以习近平新时代中国特色社会主义思想为指导</w:t>
            </w:r>
            <w:r>
              <w:rPr>
                <w:rFonts w:hint="eastAsia" w:ascii="仿宋" w:hAnsi="仿宋" w:eastAsia="仿宋" w:cs="仿宋"/>
                <w:lang w:eastAsia="zh-CN"/>
              </w:rPr>
              <w:t>，在县委县政府的坚强领导下，</w:t>
            </w:r>
            <w:r>
              <w:rPr>
                <w:rFonts w:hint="eastAsia" w:ascii="仿宋" w:hAnsi="仿宋" w:eastAsia="仿宋" w:cs="仿宋"/>
              </w:rPr>
              <w:t>落实“四敢”要求，树立</w:t>
            </w:r>
            <w:r>
              <w:rPr>
                <w:rFonts w:hint="eastAsia" w:ascii="仿宋" w:hAnsi="仿宋" w:eastAsia="仿宋" w:cs="仿宋"/>
                <w:lang w:eastAsia="zh-CN"/>
              </w:rPr>
              <w:t>和践行</w:t>
            </w:r>
            <w:r>
              <w:rPr>
                <w:rFonts w:hint="eastAsia" w:ascii="仿宋" w:hAnsi="仿宋" w:eastAsia="仿宋" w:cs="仿宋"/>
              </w:rPr>
              <w:t>正确政绩观，以敢闯敢拼、不怕风雨的干劲，开创</w:t>
            </w:r>
            <w:r>
              <w:rPr>
                <w:rFonts w:hint="eastAsia" w:ascii="仿宋" w:hAnsi="仿宋" w:eastAsia="仿宋" w:cs="仿宋"/>
                <w:lang w:eastAsia="zh-CN"/>
              </w:rPr>
              <w:t>了</w:t>
            </w:r>
            <w:r>
              <w:rPr>
                <w:rFonts w:hint="eastAsia" w:ascii="仿宋" w:hAnsi="仿宋" w:eastAsia="仿宋" w:cs="仿宋"/>
              </w:rPr>
              <w:t>高质量发展新局面</w:t>
            </w:r>
            <w:r>
              <w:rPr>
                <w:rFonts w:hint="eastAsia" w:ascii="仿宋" w:hAnsi="仿宋" w:eastAsia="仿宋" w:cs="仿宋"/>
                <w:lang w:eastAsia="zh-CN"/>
              </w:rPr>
              <w:t>。</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szCs w:val="21"/>
                <w:highlight w:val="none"/>
                <w:lang w:val="en-US" w:eastAsia="zh-CN"/>
              </w:rPr>
              <w:t>一、预算执行情况</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eastAsia="zh-CN"/>
              </w:rPr>
              <w:t>1、</w:t>
            </w:r>
            <w:r>
              <w:rPr>
                <w:rFonts w:hint="eastAsia" w:ascii="仿宋" w:hAnsi="仿宋" w:eastAsia="仿宋" w:cs="仿宋"/>
                <w:lang w:val="zh-CN" w:eastAsia="zh-CN"/>
              </w:rPr>
              <w:t>202</w:t>
            </w:r>
            <w:r>
              <w:rPr>
                <w:rFonts w:hint="eastAsia" w:ascii="仿宋" w:hAnsi="仿宋" w:eastAsia="仿宋" w:cs="仿宋"/>
                <w:lang w:val="en-US" w:eastAsia="zh-CN"/>
              </w:rPr>
              <w:t>3</w:t>
            </w:r>
            <w:r>
              <w:rPr>
                <w:rFonts w:hint="eastAsia" w:ascii="仿宋" w:hAnsi="仿宋" w:eastAsia="仿宋" w:cs="仿宋"/>
                <w:lang w:val="zh-CN" w:eastAsia="zh-CN"/>
              </w:rPr>
              <w:t>年</w:t>
            </w:r>
            <w:r>
              <w:rPr>
                <w:rFonts w:hint="eastAsia" w:ascii="仿宋" w:hAnsi="仿宋" w:eastAsia="仿宋" w:cs="仿宋"/>
                <w:lang w:val="en-US" w:eastAsia="zh-CN"/>
              </w:rPr>
              <w:t>收入</w:t>
            </w:r>
            <w:r>
              <w:rPr>
                <w:rFonts w:hint="eastAsia" w:ascii="仿宋" w:hAnsi="仿宋" w:eastAsia="仿宋" w:cs="仿宋"/>
                <w:lang w:val="zh-CN" w:eastAsia="zh-CN"/>
              </w:rPr>
              <w:t>决算数为</w:t>
            </w:r>
            <w:r>
              <w:rPr>
                <w:rFonts w:hint="eastAsia" w:ascii="仿宋" w:hAnsi="仿宋" w:eastAsia="仿宋" w:cs="仿宋"/>
                <w:lang w:val="en-US" w:eastAsia="zh-CN"/>
              </w:rPr>
              <w:t>24,365.5</w:t>
            </w:r>
            <w:r>
              <w:rPr>
                <w:rFonts w:hint="eastAsia" w:ascii="仿宋" w:hAnsi="仿宋" w:eastAsia="仿宋" w:cs="仿宋"/>
                <w:lang w:val="zh-CN" w:eastAsia="zh-CN"/>
              </w:rPr>
              <w:t>万元，其中：</w:t>
            </w:r>
            <w:r>
              <w:rPr>
                <w:rFonts w:hint="eastAsia" w:ascii="仿宋" w:hAnsi="仿宋" w:eastAsia="仿宋" w:cs="仿宋"/>
                <w:lang w:val="en-US" w:eastAsia="zh-CN"/>
              </w:rPr>
              <w:t>一般公共预算财政拨款收入8,984.4万元，占总收入的36.87%；纳入预算管理的非税收入15,379.1万元，占总收入的63.12%;</w:t>
            </w:r>
          </w:p>
          <w:p>
            <w:pPr>
              <w:spacing w:line="300" w:lineRule="exact"/>
              <w:rPr>
                <w:rFonts w:hint="eastAsia" w:ascii="仿宋" w:hAnsi="仿宋" w:eastAsia="仿宋" w:cs="仿宋"/>
                <w:szCs w:val="21"/>
                <w:lang w:val="en-US" w:eastAsia="zh-CN"/>
              </w:rPr>
            </w:pPr>
            <w:r>
              <w:rPr>
                <w:rFonts w:hint="eastAsia" w:ascii="仿宋" w:hAnsi="仿宋" w:eastAsia="仿宋" w:cs="仿宋"/>
                <w:szCs w:val="21"/>
                <w:lang w:val="en-US" w:eastAsia="zh-CN"/>
              </w:rPr>
              <w:t>其他收入2万元，占总收入的0.01%。</w:t>
            </w:r>
          </w:p>
          <w:p>
            <w:pPr>
              <w:spacing w:line="300" w:lineRule="exact"/>
              <w:ind w:firstLine="420" w:firstLineChars="200"/>
              <w:rPr>
                <w:rFonts w:hint="eastAsia" w:ascii="仿宋" w:hAnsi="仿宋" w:eastAsia="仿宋" w:cs="仿宋"/>
                <w:lang w:val="zh-CN" w:eastAsia="zh-CN"/>
              </w:rPr>
            </w:pPr>
            <w:r>
              <w:rPr>
                <w:rFonts w:hint="eastAsia" w:ascii="仿宋" w:hAnsi="仿宋" w:eastAsia="仿宋" w:cs="仿宋"/>
                <w:lang w:eastAsia="zh-CN"/>
              </w:rPr>
              <w:t>2、</w:t>
            </w:r>
            <w:r>
              <w:rPr>
                <w:rFonts w:hint="eastAsia" w:ascii="仿宋" w:hAnsi="仿宋" w:eastAsia="仿宋" w:cs="仿宋"/>
                <w:lang w:val="zh-CN" w:eastAsia="zh-CN"/>
              </w:rPr>
              <w:t>202</w:t>
            </w:r>
            <w:r>
              <w:rPr>
                <w:rFonts w:hint="eastAsia" w:ascii="仿宋" w:hAnsi="仿宋" w:eastAsia="仿宋" w:cs="仿宋"/>
                <w:lang w:val="en-US" w:eastAsia="zh-CN"/>
              </w:rPr>
              <w:t>3</w:t>
            </w:r>
            <w:r>
              <w:rPr>
                <w:rFonts w:hint="eastAsia" w:ascii="仿宋" w:hAnsi="仿宋" w:eastAsia="仿宋" w:cs="仿宋"/>
                <w:lang w:val="zh-CN" w:eastAsia="zh-CN"/>
              </w:rPr>
              <w:t>年支出决算</w:t>
            </w:r>
            <w:r>
              <w:rPr>
                <w:rFonts w:hint="eastAsia" w:ascii="仿宋" w:hAnsi="仿宋" w:eastAsia="仿宋" w:cs="仿宋"/>
                <w:lang w:val="en-US" w:eastAsia="zh-CN"/>
              </w:rPr>
              <w:t>数</w:t>
            </w:r>
            <w:r>
              <w:rPr>
                <w:rFonts w:hint="eastAsia" w:ascii="仿宋" w:hAnsi="仿宋" w:eastAsia="仿宋" w:cs="仿宋"/>
                <w:lang w:val="zh-CN" w:eastAsia="zh-CN"/>
              </w:rPr>
              <w:t>为</w:t>
            </w:r>
            <w:r>
              <w:rPr>
                <w:rFonts w:hint="eastAsia" w:ascii="仿宋" w:hAnsi="仿宋" w:eastAsia="仿宋" w:cs="仿宋"/>
                <w:lang w:val="en-US" w:eastAsia="zh-CN"/>
              </w:rPr>
              <w:t>24,364.5</w:t>
            </w:r>
            <w:r>
              <w:rPr>
                <w:rFonts w:hint="eastAsia" w:ascii="仿宋" w:hAnsi="仿宋" w:eastAsia="仿宋" w:cs="仿宋"/>
                <w:lang w:val="zh-CN" w:eastAsia="zh-CN"/>
              </w:rPr>
              <w:t>万元，其中基本支出</w:t>
            </w:r>
            <w:r>
              <w:rPr>
                <w:rFonts w:hint="eastAsia" w:ascii="仿宋" w:hAnsi="仿宋" w:eastAsia="仿宋" w:cs="仿宋"/>
                <w:lang w:val="en-US" w:eastAsia="zh-CN"/>
              </w:rPr>
              <w:t>1,388.72</w:t>
            </w:r>
            <w:r>
              <w:rPr>
                <w:rFonts w:hint="eastAsia" w:ascii="仿宋" w:hAnsi="仿宋" w:eastAsia="仿宋" w:cs="仿宋"/>
                <w:lang w:val="zh-CN" w:eastAsia="zh-CN"/>
              </w:rPr>
              <w:t>万元，占总支出的</w:t>
            </w:r>
            <w:r>
              <w:rPr>
                <w:rFonts w:hint="eastAsia" w:ascii="仿宋" w:hAnsi="仿宋" w:eastAsia="仿宋" w:cs="仿宋"/>
                <w:lang w:val="en-US" w:eastAsia="zh-CN"/>
              </w:rPr>
              <w:t>5.7</w:t>
            </w:r>
            <w:r>
              <w:rPr>
                <w:rFonts w:hint="eastAsia" w:ascii="仿宋" w:hAnsi="仿宋" w:eastAsia="仿宋" w:cs="仿宋"/>
                <w:lang w:val="zh-CN" w:eastAsia="zh-CN"/>
              </w:rPr>
              <w:t>%；项目支出</w:t>
            </w:r>
            <w:r>
              <w:rPr>
                <w:rFonts w:hint="eastAsia" w:ascii="仿宋" w:hAnsi="仿宋" w:eastAsia="仿宋" w:cs="仿宋"/>
                <w:lang w:val="en-US" w:eastAsia="zh-CN"/>
              </w:rPr>
              <w:t>22,975.79</w:t>
            </w:r>
            <w:r>
              <w:rPr>
                <w:rFonts w:hint="eastAsia" w:ascii="仿宋" w:hAnsi="仿宋" w:eastAsia="仿宋" w:cs="仿宋"/>
                <w:lang w:val="zh-CN" w:eastAsia="zh-CN"/>
              </w:rPr>
              <w:t>万元，占总支出的</w:t>
            </w:r>
            <w:r>
              <w:rPr>
                <w:rFonts w:hint="eastAsia" w:ascii="仿宋" w:hAnsi="仿宋" w:eastAsia="仿宋" w:cs="仿宋"/>
                <w:lang w:val="en-US" w:eastAsia="zh-CN"/>
              </w:rPr>
              <w:t>94.3</w:t>
            </w:r>
            <w:r>
              <w:rPr>
                <w:rFonts w:hint="eastAsia" w:ascii="仿宋" w:hAnsi="仿宋" w:eastAsia="仿宋" w:cs="仿宋"/>
                <w:lang w:val="zh-CN" w:eastAsia="zh-CN"/>
              </w:rPr>
              <w:t>%。</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3、2023年预算结余分配1万元。</w:t>
            </w:r>
          </w:p>
          <w:p>
            <w:pPr>
              <w:spacing w:line="300" w:lineRule="exact"/>
              <w:ind w:firstLine="420" w:firstLineChars="200"/>
              <w:rPr>
                <w:rFonts w:hint="eastAsia" w:ascii="仿宋" w:hAnsi="仿宋" w:eastAsia="仿宋" w:cs="仿宋"/>
                <w:lang w:val="zh-CN" w:eastAsia="zh-CN"/>
              </w:rPr>
            </w:pPr>
            <w:r>
              <w:rPr>
                <w:rFonts w:hint="eastAsia" w:ascii="仿宋" w:hAnsi="仿宋" w:eastAsia="仿宋" w:cs="仿宋"/>
                <w:lang w:val="en-US" w:eastAsia="zh-CN"/>
              </w:rPr>
              <w:t>4、</w:t>
            </w:r>
            <w:r>
              <w:rPr>
                <w:rFonts w:hint="eastAsia" w:ascii="仿宋" w:hAnsi="仿宋" w:eastAsia="仿宋" w:cs="仿宋"/>
                <w:lang w:val="zh-CN" w:eastAsia="zh-CN"/>
              </w:rPr>
              <w:t>“三公”经费情况</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zh-CN" w:eastAsia="zh-CN"/>
              </w:rPr>
              <w:t>202</w:t>
            </w:r>
            <w:r>
              <w:rPr>
                <w:rFonts w:hint="eastAsia" w:ascii="仿宋" w:hAnsi="仿宋" w:eastAsia="仿宋" w:cs="仿宋"/>
                <w:lang w:val="en-US" w:eastAsia="zh-CN"/>
              </w:rPr>
              <w:t>3</w:t>
            </w:r>
            <w:r>
              <w:rPr>
                <w:rFonts w:hint="eastAsia" w:ascii="仿宋" w:hAnsi="仿宋" w:eastAsia="仿宋" w:cs="仿宋"/>
                <w:lang w:val="zh-CN" w:eastAsia="zh-CN"/>
              </w:rPr>
              <w:t>年度“三公经费”预算数</w:t>
            </w:r>
            <w:r>
              <w:rPr>
                <w:rFonts w:hint="eastAsia" w:ascii="仿宋" w:hAnsi="仿宋" w:eastAsia="仿宋" w:cs="仿宋"/>
                <w:lang w:val="en-US" w:eastAsia="zh-CN"/>
              </w:rPr>
              <w:t>2</w:t>
            </w:r>
            <w:r>
              <w:rPr>
                <w:rFonts w:hint="eastAsia" w:ascii="仿宋" w:hAnsi="仿宋" w:eastAsia="仿宋" w:cs="仿宋"/>
                <w:lang w:val="zh-CN" w:eastAsia="zh-CN"/>
              </w:rPr>
              <w:t>5.4万元，实际支出数</w:t>
            </w:r>
            <w:r>
              <w:rPr>
                <w:rFonts w:hint="eastAsia" w:ascii="仿宋" w:hAnsi="仿宋" w:eastAsia="仿宋" w:cs="仿宋"/>
                <w:lang w:val="en-US" w:eastAsia="zh-CN"/>
              </w:rPr>
              <w:t>24.13</w:t>
            </w:r>
            <w:r>
              <w:rPr>
                <w:rFonts w:hint="eastAsia" w:ascii="仿宋" w:hAnsi="仿宋" w:eastAsia="仿宋" w:cs="仿宋"/>
                <w:lang w:val="zh-CN" w:eastAsia="zh-CN"/>
              </w:rPr>
              <w:t>万元，</w:t>
            </w:r>
            <w:r>
              <w:rPr>
                <w:rFonts w:hint="eastAsia" w:ascii="仿宋" w:hAnsi="仿宋" w:eastAsia="仿宋" w:cs="仿宋"/>
                <w:lang w:val="en-US" w:eastAsia="zh-CN"/>
              </w:rPr>
              <w:t>预算执行</w:t>
            </w:r>
            <w:r>
              <w:rPr>
                <w:rFonts w:hint="eastAsia" w:ascii="仿宋" w:hAnsi="仿宋" w:eastAsia="仿宋" w:cs="仿宋"/>
                <w:lang w:val="zh-CN" w:eastAsia="zh-CN"/>
              </w:rPr>
              <w:t>率</w:t>
            </w:r>
            <w:r>
              <w:rPr>
                <w:rFonts w:hint="eastAsia" w:ascii="仿宋" w:hAnsi="仿宋" w:eastAsia="仿宋" w:cs="仿宋"/>
                <w:lang w:val="en-US" w:eastAsia="zh-CN"/>
              </w:rPr>
              <w:t>95</w:t>
            </w:r>
            <w:r>
              <w:rPr>
                <w:rFonts w:hint="eastAsia" w:ascii="仿宋" w:hAnsi="仿宋" w:eastAsia="仿宋" w:cs="仿宋"/>
                <w:lang w:val="zh-CN" w:eastAsia="zh-CN"/>
              </w:rPr>
              <w:t>%。</w:t>
            </w:r>
          </w:p>
          <w:p>
            <w:pPr>
              <w:spacing w:line="300" w:lineRule="exact"/>
              <w:ind w:firstLine="420" w:firstLineChars="200"/>
              <w:rPr>
                <w:rFonts w:hint="eastAsia" w:ascii="仿宋" w:hAnsi="仿宋" w:eastAsia="仿宋" w:cs="仿宋"/>
              </w:rPr>
            </w:pPr>
            <w:r>
              <w:rPr>
                <w:rFonts w:hint="eastAsia" w:ascii="仿宋" w:hAnsi="仿宋" w:eastAsia="仿宋" w:cs="仿宋"/>
                <w:lang w:val="en-US" w:eastAsia="zh-CN"/>
              </w:rPr>
              <w:t>二</w:t>
            </w:r>
            <w:r>
              <w:rPr>
                <w:rFonts w:hint="eastAsia" w:ascii="仿宋" w:hAnsi="仿宋" w:eastAsia="仿宋" w:cs="仿宋"/>
              </w:rPr>
              <w:t>、</w:t>
            </w:r>
            <w:r>
              <w:rPr>
                <w:rFonts w:hint="eastAsia" w:ascii="仿宋" w:hAnsi="仿宋" w:eastAsia="仿宋" w:cs="仿宋"/>
                <w:lang w:val="en-US" w:eastAsia="zh-CN"/>
              </w:rPr>
              <w:t>专项</w:t>
            </w:r>
            <w:r>
              <w:rPr>
                <w:rFonts w:hint="eastAsia" w:ascii="仿宋" w:hAnsi="仿宋" w:eastAsia="仿宋" w:cs="仿宋"/>
              </w:rPr>
              <w:t>项目情况</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(1)新闻宣传项目</w:t>
            </w:r>
          </w:p>
          <w:p>
            <w:pPr>
              <w:spacing w:line="300" w:lineRule="exact"/>
              <w:ind w:firstLine="420" w:firstLineChars="200"/>
              <w:rPr>
                <w:rFonts w:hint="eastAsia" w:ascii="仿宋" w:hAnsi="仿宋" w:eastAsia="仿宋" w:cs="仿宋"/>
                <w:color w:val="auto"/>
                <w:spacing w:val="0"/>
                <w:position w:val="0"/>
                <w:sz w:val="32"/>
                <w:shd w:val="clear" w:fill="FFFFFF"/>
              </w:rPr>
            </w:pPr>
            <w:r>
              <w:rPr>
                <w:rFonts w:hint="eastAsia" w:ascii="仿宋" w:hAnsi="仿宋" w:eastAsia="仿宋" w:cs="仿宋"/>
                <w:lang w:val="en-US" w:eastAsia="zh-CN"/>
              </w:rPr>
              <w:t>为适应新形势、新要求，不断开创天易经开区对外宣传新局面，充分展现天易经开区新成绩、新亮点、新形象，进一步提升天易经开区的知名度和美誉度，安排专项资金进行开展媒体合作、新闻宣传工作。年初预算金额120万元，实际支出91万元。2023年度策划开展了《一名普通公务员的“红色情缘”》、《天易经开区构筑营商环境新高地：“优”无止境》、《一个支点，撬动百亿级产业》、《全力拼经济 实干赢未来——天易经开区“五好”园区创建纪实》、《“骏马奖”是如何“跑”成的？——天易经开区推进招商引资工作纪实》、《向两会报告之天易经开区篇》、《连续两次获评先进园区，看湘潭天易经开区如何“稳”与“攻”》等宣传报道</w:t>
            </w:r>
            <w:r>
              <w:rPr>
                <w:rFonts w:hint="eastAsia" w:ascii="仿宋" w:hAnsi="仿宋" w:eastAsia="仿宋" w:cs="仿宋"/>
                <w:color w:val="auto"/>
                <w:spacing w:val="0"/>
                <w:position w:val="0"/>
                <w:sz w:val="32"/>
                <w:shd w:val="clear" w:fill="auto"/>
              </w:rPr>
              <w:t>，</w:t>
            </w:r>
            <w:r>
              <w:rPr>
                <w:rFonts w:hint="eastAsia" w:ascii="仿宋" w:hAnsi="仿宋" w:eastAsia="仿宋" w:cs="仿宋"/>
                <w:lang w:val="en-US" w:eastAsia="zh-CN"/>
              </w:rPr>
              <w:t>同时加强与央媒省媒的联系对接，拓展在央媒省媒的宣传报道渠道，2023年在国家级媒体采编45余条，省级媒体采编80余条，市级媒体采编110余条。全方位推介展示天易形象，有效扩大了天易的对外知名度和美誉度。</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(2)信访维稳项目</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信访维稳项目是天易经开区为依法按照逐级走访规定，进一步压实基层基础，及时就地解决好群众的合理合法诉求，调和经开区园区及企业与周边村民突出的矛盾纠纷，不断提升满意度，切实履行好“为民解难、为党分忧”职责制定的业务性专项。年初预算资金400.00万元，由于年中</w:t>
            </w:r>
            <w:r>
              <w:rPr>
                <w:rFonts w:hint="eastAsia" w:ascii="仿宋" w:hAnsi="仿宋" w:eastAsia="仿宋" w:cs="仿宋"/>
                <w:szCs w:val="21"/>
              </w:rPr>
              <w:t>园区机构改革和社会事务移交</w:t>
            </w:r>
            <w:r>
              <w:rPr>
                <w:rFonts w:hint="eastAsia" w:ascii="仿宋" w:hAnsi="仿宋" w:eastAsia="仿宋" w:cs="仿宋"/>
                <w:szCs w:val="21"/>
                <w:lang w:eastAsia="zh-CN"/>
              </w:rPr>
              <w:t>，</w:t>
            </w:r>
            <w:r>
              <w:rPr>
                <w:rFonts w:hint="eastAsia" w:ascii="仿宋" w:hAnsi="仿宋" w:eastAsia="仿宋" w:cs="仿宋"/>
                <w:szCs w:val="21"/>
                <w:lang w:val="en-US" w:eastAsia="zh-CN"/>
              </w:rPr>
              <w:t>本年度</w:t>
            </w:r>
            <w:r>
              <w:rPr>
                <w:rFonts w:hint="eastAsia" w:ascii="仿宋" w:hAnsi="仿宋" w:eastAsia="仿宋" w:cs="仿宋"/>
                <w:lang w:val="en-US" w:eastAsia="zh-CN"/>
              </w:rPr>
              <w:t>实际支出264.43万元。全年共计接待群众来访486批约1152人次，其中集体访73批约465人次，及时妥善处置50人以上较大规模群体信访事项5批次。完成省委第三巡视组交办的13批次信访事项，化解信访积案10件。完成省委第十四巡视组交办天易经开区信访事项35件。通过湖南省智慧信访信息系统转送天易经开区相关部门受理信访件25件。</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(3)法制项目</w:t>
            </w:r>
          </w:p>
          <w:p>
            <w:pPr>
              <w:spacing w:line="300" w:lineRule="exact"/>
              <w:ind w:firstLine="420" w:firstLineChars="200"/>
              <w:rPr>
                <w:rFonts w:hint="eastAsia" w:ascii="仿宋" w:hAnsi="仿宋" w:eastAsia="仿宋" w:cs="仿宋"/>
                <w:szCs w:val="21"/>
                <w:highlight w:val="yellow"/>
              </w:rPr>
            </w:pPr>
            <w:r>
              <w:rPr>
                <w:rFonts w:hint="eastAsia" w:ascii="仿宋" w:hAnsi="仿宋" w:eastAsia="仿宋" w:cs="仿宋"/>
                <w:lang w:val="en-US" w:eastAsia="zh-CN"/>
              </w:rPr>
              <w:t>法制项目是天易经开区为规范重大行政决策程序，提高决策质量和效率，依法决策机制，依法办理行政诉讼案件等工作实施的项目。年初预算资金100万元，实际支出28.79万元。2023年，把各类文件、文书、合同（协议）等文本的合法性审查作为规范行政行为的重要工作职责，严格按照《湖南湘潭天易经济开发区合同审查与管理办法（试行）》的要求规范化管理，文书、合同、协议等从起草到出台或签发，法律审查全程介入，及时发现和纠正文书或合同中存在的违法、违规等重大风险，完成了39份文件、34份文书（含政府信息公开答复、决定、告知、催告、通知、执行申请书、函）、37个协议及合同的法律审查把关工作。办理了诉讼、复议案件共计19个。</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(4)PPP项目</w:t>
            </w:r>
          </w:p>
          <w:p>
            <w:pPr>
              <w:spacing w:line="300" w:lineRule="exact"/>
              <w:ind w:firstLine="420" w:firstLineChars="200"/>
              <w:rPr>
                <w:rFonts w:hint="eastAsia" w:ascii="仿宋" w:hAnsi="仿宋" w:eastAsia="仿宋" w:cs="仿宋"/>
                <w:szCs w:val="21"/>
              </w:rPr>
            </w:pPr>
            <w:r>
              <w:rPr>
                <w:rFonts w:hint="eastAsia" w:ascii="仿宋" w:hAnsi="仿宋" w:eastAsia="仿宋" w:cs="仿宋"/>
                <w:lang w:val="en-US" w:eastAsia="zh-CN"/>
              </w:rPr>
              <w:t>市政物流园PPP项目是根据《市政工程PPP项目合同》的约定，履行政府付费义务而设立的项目。年初预算资金4,500.00万元，实际支出5,080.1万元，其中一般公共预算资金支出4,500万元，自有资金支出580.1万元。目前，项目已进入运营期。该项目对天易经开区完善东西交通的通道起到了保障作用，进一步促进天易经开区的经济和社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hint="eastAsia" w:ascii="仿宋" w:hAnsi="仿宋" w:eastAsia="仿宋" w:cs="仿宋"/>
                <w:szCs w:val="21"/>
              </w:rPr>
            </w:pP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绩效目标完成情况</w:t>
            </w:r>
          </w:p>
        </w:tc>
        <w:tc>
          <w:tcPr>
            <w:tcW w:w="5702" w:type="dxa"/>
          </w:tcPr>
          <w:p>
            <w:pPr>
              <w:spacing w:line="30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一</w:t>
            </w:r>
            <w:r>
              <w:rPr>
                <w:rFonts w:hint="eastAsia" w:ascii="仿宋" w:hAnsi="仿宋" w:eastAsia="仿宋" w:cs="仿宋"/>
                <w:szCs w:val="21"/>
                <w:highlight w:val="none"/>
              </w:rPr>
              <w:t>）预算管理绩效</w:t>
            </w:r>
            <w:r>
              <w:rPr>
                <w:rFonts w:hint="eastAsia" w:ascii="仿宋" w:hAnsi="仿宋" w:eastAsia="仿宋" w:cs="仿宋"/>
                <w:szCs w:val="21"/>
                <w:highlight w:val="none"/>
                <w:lang w:val="en-US" w:eastAsia="zh-CN"/>
              </w:rPr>
              <w:t>情况</w:t>
            </w:r>
          </w:p>
          <w:p>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202</w:t>
            </w:r>
            <w:r>
              <w:rPr>
                <w:rFonts w:hint="eastAsia" w:ascii="仿宋" w:hAnsi="仿宋" w:eastAsia="仿宋" w:cs="仿宋"/>
                <w:szCs w:val="21"/>
                <w:highlight w:val="none"/>
                <w:lang w:val="en-US" w:eastAsia="zh-CN"/>
              </w:rPr>
              <w:t>3</w:t>
            </w:r>
            <w:r>
              <w:rPr>
                <w:rFonts w:hint="eastAsia" w:ascii="仿宋" w:hAnsi="仿宋" w:eastAsia="仿宋" w:cs="仿宋"/>
                <w:szCs w:val="21"/>
                <w:highlight w:val="none"/>
              </w:rPr>
              <w:t>年天易经开区为贯彻落实好党中央国务院关于全面实施预算绩效管理的意见的决策部署，根据湘潭县财政局预算绩效管理工作安排，</w:t>
            </w:r>
            <w:r>
              <w:rPr>
                <w:rFonts w:hint="eastAsia" w:ascii="仿宋" w:hAnsi="仿宋" w:eastAsia="仿宋" w:cs="仿宋"/>
                <w:szCs w:val="21"/>
                <w:highlight w:val="none"/>
                <w:lang w:val="en-US" w:eastAsia="zh-CN"/>
              </w:rPr>
              <w:t>制定了年度</w:t>
            </w:r>
            <w:r>
              <w:rPr>
                <w:rFonts w:hint="eastAsia" w:ascii="仿宋" w:hAnsi="仿宋" w:eastAsia="仿宋" w:cs="仿宋"/>
                <w:szCs w:val="21"/>
                <w:highlight w:val="none"/>
              </w:rPr>
              <w:t>绩效自评方案</w:t>
            </w:r>
            <w:r>
              <w:rPr>
                <w:rFonts w:hint="eastAsia" w:ascii="仿宋" w:hAnsi="仿宋" w:eastAsia="仿宋" w:cs="仿宋"/>
                <w:szCs w:val="21"/>
                <w:highlight w:val="none"/>
                <w:lang w:eastAsia="zh-CN"/>
              </w:rPr>
              <w:t>，</w:t>
            </w:r>
            <w:r>
              <w:rPr>
                <w:rFonts w:hint="eastAsia" w:ascii="仿宋" w:hAnsi="仿宋" w:eastAsia="仿宋" w:cs="仿宋"/>
                <w:szCs w:val="21"/>
                <w:highlight w:val="none"/>
              </w:rPr>
              <w:t>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二</w:t>
            </w:r>
            <w:r>
              <w:rPr>
                <w:rFonts w:hint="eastAsia" w:ascii="仿宋" w:hAnsi="仿宋" w:eastAsia="仿宋" w:cs="仿宋"/>
                <w:szCs w:val="21"/>
                <w:highlight w:val="none"/>
              </w:rPr>
              <w:t>）预算产出与效果绩效评价指标分析</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highlight w:val="none"/>
                <w:lang w:val="en-US" w:eastAsia="zh-CN"/>
              </w:rPr>
              <w:t>1.主要经济指标完成情况。全年实现技工贸总收</w:t>
            </w:r>
            <w:r>
              <w:rPr>
                <w:rFonts w:hint="eastAsia" w:ascii="仿宋" w:hAnsi="仿宋" w:eastAsia="仿宋" w:cs="仿宋"/>
                <w:lang w:val="en-US" w:eastAsia="zh-CN"/>
              </w:rPr>
              <w:t>入625.8亿元，地区生产总值增长6.5%；规模工业产值增长11.9%；规模工业增加值增长15%以上；固定资产投资增长10%；完成财税总收入10.3亿元，税收占比达81.07%，其中制造业税收达6亿元，增长14.64%。被评为湘潭市“打好发展六仗”真抓实干成效明显的园区，获评全市招商引资工作三季度“骏马奖”。“商转工”经验、柏屹模式得到省市肯定并推广。</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2.项目建设稳步推进。开展“奋力抓项目，全力拼经济”活动。全年实施重点项目40个，累计完成投资51.02亿元，丰达铂赛、飞欧特、柏屹智配园等9个项目建成投产；着力打造“园中园”，高位规划建设天易轨道交通配套产业园和天易食品医药产业园，获评市“四区一地一圈一强”建设优秀项目。</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3.招商引资持续向好。坚持招商与安商并重，把招商引资作为“头等大事”，把优化营商环境作为“一号工程”，全力以赴抓项目、扩增量、活存量，推动园区经济高质量发展。全年共引进项目75个，过亿元以上项目17个，合同总投资63.47亿元；完成外商直接投资425万美元，落实湘商回归项目13个，引进省外资金25.55亿元。</w:t>
            </w:r>
          </w:p>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4.产业培育成效凸显。全面开展产业强园“百十亿”工程，</w:t>
            </w:r>
            <w:bookmarkStart w:id="0" w:name="_Hlk149855588"/>
            <w:r>
              <w:rPr>
                <w:rFonts w:hint="eastAsia" w:ascii="仿宋" w:hAnsi="仿宋" w:eastAsia="仿宋" w:cs="仿宋"/>
                <w:lang w:val="en-US" w:eastAsia="zh-CN"/>
              </w:rPr>
              <w:t xml:space="preserve">积极开展“三改一扩”“智赋千企”行动。 </w:t>
            </w:r>
            <w:bookmarkEnd w:id="0"/>
            <w:r>
              <w:rPr>
                <w:rFonts w:hint="eastAsia" w:ascii="仿宋" w:hAnsi="仿宋" w:eastAsia="仿宋" w:cs="仿宋"/>
                <w:lang w:val="en-US" w:eastAsia="zh-CN"/>
              </w:rPr>
              <w:t>全年完成研发投入13.9亿元，增长43.7%；完成技术合同登记数271项，技术合同交易额12亿元。获专利授权净增12件，组织35家企业开展2023年高新技术企业申报，高新技术企业总数达105家。</w:t>
            </w:r>
            <w:bookmarkStart w:id="1" w:name="_Hlk149856059"/>
            <w:r>
              <w:rPr>
                <w:rFonts w:hint="eastAsia" w:ascii="仿宋" w:hAnsi="仿宋" w:eastAsia="仿宋" w:cs="仿宋"/>
                <w:lang w:val="en-US" w:eastAsia="zh-CN"/>
              </w:rPr>
              <w:t>18家企业获评2023年省专精特新中小企业，总数达38家</w:t>
            </w:r>
            <w:bookmarkEnd w:id="1"/>
            <w:r>
              <w:rPr>
                <w:rFonts w:hint="eastAsia" w:ascii="仿宋" w:hAnsi="仿宋" w:eastAsia="仿宋" w:cs="仿宋"/>
                <w:lang w:val="en-US" w:eastAsia="zh-CN"/>
              </w:rPr>
              <w:t>；金铠新材料、康宁达医疗、伍子醉等3家企业获批省级企业技术中心，特种线缆、市电机车厂获省工程技术研究中心立项，累计建成省市级创新平台34家。天易众创空间考核获A类。推进企业股改上市，金铠新材料新三板挂牌，实现本土企业资本市场破零；五洲通、电机车厂、信诺技术已签订上市服务协议。</w:t>
            </w:r>
          </w:p>
          <w:p>
            <w:pPr>
              <w:spacing w:line="300" w:lineRule="exact"/>
              <w:ind w:firstLine="420" w:firstLineChars="200"/>
              <w:rPr>
                <w:rFonts w:hint="eastAsia" w:ascii="仿宋" w:hAnsi="仿宋" w:eastAsia="仿宋" w:cs="仿宋"/>
                <w:szCs w:val="21"/>
              </w:rPr>
            </w:pPr>
            <w:r>
              <w:rPr>
                <w:rFonts w:hint="eastAsia" w:ascii="仿宋" w:hAnsi="仿宋" w:eastAsia="仿宋" w:cs="仿宋"/>
                <w:lang w:val="en-US" w:eastAsia="zh-CN"/>
              </w:rPr>
              <w:t>5.各类资源有序盘活。保障土地供应，批回南部片区036地块、储能电站2个项目333亩，推进柏屹2.2期252亩和新大项目103亩的土地报批，完成两个批次土地征收成片开发方案的编制及省级审批工作。出让4宗216.08亩用地，成交金额1.03亿元；制定2023年低效（空闲）用地“一地一策”处置方案，完成5宗172.17亩低效用地处置任务。合理利用县域内优势资源，与绿矿集团合作开发矿产资源，推进湘潭县城区公共停车位（场）项目，加快天易发展集团实体化转型，完成10处国有资产盘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存在的问题分析及改进措施</w:t>
            </w: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存在的问题</w:t>
            </w:r>
          </w:p>
        </w:tc>
        <w:tc>
          <w:tcPr>
            <w:tcW w:w="5702" w:type="dxa"/>
            <w:vAlign w:val="center"/>
          </w:tcPr>
          <w:p>
            <w:pPr>
              <w:spacing w:line="300" w:lineRule="exact"/>
              <w:ind w:firstLine="420" w:firstLineChars="200"/>
              <w:rPr>
                <w:rFonts w:hint="eastAsia" w:ascii="仿宋" w:hAnsi="仿宋" w:eastAsia="仿宋" w:cs="仿宋"/>
                <w:lang w:val="en-US" w:eastAsia="zh-CN"/>
              </w:rPr>
            </w:pPr>
            <w:r>
              <w:rPr>
                <w:rFonts w:hint="eastAsia" w:ascii="仿宋" w:hAnsi="仿宋" w:eastAsia="仿宋" w:cs="仿宋"/>
                <w:lang w:val="en-US" w:eastAsia="zh-CN"/>
              </w:rPr>
              <w:t>1．预算绩效目标和定量指标的制定不够细致和全面。绩效目标设置不够科学，不能准确全面反映部门整体支出的实际实施效果。</w:t>
            </w:r>
          </w:p>
          <w:p>
            <w:pPr>
              <w:spacing w:line="300" w:lineRule="exact"/>
              <w:ind w:firstLine="420" w:firstLineChars="200"/>
              <w:rPr>
                <w:rFonts w:hint="eastAsia" w:ascii="仿宋" w:hAnsi="仿宋" w:eastAsia="仿宋" w:cs="仿宋"/>
                <w:szCs w:val="21"/>
              </w:rPr>
            </w:pPr>
            <w:r>
              <w:rPr>
                <w:rFonts w:hint="eastAsia" w:ascii="仿宋" w:hAnsi="仿宋" w:eastAsia="仿宋" w:cs="仿宋"/>
                <w:lang w:val="en-US" w:eastAsia="zh-CN"/>
              </w:rPr>
              <w:t>2．部分资金预算执行率不高，未根据实际情况及时调整预算，延伸性监管不到位。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hint="eastAsia" w:ascii="仿宋" w:hAnsi="仿宋" w:eastAsia="仿宋" w:cs="仿宋"/>
                <w:szCs w:val="21"/>
              </w:rPr>
            </w:pP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改进措施</w:t>
            </w:r>
          </w:p>
        </w:tc>
        <w:tc>
          <w:tcPr>
            <w:tcW w:w="5702" w:type="dxa"/>
          </w:tcPr>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1.不断提高预算管理水平，督促基层部门开展预算绩效管理工作，从具体业务方面入手，制定适合部门支出特点的绩效指标。</w:t>
            </w:r>
          </w:p>
          <w:p>
            <w:pPr>
              <w:spacing w:line="300" w:lineRule="exact"/>
              <w:ind w:firstLine="420" w:firstLineChars="200"/>
              <w:rPr>
                <w:rFonts w:hint="eastAsia" w:ascii="仿宋" w:hAnsi="仿宋" w:eastAsia="仿宋" w:cs="仿宋"/>
                <w:szCs w:val="21"/>
              </w:rPr>
            </w:pPr>
            <w:r>
              <w:rPr>
                <w:rFonts w:hint="eastAsia" w:ascii="仿宋" w:hAnsi="仿宋" w:eastAsia="仿宋" w:cs="仿宋"/>
                <w:szCs w:val="21"/>
              </w:rPr>
              <w:t>2．积极主动作为，根据预算分解方案，监控预算执行进度和执行情况，</w:t>
            </w:r>
            <w:r>
              <w:rPr>
                <w:rFonts w:hint="eastAsia" w:ascii="仿宋" w:hAnsi="仿宋" w:eastAsia="仿宋" w:cs="仿宋"/>
                <w:szCs w:val="21"/>
                <w:lang w:val="en-US" w:eastAsia="zh-CN"/>
              </w:rPr>
              <w:t>要求</w:t>
            </w:r>
            <w:r>
              <w:rPr>
                <w:rFonts w:hint="eastAsia" w:ascii="仿宋" w:hAnsi="仿宋" w:eastAsia="仿宋" w:cs="仿宋"/>
                <w:szCs w:val="21"/>
              </w:rPr>
              <w:t>资金使用单位及时反馈项目实际情况，使主管部门及早对预算安排进行必要调整，避免资金闲置，提高预算资金使用效益。</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384" w:type="dxa"/>
            <w:vMerge w:val="continue"/>
          </w:tcPr>
          <w:p>
            <w:pPr>
              <w:spacing w:line="576" w:lineRule="exact"/>
              <w:jc w:val="center"/>
              <w:rPr>
                <w:rFonts w:hint="eastAsia" w:ascii="仿宋" w:hAnsi="仿宋" w:eastAsia="仿宋" w:cs="仿宋"/>
                <w:szCs w:val="21"/>
              </w:rPr>
            </w:pPr>
          </w:p>
        </w:tc>
        <w:tc>
          <w:tcPr>
            <w:tcW w:w="1985" w:type="dxa"/>
            <w:vAlign w:val="center"/>
          </w:tcPr>
          <w:p>
            <w:pPr>
              <w:spacing w:line="576" w:lineRule="exact"/>
              <w:jc w:val="center"/>
              <w:rPr>
                <w:rFonts w:hint="eastAsia" w:ascii="仿宋" w:hAnsi="仿宋" w:eastAsia="仿宋" w:cs="仿宋"/>
                <w:szCs w:val="21"/>
              </w:rPr>
            </w:pPr>
            <w:r>
              <w:rPr>
                <w:rFonts w:hint="eastAsia" w:ascii="仿宋" w:hAnsi="仿宋" w:eastAsia="仿宋" w:cs="仿宋"/>
                <w:szCs w:val="21"/>
              </w:rPr>
              <w:t>其他需要说明问题</w:t>
            </w:r>
          </w:p>
        </w:tc>
        <w:tc>
          <w:tcPr>
            <w:tcW w:w="5702" w:type="dxa"/>
            <w:vAlign w:val="center"/>
          </w:tcPr>
          <w:p>
            <w:pPr>
              <w:spacing w:line="576" w:lineRule="exact"/>
              <w:ind w:right="880" w:rightChars="419"/>
              <w:jc w:val="center"/>
              <w:rPr>
                <w:rFonts w:hint="eastAsia" w:ascii="仿宋" w:hAnsi="仿宋" w:eastAsia="仿宋" w:cs="仿宋"/>
                <w:szCs w:val="21"/>
              </w:rPr>
            </w:pPr>
            <w:r>
              <w:rPr>
                <w:rFonts w:hint="eastAsia" w:ascii="仿宋" w:hAnsi="仿宋" w:eastAsia="仿宋" w:cs="仿宋"/>
                <w:szCs w:val="21"/>
              </w:rPr>
              <w:t>无</w:t>
            </w:r>
          </w:p>
        </w:tc>
      </w:tr>
    </w:tbl>
    <w:p>
      <w:pPr>
        <w:widowControl/>
        <w:jc w:val="left"/>
        <w:rPr>
          <w:rFonts w:ascii="仿宋_GB2312" w:hAnsi="黑体" w:eastAsia="仿宋_GB2312" w:cs="黑体"/>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8A58CB-E021-455D-ACCC-AEF79967FB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0089D0DA-7D9F-4567-A23F-EB4AB642C6CA}"/>
  </w:font>
  <w:font w:name="方正小标宋_GBK">
    <w:panose1 w:val="02000000000000000000"/>
    <w:charset w:val="86"/>
    <w:family w:val="auto"/>
    <w:pitch w:val="default"/>
    <w:sig w:usb0="A00002BF" w:usb1="38CF7CFA" w:usb2="00082016" w:usb3="00000000" w:csb0="00040001" w:csb1="00000000"/>
    <w:embedRegular r:id="rId3" w:fontKey="{D73341AA-0620-4442-B654-670AF9217F66}"/>
  </w:font>
  <w:font w:name="仿宋">
    <w:panose1 w:val="02010609060101010101"/>
    <w:charset w:val="86"/>
    <w:family w:val="auto"/>
    <w:pitch w:val="default"/>
    <w:sig w:usb0="800002BF" w:usb1="38CF7CFA" w:usb2="00000016" w:usb3="00000000" w:csb0="00040001" w:csb1="00000000"/>
    <w:embedRegular r:id="rId4" w:fontKey="{D16DFE45-EA31-45F2-8A1E-12C3E5392E2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YWQ4ZWIxYzhmODMxNTBiZmI3ZmVkNmRjMWQ3YzkifQ=="/>
  </w:docVars>
  <w:rsids>
    <w:rsidRoot w:val="0058167A"/>
    <w:rsid w:val="00037730"/>
    <w:rsid w:val="000C2846"/>
    <w:rsid w:val="00104A5A"/>
    <w:rsid w:val="00124D3C"/>
    <w:rsid w:val="001A0611"/>
    <w:rsid w:val="001B6365"/>
    <w:rsid w:val="001F7C66"/>
    <w:rsid w:val="00214C27"/>
    <w:rsid w:val="00232C1B"/>
    <w:rsid w:val="0029114D"/>
    <w:rsid w:val="003A5243"/>
    <w:rsid w:val="003F3966"/>
    <w:rsid w:val="0044384F"/>
    <w:rsid w:val="0058167A"/>
    <w:rsid w:val="005B0226"/>
    <w:rsid w:val="006C581B"/>
    <w:rsid w:val="00760A6C"/>
    <w:rsid w:val="007C13D4"/>
    <w:rsid w:val="008032A6"/>
    <w:rsid w:val="00885FCE"/>
    <w:rsid w:val="00922F1A"/>
    <w:rsid w:val="009668B9"/>
    <w:rsid w:val="00967FED"/>
    <w:rsid w:val="00A12399"/>
    <w:rsid w:val="00B26AF0"/>
    <w:rsid w:val="00B623E0"/>
    <w:rsid w:val="00B81E9A"/>
    <w:rsid w:val="00CE1CB5"/>
    <w:rsid w:val="00CE4F2A"/>
    <w:rsid w:val="00D36EEF"/>
    <w:rsid w:val="00D521B4"/>
    <w:rsid w:val="00DD531E"/>
    <w:rsid w:val="00F37526"/>
    <w:rsid w:val="00F43BB7"/>
    <w:rsid w:val="00F65BCC"/>
    <w:rsid w:val="00FF0491"/>
    <w:rsid w:val="025F4CBE"/>
    <w:rsid w:val="0E72571D"/>
    <w:rsid w:val="1186164E"/>
    <w:rsid w:val="1212113B"/>
    <w:rsid w:val="1C766F08"/>
    <w:rsid w:val="224B41FE"/>
    <w:rsid w:val="2CB97BDE"/>
    <w:rsid w:val="31186544"/>
    <w:rsid w:val="35A87AF3"/>
    <w:rsid w:val="367032FD"/>
    <w:rsid w:val="3F5B587E"/>
    <w:rsid w:val="3F5D2FD0"/>
    <w:rsid w:val="40113F45"/>
    <w:rsid w:val="42DA0B1B"/>
    <w:rsid w:val="46DD0FE4"/>
    <w:rsid w:val="4A9E2E1A"/>
    <w:rsid w:val="4B654F99"/>
    <w:rsid w:val="4E914427"/>
    <w:rsid w:val="4F6B5EE9"/>
    <w:rsid w:val="50517BA2"/>
    <w:rsid w:val="51D07DDA"/>
    <w:rsid w:val="59934492"/>
    <w:rsid w:val="5DD37799"/>
    <w:rsid w:val="5E0C0615"/>
    <w:rsid w:val="5F6804D7"/>
    <w:rsid w:val="68391610"/>
    <w:rsid w:val="7D0270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19"/>
    </w:pPr>
    <w:rPr>
      <w:sz w:val="32"/>
      <w:szCs w:val="32"/>
    </w:rPr>
  </w:style>
  <w:style w:type="paragraph" w:customStyle="1" w:styleId="3">
    <w:name w:val="正文首行缩进1"/>
    <w:basedOn w:val="1"/>
    <w:qFormat/>
    <w:uiPriority w:val="0"/>
    <w:pPr>
      <w:spacing w:after="120"/>
      <w:ind w:firstLine="420" w:firstLineChars="100"/>
    </w:pPr>
    <w:rPr>
      <w:rFonts w:ascii="Times New Roman" w:hAnsi="Times New Roman"/>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unhideWhenUsed/>
    <w:qFormat/>
    <w:uiPriority w:val="99"/>
    <w:pPr>
      <w:spacing w:line="600" w:lineRule="exact"/>
      <w:ind w:firstLine="200" w:firstLineChars="200"/>
    </w:pPr>
    <w:rPr>
      <w:rFonts w:eastAsia="仿宋_GB2312"/>
      <w:sz w:val="24"/>
    </w:rPr>
  </w:style>
  <w:style w:type="character" w:customStyle="1" w:styleId="9">
    <w:name w:val="页眉 Char"/>
    <w:basedOn w:val="8"/>
    <w:link w:val="5"/>
    <w:semiHidden/>
    <w:qFormat/>
    <w:uiPriority w:val="99"/>
    <w:rPr>
      <w:rFonts w:ascii="Times New Roman" w:hAnsi="Times New Roman" w:eastAsia="宋体" w:cs="Times New Roman"/>
      <w:sz w:val="18"/>
      <w:szCs w:val="18"/>
    </w:rPr>
  </w:style>
  <w:style w:type="character" w:customStyle="1" w:styleId="10">
    <w:name w:val="页脚 Char"/>
    <w:basedOn w:val="8"/>
    <w:link w:val="4"/>
    <w:semiHidden/>
    <w:qFormat/>
    <w:uiPriority w:val="99"/>
    <w:rPr>
      <w:rFonts w:ascii="Times New Roman" w:hAnsi="Times New Roman" w:eastAsia="宋体" w:cs="Times New Roman"/>
      <w:sz w:val="18"/>
      <w:szCs w:val="18"/>
    </w:rPr>
  </w:style>
  <w:style w:type="character" w:customStyle="1" w:styleId="11">
    <w:name w:val="NormalCharacter"/>
    <w:semiHidden/>
    <w:qFormat/>
    <w:uiPriority w:val="0"/>
  </w:style>
  <w:style w:type="character" w:customStyle="1" w:styleId="12">
    <w:name w:val="s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CA973-B0DB-4818-BC6A-68D67649C678}">
  <ds:schemaRefs/>
</ds:datastoreItem>
</file>

<file path=docProps/app.xml><?xml version="1.0" encoding="utf-8"?>
<Properties xmlns="http://schemas.openxmlformats.org/officeDocument/2006/extended-properties" xmlns:vt="http://schemas.openxmlformats.org/officeDocument/2006/docPropsVTypes">
  <Template>Normal.dotm</Template>
  <Pages>4</Pages>
  <Words>3793</Words>
  <Characters>4167</Characters>
  <Lines>35</Lines>
  <Paragraphs>9</Paragraphs>
  <TotalTime>13</TotalTime>
  <ScaleCrop>false</ScaleCrop>
  <LinksUpToDate>false</LinksUpToDate>
  <CharactersWithSpaces>4179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2021-05-20T03:24:00Z</dcterms:created>
  <dc:creator>XYDN</dc:creator>
  <cp:lastModifiedBy>蜜丫Amy</cp:lastModifiedBy>
  <dcterms:modified xsi:type="dcterms:W3CDTF">2024-06-03T03:48:22Z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A84A40C8DA4240049957CC318D14E215_13</vt:lpwstr>
  </property>
</Properties>
</file>