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PPP项目政府付费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支出绩效评价报告</w:t>
      </w:r>
    </w:p>
    <w:p>
      <w:pPr>
        <w:pStyle w:val="8"/>
        <w:jc w:val="center"/>
        <w:rPr>
          <w:rFonts w:hint="eastAsia" w:eastAsia="宋体"/>
          <w:lang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2023年度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eastAsia="zh-CN"/>
        </w:rPr>
        <w:t>）</w:t>
      </w:r>
    </w:p>
    <w:tbl>
      <w:tblPr>
        <w:tblStyle w:val="5"/>
        <w:tblpPr w:leftFromText="180" w:rightFromText="180" w:vertAnchor="text" w:horzAnchor="margin" w:tblpXSpec="center" w:tblpY="189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992"/>
        <w:gridCol w:w="5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部门概况</w:t>
            </w: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专项名称</w:t>
            </w:r>
          </w:p>
        </w:tc>
        <w:tc>
          <w:tcPr>
            <w:tcW w:w="596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PPP项目政府付费支出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年度预算金额</w:t>
            </w:r>
          </w:p>
        </w:tc>
        <w:tc>
          <w:tcPr>
            <w:tcW w:w="59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450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0.00万元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项目主管部门</w:t>
            </w:r>
          </w:p>
        </w:tc>
        <w:tc>
          <w:tcPr>
            <w:tcW w:w="59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湘潭天易经济开发区管理委员会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项目立项目的</w:t>
            </w:r>
          </w:p>
        </w:tc>
        <w:tc>
          <w:tcPr>
            <w:tcW w:w="5967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根据《天易示范区物流园市政工程PPP项目合同》约定，需向项目公司支付可用性服务费和运维绩效服务费，根据资金预算及实际情况，特设立本项目。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绩效情况</w:t>
            </w: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项目支出管理和使用基本情况</w:t>
            </w:r>
          </w:p>
        </w:tc>
        <w:tc>
          <w:tcPr>
            <w:tcW w:w="5967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一、项目资金管理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针对专项资金，我区制定了专项资金相关管理文件，并严格按照文件规定执行，做到了专款专用、专账核算、财务审批流程健全规范、资金拨付手续齐全。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二、项目支出使用情况</w:t>
            </w:r>
          </w:p>
          <w:p>
            <w:pPr>
              <w:spacing w:line="300" w:lineRule="exact"/>
              <w:ind w:firstLine="420" w:firstLineChars="200"/>
              <w:rPr>
                <w:rFonts w:hint="default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202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3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年度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PPP项目政府付费支出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专项资金预算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450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0.00万元，本年度实际使用项目资金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5080.1万元，其中财政拨款资金支出4500万元，其他资金支出580.1万元。用于保障该项目银行借款本金及利息，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专项资金拨付及时，无多头申报、重复安排的情况。单位财务制度健全、会计核算规范、资金管理严格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</w:rPr>
              <w:t>，无违规现象的发生。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项目绩效目标完成情况</w:t>
            </w:r>
          </w:p>
        </w:tc>
        <w:tc>
          <w:tcPr>
            <w:tcW w:w="5967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一、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组织实施情况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现项目已经整体进入运营期，湘潭天易经开区管理委员会作为项目实施机构，履行监督管理职责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项目运营维护工作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正常运行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。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  <w:lang w:val="en-US" w:eastAsia="zh-CN"/>
              </w:rPr>
              <w:t>二</w:t>
            </w: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、项目效益完成情况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积极与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本项目两家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贷款银行（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中国银行、工商银行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）沟通协商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调整还本付息计划。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中国银行2023年5月应偿还本金由7231万元降至150万元，工商银行2023年需偿还本金由6250万元降至200万元。降低政府2023年度支付压力，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通过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多次与社会投资方洽谈，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将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本年度应支付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金额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2.04亿元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调整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降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至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0.5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亿元。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vMerge w:val="restart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存在的问题分析及改进措施</w:t>
            </w: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存在的问题</w:t>
            </w:r>
          </w:p>
        </w:tc>
        <w:tc>
          <w:tcPr>
            <w:tcW w:w="5967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1、政府支出责任较大，县级财力紧张；</w:t>
            </w:r>
          </w:p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2、预算绩效目标制定不够全面。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改进措施</w:t>
            </w:r>
          </w:p>
        </w:tc>
        <w:tc>
          <w:tcPr>
            <w:tcW w:w="5967" w:type="dxa"/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1、严格</w:t>
            </w:r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落实过紧日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szCs w:val="21"/>
                <w:lang w:val="zh-CN" w:eastAsia="zh-CN"/>
              </w:rPr>
              <w:t>子要求，加强财政资金管理。</w:t>
            </w:r>
          </w:p>
          <w:p>
            <w:pPr>
              <w:spacing w:line="300" w:lineRule="exact"/>
              <w:ind w:firstLine="42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21"/>
                <w:lang w:val="en-US" w:eastAsia="zh-CN"/>
              </w:rPr>
              <w:t>2、严格按照预算编制的相关制度和要求进行预算编制，进一步提高预算编制的科学性、严谨性和可控性，提高预算的合理性和准确性。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</w:p>
        </w:tc>
        <w:tc>
          <w:tcPr>
            <w:tcW w:w="1992" w:type="dxa"/>
            <w:vAlign w:val="center"/>
          </w:tcPr>
          <w:p>
            <w:pPr>
              <w:spacing w:line="576" w:lineRule="exact"/>
              <w:jc w:val="both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其他需要说明问题</w:t>
            </w:r>
          </w:p>
        </w:tc>
        <w:tc>
          <w:tcPr>
            <w:tcW w:w="5967" w:type="dxa"/>
            <w:vAlign w:val="center"/>
          </w:tcPr>
          <w:p>
            <w:pPr>
              <w:spacing w:line="576" w:lineRule="exact"/>
              <w:jc w:val="center"/>
              <w:rPr>
                <w:rFonts w:hint="eastAsia" w:ascii="方正仿宋_GB2312" w:hAnsi="方正仿宋_GB2312" w:eastAsia="方正仿宋_GB2312" w:cs="方正仿宋_GB231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Cs w:val="32"/>
              </w:rPr>
              <w:t>无</w:t>
            </w:r>
          </w:p>
        </w:tc>
      </w:tr>
    </w:tbl>
    <w:p/>
    <w:sectPr>
      <w:pgSz w:w="11906" w:h="16838"/>
      <w:pgMar w:top="1134" w:right="1797" w:bottom="680" w:left="1797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8282C92F-4E40-47C3-999E-A7013EF12B7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66F4F45-3E50-45F7-A4D6-ED20A878F3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MmRkYTg3YTllNWFjMDc0NGViYTFjZDEzMDhhYzMifQ=="/>
  </w:docVars>
  <w:rsids>
    <w:rsidRoot w:val="00637999"/>
    <w:rsid w:val="000108AC"/>
    <w:rsid w:val="00023A8C"/>
    <w:rsid w:val="00052F75"/>
    <w:rsid w:val="001D12D3"/>
    <w:rsid w:val="0039109F"/>
    <w:rsid w:val="00530415"/>
    <w:rsid w:val="00576F75"/>
    <w:rsid w:val="00607C95"/>
    <w:rsid w:val="00637999"/>
    <w:rsid w:val="0067105D"/>
    <w:rsid w:val="00815876"/>
    <w:rsid w:val="00851BC5"/>
    <w:rsid w:val="0093075D"/>
    <w:rsid w:val="0093751B"/>
    <w:rsid w:val="0095362C"/>
    <w:rsid w:val="009A06D7"/>
    <w:rsid w:val="00A07533"/>
    <w:rsid w:val="00BC29C2"/>
    <w:rsid w:val="00C77203"/>
    <w:rsid w:val="00E13F75"/>
    <w:rsid w:val="00E4255D"/>
    <w:rsid w:val="00E470C2"/>
    <w:rsid w:val="00E63466"/>
    <w:rsid w:val="00F80176"/>
    <w:rsid w:val="082C52F1"/>
    <w:rsid w:val="0A764BE3"/>
    <w:rsid w:val="10B62239"/>
    <w:rsid w:val="143D67CD"/>
    <w:rsid w:val="262F1C7D"/>
    <w:rsid w:val="29896926"/>
    <w:rsid w:val="35094485"/>
    <w:rsid w:val="37276EB4"/>
    <w:rsid w:val="391C0F51"/>
    <w:rsid w:val="467C4DAF"/>
    <w:rsid w:val="4AD36E9A"/>
    <w:rsid w:val="4E62782D"/>
    <w:rsid w:val="50216A78"/>
    <w:rsid w:val="52626C5B"/>
    <w:rsid w:val="5547457F"/>
    <w:rsid w:val="59F221E9"/>
    <w:rsid w:val="5BEC7E8A"/>
    <w:rsid w:val="5C51307F"/>
    <w:rsid w:val="5CBF5F72"/>
    <w:rsid w:val="5DB75FEB"/>
    <w:rsid w:val="615756FD"/>
    <w:rsid w:val="644D00B7"/>
    <w:rsid w:val="66E95B54"/>
    <w:rsid w:val="6D8242D2"/>
    <w:rsid w:val="7A81666E"/>
    <w:rsid w:val="7B49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99"/>
    <w:pPr>
      <w:ind w:firstLine="42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</w:rPr>
  </w:style>
  <w:style w:type="paragraph" w:customStyle="1" w:styleId="8">
    <w:name w:val="正文格式"/>
    <w:qFormat/>
    <w:uiPriority w:val="99"/>
    <w:pPr>
      <w:spacing w:beforeLines="50" w:afterLines="50" w:line="360" w:lineRule="auto"/>
      <w:ind w:firstLine="48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730</Words>
  <Characters>793</Characters>
  <Lines>14</Lines>
  <Paragraphs>4</Paragraphs>
  <TotalTime>1</TotalTime>
  <ScaleCrop>false</ScaleCrop>
  <LinksUpToDate>false</LinksUpToDate>
  <CharactersWithSpaces>793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2022-05-18T03:25:00Z</dcterms:created>
  <dc:creator>XYDN</dc:creator>
  <cp:lastModifiedBy>彭琬媖</cp:lastModifiedBy>
  <cp:lastPrinted>2024-06-03T03:51:12Z</cp:lastPrinted>
  <dcterms:modified xsi:type="dcterms:W3CDTF">2024-06-03T03:51:21Z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D1DEF7DEB3CE4DE996D07195EB49BBBC_13</vt:lpwstr>
  </property>
</Properties>
</file>