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6" w:lineRule="exact"/>
        <w:jc w:val="center"/>
        <w:rPr>
          <w:rFonts w:hint="eastAsia" w:ascii="宋体" w:hAnsi="宋体" w:cs="仿宋_GB2312"/>
          <w:b/>
          <w:bCs/>
          <w:color w:val="000000"/>
          <w:kern w:val="0"/>
          <w:sz w:val="36"/>
          <w:szCs w:val="36"/>
        </w:rPr>
      </w:pPr>
      <w:r>
        <w:rPr>
          <w:rFonts w:hint="eastAsia" w:ascii="宋体" w:hAnsi="宋体" w:cs="仿宋_GB2312"/>
          <w:b/>
          <w:bCs/>
          <w:color w:val="000000"/>
          <w:kern w:val="0"/>
          <w:sz w:val="36"/>
          <w:szCs w:val="36"/>
          <w:lang w:val="en-US" w:eastAsia="zh-CN"/>
        </w:rPr>
        <w:t>法制</w:t>
      </w:r>
      <w:r>
        <w:rPr>
          <w:rFonts w:hint="eastAsia" w:ascii="宋体" w:hAnsi="宋体" w:cs="仿宋_GB2312"/>
          <w:b/>
          <w:bCs/>
          <w:color w:val="000000"/>
          <w:kern w:val="0"/>
          <w:sz w:val="36"/>
          <w:szCs w:val="36"/>
        </w:rPr>
        <w:t>专项项目支出绩效评价报告</w:t>
      </w:r>
    </w:p>
    <w:p>
      <w:pPr>
        <w:pStyle w:val="7"/>
        <w:jc w:val="center"/>
        <w:rPr>
          <w:rFonts w:hint="eastAsia" w:eastAsia="宋体"/>
          <w:lang w:eastAsia="zh-CN"/>
        </w:rPr>
      </w:pPr>
      <w:r>
        <w:rPr>
          <w:rFonts w:hint="eastAsia" w:ascii="宋体" w:hAnsi="宋体" w:cs="仿宋_GB2312"/>
          <w:b/>
          <w:bCs/>
          <w:color w:val="000000"/>
          <w:kern w:val="0"/>
          <w:sz w:val="36"/>
          <w:szCs w:val="36"/>
          <w:lang w:eastAsia="zh-CN"/>
        </w:rPr>
        <w:t>（</w:t>
      </w:r>
      <w:r>
        <w:rPr>
          <w:rFonts w:hint="eastAsia" w:ascii="宋体" w:hAnsi="宋体" w:cs="仿宋_GB2312"/>
          <w:b/>
          <w:bCs/>
          <w:color w:val="000000"/>
          <w:kern w:val="0"/>
          <w:sz w:val="36"/>
          <w:szCs w:val="36"/>
          <w:lang w:val="en-US" w:eastAsia="zh-CN"/>
        </w:rPr>
        <w:t>2023年度</w:t>
      </w:r>
      <w:r>
        <w:rPr>
          <w:rFonts w:hint="eastAsia" w:ascii="宋体" w:hAnsi="宋体" w:cs="仿宋_GB2312"/>
          <w:b/>
          <w:bCs/>
          <w:color w:val="000000"/>
          <w:kern w:val="0"/>
          <w:sz w:val="36"/>
          <w:szCs w:val="36"/>
          <w:lang w:eastAsia="zh-CN"/>
        </w:rPr>
        <w:t>）</w:t>
      </w:r>
    </w:p>
    <w:tbl>
      <w:tblPr>
        <w:tblStyle w:val="4"/>
        <w:tblpPr w:leftFromText="180" w:rightFromText="180" w:vertAnchor="text" w:horzAnchor="margin" w:tblpXSpec="center" w:tblpY="189"/>
        <w:tblW w:w="94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617"/>
        <w:gridCol w:w="6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restart"/>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部门概况</w:t>
            </w:r>
          </w:p>
        </w:tc>
        <w:tc>
          <w:tcPr>
            <w:tcW w:w="1617"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专项名称</w:t>
            </w:r>
          </w:p>
        </w:tc>
        <w:tc>
          <w:tcPr>
            <w:tcW w:w="6274" w:type="dxa"/>
            <w:vAlign w:val="center"/>
          </w:tcPr>
          <w:p>
            <w:pPr>
              <w:spacing w:line="440" w:lineRule="exact"/>
              <w:jc w:val="center"/>
              <w:rPr>
                <w:rFonts w:hint="eastAsia" w:ascii="仿宋" w:hAnsi="仿宋" w:eastAsia="仿宋" w:cs="仿宋"/>
                <w:szCs w:val="32"/>
              </w:rPr>
            </w:pPr>
            <w:r>
              <w:rPr>
                <w:rFonts w:hint="eastAsia" w:ascii="仿宋" w:hAnsi="仿宋" w:eastAsia="仿宋" w:cs="仿宋"/>
                <w:szCs w:val="32"/>
                <w:lang w:val="en-US" w:eastAsia="zh-CN"/>
              </w:rPr>
              <w:t>法制</w:t>
            </w:r>
            <w:r>
              <w:rPr>
                <w:rFonts w:hint="eastAsia" w:ascii="仿宋" w:hAnsi="仿宋" w:eastAsia="仿宋" w:cs="仿宋"/>
                <w:szCs w:val="32"/>
              </w:rPr>
              <w:t>专项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567" w:type="dxa"/>
            <w:vMerge w:val="continue"/>
            <w:vAlign w:val="center"/>
          </w:tcPr>
          <w:p>
            <w:pPr>
              <w:spacing w:line="576" w:lineRule="exact"/>
              <w:jc w:val="center"/>
              <w:rPr>
                <w:rFonts w:hint="eastAsia" w:ascii="仿宋" w:hAnsi="仿宋" w:eastAsia="仿宋" w:cs="仿宋"/>
                <w:szCs w:val="32"/>
              </w:rPr>
            </w:pPr>
          </w:p>
        </w:tc>
        <w:tc>
          <w:tcPr>
            <w:tcW w:w="1617"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年度预算金额</w:t>
            </w:r>
          </w:p>
        </w:tc>
        <w:tc>
          <w:tcPr>
            <w:tcW w:w="6274" w:type="dxa"/>
            <w:vAlign w:val="center"/>
          </w:tcPr>
          <w:p>
            <w:pPr>
              <w:spacing w:line="400" w:lineRule="exact"/>
              <w:jc w:val="center"/>
              <w:rPr>
                <w:rFonts w:hint="eastAsia" w:ascii="仿宋" w:hAnsi="仿宋" w:eastAsia="仿宋" w:cs="仿宋"/>
                <w:szCs w:val="32"/>
              </w:rPr>
            </w:pPr>
            <w:r>
              <w:rPr>
                <w:rFonts w:hint="eastAsia" w:ascii="仿宋" w:hAnsi="仿宋" w:eastAsia="仿宋" w:cs="仿宋"/>
                <w:szCs w:val="32"/>
                <w:lang w:val="en-US" w:eastAsia="zh-CN"/>
              </w:rPr>
              <w:t>10</w:t>
            </w:r>
            <w:r>
              <w:rPr>
                <w:rFonts w:hint="eastAsia" w:ascii="仿宋" w:hAnsi="仿宋" w:eastAsia="仿宋" w:cs="仿宋"/>
                <w:szCs w:val="32"/>
              </w:rPr>
              <w:t>0.00万元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hint="eastAsia" w:ascii="仿宋" w:hAnsi="仿宋" w:eastAsia="仿宋" w:cs="仿宋"/>
                <w:szCs w:val="32"/>
              </w:rPr>
            </w:pPr>
          </w:p>
        </w:tc>
        <w:tc>
          <w:tcPr>
            <w:tcW w:w="1617"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项目主管部门</w:t>
            </w:r>
          </w:p>
        </w:tc>
        <w:tc>
          <w:tcPr>
            <w:tcW w:w="6274" w:type="dxa"/>
            <w:vAlign w:val="center"/>
          </w:tcPr>
          <w:p>
            <w:pPr>
              <w:spacing w:line="400" w:lineRule="exact"/>
              <w:jc w:val="center"/>
              <w:rPr>
                <w:rFonts w:hint="eastAsia" w:ascii="仿宋" w:hAnsi="仿宋" w:eastAsia="仿宋" w:cs="仿宋"/>
                <w:szCs w:val="32"/>
              </w:rPr>
            </w:pPr>
            <w:r>
              <w:rPr>
                <w:rFonts w:hint="eastAsia" w:ascii="仿宋" w:hAnsi="仿宋" w:eastAsia="仿宋" w:cs="仿宋"/>
                <w:szCs w:val="32"/>
              </w:rPr>
              <w:t>湖南湘潭天易经济开发区管理委员会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hint="eastAsia" w:ascii="仿宋" w:hAnsi="仿宋" w:eastAsia="仿宋" w:cs="仿宋"/>
                <w:szCs w:val="32"/>
              </w:rPr>
            </w:pPr>
          </w:p>
        </w:tc>
        <w:tc>
          <w:tcPr>
            <w:tcW w:w="1617"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项目立项目的</w:t>
            </w:r>
          </w:p>
        </w:tc>
        <w:tc>
          <w:tcPr>
            <w:tcW w:w="6274" w:type="dxa"/>
            <w:vAlign w:val="center"/>
          </w:tcPr>
          <w:p>
            <w:pPr>
              <w:spacing w:line="300" w:lineRule="exact"/>
              <w:ind w:firstLine="420" w:firstLineChars="200"/>
              <w:rPr>
                <w:rFonts w:hint="eastAsia" w:ascii="仿宋" w:hAnsi="仿宋" w:eastAsia="仿宋" w:cs="仿宋"/>
                <w:szCs w:val="32"/>
              </w:rPr>
            </w:pPr>
            <w:r>
              <w:rPr>
                <w:rFonts w:hint="eastAsia" w:ascii="仿宋" w:hAnsi="仿宋" w:eastAsia="仿宋" w:cs="仿宋"/>
                <w:lang w:val="en-US" w:eastAsia="zh-CN"/>
              </w:rPr>
              <w:t>为规范重大行政决策程序，提高决策质量和效率，依法决策机制，依法办理行政诉讼案件，为区委科学决策提供法律保障</w:t>
            </w:r>
            <w:r>
              <w:rPr>
                <w:rFonts w:hint="eastAsia" w:ascii="仿宋" w:hAnsi="仿宋" w:eastAsia="仿宋" w:cs="仿宋"/>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restart"/>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绩效情况</w:t>
            </w:r>
          </w:p>
        </w:tc>
        <w:tc>
          <w:tcPr>
            <w:tcW w:w="1617"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项目支出管理和使用基本情况</w:t>
            </w:r>
          </w:p>
        </w:tc>
        <w:tc>
          <w:tcPr>
            <w:tcW w:w="6274" w:type="dxa"/>
            <w:vAlign w:val="center"/>
          </w:tcPr>
          <w:p>
            <w:pPr>
              <w:spacing w:line="300" w:lineRule="exact"/>
              <w:ind w:firstLine="420" w:firstLineChars="200"/>
              <w:rPr>
                <w:rFonts w:hint="eastAsia" w:ascii="仿宋" w:hAnsi="仿宋" w:eastAsia="仿宋" w:cs="仿宋"/>
                <w:szCs w:val="21"/>
                <w:lang w:eastAsia="zh-CN"/>
              </w:rPr>
            </w:pPr>
            <w:r>
              <w:rPr>
                <w:rFonts w:hint="eastAsia" w:ascii="仿宋" w:hAnsi="仿宋" w:eastAsia="仿宋" w:cs="仿宋"/>
                <w:szCs w:val="21"/>
              </w:rPr>
              <w:t>一、项目资金管理</w:t>
            </w:r>
            <w:r>
              <w:rPr>
                <w:rFonts w:hint="eastAsia" w:ascii="仿宋" w:hAnsi="仿宋" w:eastAsia="仿宋" w:cs="仿宋"/>
                <w:szCs w:val="21"/>
                <w:lang w:val="en-US" w:eastAsia="zh-CN"/>
              </w:rPr>
              <w:t>情况</w:t>
            </w:r>
          </w:p>
          <w:p>
            <w:pPr>
              <w:spacing w:line="300" w:lineRule="exact"/>
              <w:ind w:firstLine="420" w:firstLineChars="200"/>
              <w:rPr>
                <w:rFonts w:hint="eastAsia" w:ascii="仿宋" w:hAnsi="仿宋" w:eastAsia="仿宋" w:cs="仿宋"/>
                <w:szCs w:val="21"/>
              </w:rPr>
            </w:pPr>
            <w:r>
              <w:rPr>
                <w:rFonts w:hint="eastAsia" w:ascii="仿宋" w:hAnsi="仿宋" w:eastAsia="仿宋" w:cs="仿宋"/>
                <w:szCs w:val="21"/>
              </w:rPr>
              <w:t>针对</w:t>
            </w:r>
            <w:r>
              <w:rPr>
                <w:rFonts w:hint="eastAsia" w:ascii="仿宋" w:hAnsi="仿宋" w:eastAsia="仿宋" w:cs="仿宋"/>
                <w:szCs w:val="21"/>
                <w:lang w:val="en-US" w:eastAsia="zh-CN"/>
              </w:rPr>
              <w:t>法制</w:t>
            </w:r>
            <w:r>
              <w:rPr>
                <w:rFonts w:hint="eastAsia" w:ascii="仿宋" w:hAnsi="仿宋" w:eastAsia="仿宋" w:cs="仿宋"/>
                <w:szCs w:val="21"/>
              </w:rPr>
              <w:t>专项资金，我区制定了专项资金相关管理文件，并严格按照文件规定执行，做到了专款专用、专账核算、财务审批流程健全规范、资金拨付手续齐全。</w:t>
            </w:r>
          </w:p>
          <w:p>
            <w:pPr>
              <w:spacing w:line="300" w:lineRule="exact"/>
              <w:ind w:firstLine="420" w:firstLineChars="200"/>
              <w:rPr>
                <w:rFonts w:hint="eastAsia" w:ascii="仿宋" w:hAnsi="仿宋" w:eastAsia="仿宋" w:cs="仿宋"/>
                <w:szCs w:val="21"/>
              </w:rPr>
            </w:pPr>
            <w:r>
              <w:rPr>
                <w:rFonts w:hint="eastAsia" w:ascii="仿宋" w:hAnsi="仿宋" w:eastAsia="仿宋" w:cs="仿宋"/>
                <w:szCs w:val="21"/>
              </w:rPr>
              <w:t>二、项目支出使用情况</w:t>
            </w:r>
          </w:p>
          <w:p>
            <w:pPr>
              <w:spacing w:line="300" w:lineRule="exact"/>
              <w:ind w:firstLine="420" w:firstLineChars="200"/>
              <w:rPr>
                <w:rFonts w:hint="eastAsia" w:ascii="仿宋" w:hAnsi="仿宋" w:eastAsia="仿宋" w:cs="仿宋"/>
                <w:szCs w:val="21"/>
              </w:rPr>
            </w:pPr>
            <w:r>
              <w:rPr>
                <w:rFonts w:hint="eastAsia" w:ascii="仿宋" w:hAnsi="仿宋" w:eastAsia="仿宋" w:cs="仿宋"/>
                <w:szCs w:val="21"/>
              </w:rPr>
              <w:t>202</w:t>
            </w:r>
            <w:r>
              <w:rPr>
                <w:rFonts w:hint="eastAsia" w:ascii="仿宋" w:hAnsi="仿宋" w:eastAsia="仿宋" w:cs="仿宋"/>
                <w:szCs w:val="21"/>
                <w:lang w:val="en-US" w:eastAsia="zh-CN"/>
              </w:rPr>
              <w:t>3</w:t>
            </w:r>
            <w:r>
              <w:rPr>
                <w:rFonts w:hint="eastAsia" w:ascii="仿宋" w:hAnsi="仿宋" w:eastAsia="仿宋" w:cs="仿宋"/>
                <w:szCs w:val="21"/>
              </w:rPr>
              <w:t>年度</w:t>
            </w:r>
            <w:r>
              <w:rPr>
                <w:rFonts w:hint="eastAsia" w:ascii="仿宋" w:hAnsi="仿宋" w:eastAsia="仿宋" w:cs="仿宋"/>
                <w:szCs w:val="21"/>
                <w:lang w:val="en-US" w:eastAsia="zh-CN"/>
              </w:rPr>
              <w:t>法制</w:t>
            </w:r>
            <w:r>
              <w:rPr>
                <w:rFonts w:hint="eastAsia" w:ascii="仿宋" w:hAnsi="仿宋" w:eastAsia="仿宋" w:cs="仿宋"/>
                <w:szCs w:val="21"/>
              </w:rPr>
              <w:t>专项资金预</w:t>
            </w:r>
            <w:bookmarkStart w:id="0" w:name="_GoBack"/>
            <w:bookmarkEnd w:id="0"/>
            <w:r>
              <w:rPr>
                <w:rFonts w:hint="eastAsia" w:ascii="仿宋" w:hAnsi="仿宋" w:eastAsia="仿宋" w:cs="仿宋"/>
                <w:szCs w:val="21"/>
              </w:rPr>
              <w:t>算</w:t>
            </w:r>
            <w:r>
              <w:rPr>
                <w:rFonts w:hint="eastAsia" w:ascii="仿宋" w:hAnsi="仿宋" w:eastAsia="仿宋" w:cs="仿宋"/>
                <w:szCs w:val="21"/>
                <w:lang w:val="en-US" w:eastAsia="zh-CN"/>
              </w:rPr>
              <w:t>10</w:t>
            </w:r>
            <w:r>
              <w:rPr>
                <w:rFonts w:hint="eastAsia" w:ascii="仿宋" w:hAnsi="仿宋" w:eastAsia="仿宋" w:cs="仿宋"/>
                <w:szCs w:val="21"/>
              </w:rPr>
              <w:t>0.00万元，本年度实际使用项目资金</w:t>
            </w:r>
            <w:r>
              <w:rPr>
                <w:rFonts w:hint="eastAsia" w:ascii="仿宋" w:hAnsi="仿宋" w:eastAsia="仿宋" w:cs="仿宋"/>
                <w:szCs w:val="21"/>
                <w:lang w:val="en-US" w:eastAsia="zh-CN"/>
              </w:rPr>
              <w:t>28.79</w:t>
            </w:r>
            <w:r>
              <w:rPr>
                <w:rFonts w:hint="eastAsia" w:ascii="仿宋" w:hAnsi="仿宋" w:eastAsia="仿宋" w:cs="仿宋"/>
                <w:szCs w:val="21"/>
              </w:rPr>
              <w:t>万元。</w:t>
            </w:r>
            <w:r>
              <w:rPr>
                <w:rFonts w:hint="eastAsia" w:ascii="仿宋" w:hAnsi="仿宋" w:eastAsia="仿宋" w:cs="仿宋"/>
                <w:szCs w:val="21"/>
                <w:lang w:val="en-US" w:eastAsia="zh-CN"/>
              </w:rPr>
              <w:t>用于</w:t>
            </w:r>
            <w:r>
              <w:rPr>
                <w:rFonts w:hint="eastAsia" w:ascii="仿宋" w:hAnsi="仿宋" w:eastAsia="仿宋" w:cs="仿宋"/>
                <w:szCs w:val="21"/>
              </w:rPr>
              <w:t>开展</w:t>
            </w:r>
            <w:r>
              <w:rPr>
                <w:rFonts w:hint="eastAsia" w:ascii="仿宋" w:hAnsi="仿宋" w:eastAsia="仿宋" w:cs="仿宋"/>
                <w:szCs w:val="21"/>
                <w:lang w:eastAsia="zh-CN"/>
              </w:rPr>
              <w:t>法制</w:t>
            </w:r>
            <w:r>
              <w:rPr>
                <w:rFonts w:hint="eastAsia" w:ascii="仿宋" w:hAnsi="仿宋" w:eastAsia="仿宋" w:cs="仿宋"/>
                <w:szCs w:val="21"/>
              </w:rPr>
              <w:t>工作，根据涉及内容的实际情况进行资金支付。专项资金拨付及时，无多头申报、重复安排的情况。单位财务制度健全、会计核算规范、资金管理严格，无违规现象的发生。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hint="eastAsia" w:ascii="仿宋" w:hAnsi="仿宋" w:eastAsia="仿宋" w:cs="仿宋"/>
                <w:szCs w:val="32"/>
              </w:rPr>
            </w:pPr>
          </w:p>
        </w:tc>
        <w:tc>
          <w:tcPr>
            <w:tcW w:w="1617"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项目绩效目标完成情况</w:t>
            </w:r>
          </w:p>
        </w:tc>
        <w:tc>
          <w:tcPr>
            <w:tcW w:w="6274" w:type="dxa"/>
            <w:vAlign w:val="center"/>
          </w:tcPr>
          <w:p>
            <w:pPr>
              <w:spacing w:line="300" w:lineRule="exact"/>
              <w:ind w:firstLine="420" w:firstLineChars="200"/>
              <w:rPr>
                <w:rFonts w:hint="eastAsia" w:ascii="仿宋" w:hAnsi="仿宋" w:eastAsia="仿宋" w:cs="仿宋"/>
                <w:szCs w:val="32"/>
              </w:rPr>
            </w:pPr>
            <w:r>
              <w:rPr>
                <w:rFonts w:hint="eastAsia" w:ascii="仿宋" w:hAnsi="仿宋" w:eastAsia="仿宋" w:cs="仿宋"/>
                <w:szCs w:val="32"/>
              </w:rPr>
              <w:t>一、项目产出完成情况</w:t>
            </w:r>
          </w:p>
          <w:p>
            <w:pPr>
              <w:spacing w:line="300" w:lineRule="exact"/>
              <w:ind w:firstLine="420" w:firstLineChars="200"/>
              <w:rPr>
                <w:rFonts w:hint="eastAsia" w:ascii="仿宋" w:hAnsi="仿宋" w:eastAsia="仿宋" w:cs="仿宋"/>
                <w:szCs w:val="21"/>
              </w:rPr>
            </w:pPr>
            <w:r>
              <w:rPr>
                <w:rFonts w:hint="eastAsia" w:ascii="仿宋" w:hAnsi="仿宋" w:eastAsia="仿宋" w:cs="仿宋"/>
                <w:szCs w:val="21"/>
              </w:rPr>
              <w:t>1、完善学法制度，增强法治思维素养。制定年度学法计划，将深入学习贯彻习近平法治思想列入天易经开区党工委理论学习中心组2023年学习计划，作为中心组理论学习的重要内容之一，深入学习领会宪法、党内法规、行政法规、法律法规等。同时将习近平法治思想作为全体干部职工的重要学习内容，通过集中学习、专题讲座、主题党日活动、研讨交流等方式，深入推进习近平法治思想的学习宣传和贯彻落实，进一步提升全体干部职工的法律素养。</w:t>
            </w:r>
          </w:p>
          <w:p>
            <w:pPr>
              <w:spacing w:line="300" w:lineRule="exact"/>
              <w:ind w:firstLine="420" w:firstLineChars="200"/>
              <w:rPr>
                <w:rFonts w:hint="eastAsia" w:ascii="仿宋" w:hAnsi="仿宋" w:eastAsia="仿宋" w:cs="仿宋"/>
                <w:szCs w:val="21"/>
                <w:lang w:eastAsia="zh-CN"/>
              </w:rPr>
            </w:pPr>
            <w:r>
              <w:rPr>
                <w:rFonts w:hint="eastAsia" w:ascii="仿宋" w:hAnsi="仿宋" w:eastAsia="仿宋" w:cs="仿宋"/>
                <w:szCs w:val="21"/>
                <w:lang w:val="en-US" w:eastAsia="zh-CN"/>
              </w:rPr>
              <w:t>2、</w:t>
            </w:r>
            <w:r>
              <w:rPr>
                <w:rFonts w:hint="eastAsia" w:ascii="仿宋" w:hAnsi="仿宋" w:eastAsia="仿宋" w:cs="仿宋"/>
                <w:szCs w:val="21"/>
              </w:rPr>
              <w:t>组建专业团队，精准提供法律服务。为增强园区法律保障，</w:t>
            </w:r>
            <w:r>
              <w:rPr>
                <w:rFonts w:hint="eastAsia" w:ascii="仿宋" w:hAnsi="仿宋" w:eastAsia="仿宋" w:cs="仿宋"/>
                <w:szCs w:val="21"/>
                <w:lang w:val="en-US" w:eastAsia="zh-CN"/>
              </w:rPr>
              <w:t>聘请</w:t>
            </w:r>
            <w:r>
              <w:rPr>
                <w:rFonts w:hint="eastAsia" w:ascii="仿宋" w:hAnsi="仿宋" w:eastAsia="仿宋" w:cs="仿宋"/>
                <w:szCs w:val="21"/>
              </w:rPr>
              <w:t>两家法律顾问服务单位，着重对园区重大行政决策、重要行政行为进行法律审查、论证，提供法律保障。建立法律顾问单位律师值班制度，对两个法律顾问单位值班时间进行统筹安排，以便于全天候、全方位为管委会提供法律服务。日常工作事务的法律审查，实行首问负责制，法律顾问单位接收委托审查事项后，固定一名律师对委托审查事项跟踪负责到底，包括参加由审查事项产生的相关讨论、会议、决策等过程。重大事项或项目的法律审查，要求两个法律顾问单位全程共同参与，进行双重法律审查并出具法律意见以供管委会决策。</w:t>
            </w:r>
            <w:r>
              <w:rPr>
                <w:rFonts w:hint="eastAsia" w:ascii="仿宋" w:hAnsi="仿宋" w:eastAsia="仿宋" w:cs="仿宋"/>
                <w:szCs w:val="21"/>
                <w:lang w:val="en-US" w:eastAsia="zh-CN"/>
              </w:rPr>
              <w:t>同时，</w:t>
            </w:r>
            <w:r>
              <w:rPr>
                <w:rFonts w:hint="eastAsia" w:ascii="仿宋" w:hAnsi="仿宋" w:eastAsia="仿宋" w:cs="仿宋"/>
                <w:szCs w:val="21"/>
              </w:rPr>
              <w:t>积极主动服务于园区企业</w:t>
            </w:r>
            <w:r>
              <w:rPr>
                <w:rFonts w:hint="eastAsia" w:ascii="仿宋" w:hAnsi="仿宋" w:eastAsia="仿宋" w:cs="仿宋"/>
                <w:szCs w:val="21"/>
                <w:lang w:eastAsia="zh-CN"/>
              </w:rPr>
              <w:t>，</w:t>
            </w:r>
            <w:r>
              <w:rPr>
                <w:rFonts w:hint="eastAsia" w:ascii="仿宋" w:hAnsi="仿宋" w:eastAsia="仿宋" w:cs="仿宋"/>
                <w:szCs w:val="21"/>
              </w:rPr>
              <w:t>专门起草了关于园区企业咨询服务的方案</w:t>
            </w:r>
            <w:r>
              <w:rPr>
                <w:rFonts w:hint="eastAsia" w:ascii="仿宋" w:hAnsi="仿宋" w:eastAsia="仿宋" w:cs="仿宋"/>
                <w:szCs w:val="21"/>
                <w:lang w:eastAsia="zh-CN"/>
              </w:rPr>
              <w:t>。</w:t>
            </w:r>
          </w:p>
          <w:p>
            <w:pPr>
              <w:spacing w:line="300" w:lineRule="exact"/>
              <w:ind w:firstLine="420" w:firstLineChars="200"/>
              <w:rPr>
                <w:rFonts w:hint="eastAsia" w:ascii="仿宋" w:hAnsi="仿宋" w:eastAsia="仿宋" w:cs="仿宋"/>
                <w:szCs w:val="21"/>
                <w:lang w:val="en-US" w:eastAsia="zh-CN"/>
              </w:rPr>
            </w:pPr>
            <w:r>
              <w:rPr>
                <w:rFonts w:hint="eastAsia" w:ascii="仿宋" w:hAnsi="仿宋" w:eastAsia="仿宋" w:cs="仿宋"/>
                <w:szCs w:val="21"/>
                <w:lang w:val="en-US" w:eastAsia="zh-CN"/>
              </w:rPr>
              <w:t>3、</w:t>
            </w:r>
            <w:r>
              <w:rPr>
                <w:rFonts w:hint="eastAsia" w:ascii="仿宋" w:hAnsi="仿宋" w:eastAsia="仿宋" w:cs="仿宋"/>
                <w:szCs w:val="21"/>
              </w:rPr>
              <w:t>严格审查把关，切实提高文本质量。把各类文件、文书、合同（协议）等文本的合法性审查作为规范行政行为的重要工作职责，严格按照《湖南湘潭天易经济开发区合同审查与管理办法（试行）》的要求，规范化管理，文书、合同、协议等从起草到出台或签发，法律审查全程介入，及时发现和纠正文书或合同中存在的违法、违规等重大风险。凡新的法律、法规出台，及时更换文本，确保文本的严谨性、规范性。同时认真落实党政办公会议、党工委会议议题的会前法律审查制度，未经法律审查的议题，一律不予提交会议讨论审议。今年以来完成了39份文件、34份文书（含政府信息公开答复、决定、告知、催告、通知、执行申请书、函）、37个协议及合同的法律审查把关工作。</w:t>
            </w:r>
          </w:p>
          <w:p>
            <w:pPr>
              <w:spacing w:line="300" w:lineRule="exact"/>
              <w:ind w:firstLine="420" w:firstLineChars="200"/>
              <w:rPr>
                <w:rFonts w:hint="eastAsia" w:ascii="仿宋" w:hAnsi="仿宋" w:eastAsia="仿宋" w:cs="仿宋"/>
                <w:szCs w:val="32"/>
              </w:rPr>
            </w:pPr>
            <w:r>
              <w:rPr>
                <w:rFonts w:hint="eastAsia" w:ascii="仿宋" w:hAnsi="仿宋" w:eastAsia="仿宋" w:cs="仿宋"/>
                <w:szCs w:val="32"/>
              </w:rPr>
              <w:t>二、项目效益完成情况</w:t>
            </w:r>
          </w:p>
          <w:p>
            <w:pPr>
              <w:spacing w:line="300" w:lineRule="exact"/>
              <w:ind w:firstLine="420" w:firstLineChars="200"/>
              <w:rPr>
                <w:rFonts w:hint="eastAsia" w:ascii="仿宋" w:hAnsi="仿宋" w:eastAsia="仿宋" w:cs="仿宋"/>
                <w:szCs w:val="32"/>
              </w:rPr>
            </w:pPr>
            <w:r>
              <w:rPr>
                <w:rFonts w:hint="eastAsia" w:ascii="仿宋" w:hAnsi="仿宋" w:eastAsia="仿宋" w:cs="仿宋"/>
                <w:szCs w:val="32"/>
              </w:rPr>
              <w:t>1、社会效益</w:t>
            </w:r>
          </w:p>
          <w:p>
            <w:pPr>
              <w:spacing w:line="300" w:lineRule="exact"/>
              <w:ind w:firstLine="420" w:firstLineChars="200"/>
              <w:rPr>
                <w:rFonts w:hint="eastAsia" w:ascii="仿宋" w:hAnsi="仿宋" w:eastAsia="仿宋" w:cs="仿宋"/>
                <w:szCs w:val="21"/>
                <w:lang w:eastAsia="zh-CN"/>
              </w:rPr>
            </w:pPr>
            <w:r>
              <w:rPr>
                <w:rFonts w:hint="eastAsia" w:ascii="仿宋" w:hAnsi="仿宋" w:eastAsia="仿宋" w:cs="仿宋"/>
                <w:szCs w:val="21"/>
              </w:rPr>
              <w:t>化解行政争议，维护园区和谐稳定。对待每一个案件，均进行认真分析，指定专人承办、全程跟踪，研究应对方案，精心准备证据材料，科学合理运用相关法律、法规，寻求有利于我方的依据，力争达到最佳的法律效果和社会效果，坚持既有效化解纷争，又使我方利益最大化；同时注重回头看，分析研究胜诉败诉的原因，及时反馈意见、提出建议，规范相关工作流程，从源头上减少诉讼纠纷，提高依法行政的法治水平</w:t>
            </w:r>
            <w:r>
              <w:rPr>
                <w:rFonts w:hint="eastAsia" w:ascii="仿宋" w:hAnsi="仿宋" w:eastAsia="仿宋" w:cs="仿宋"/>
                <w:szCs w:val="21"/>
                <w:lang w:eastAsia="zh-CN"/>
              </w:rPr>
              <w:t>。</w:t>
            </w:r>
          </w:p>
          <w:p>
            <w:pPr>
              <w:spacing w:line="300" w:lineRule="exact"/>
              <w:ind w:firstLine="420" w:firstLineChars="200"/>
              <w:rPr>
                <w:rFonts w:hint="eastAsia" w:ascii="仿宋" w:hAnsi="仿宋" w:eastAsia="仿宋" w:cs="仿宋"/>
                <w:szCs w:val="21"/>
                <w:lang w:val="en-US" w:eastAsia="zh-CN"/>
              </w:rPr>
            </w:pPr>
            <w:r>
              <w:rPr>
                <w:rFonts w:hint="eastAsia" w:ascii="仿宋" w:hAnsi="仿宋" w:eastAsia="仿宋" w:cs="仿宋"/>
                <w:szCs w:val="21"/>
              </w:rPr>
              <w:t>积极履职尽责，发挥参谋助手作用。紧紧围绕管委会中心工作，充分发挥法制部门及法律顾问的参谋助手作用。法制部门及法律顾问作为重大会议固定列席成员，全程列席党政办公会议、按议题列席党工委会议、按议题列席区自然资源决策委员会议等，对管委会行政决策及行政行为进行源头审查把关。积极介入园区各类重大专项工作，积极开展所涉及的法律事务协调、处理及风险预警。参加各类专项工作讨论会、协调会、座谈会，提出具体法律意见，把好具体事务和个案处理的法律关。四是为管委会各局室及时提供法律服务，对发生法律风险或矛盾纠纷的可能性预先进行研判，提出合理化建议，充分发挥法律参谋助手的作用。</w:t>
            </w:r>
            <w:r>
              <w:rPr>
                <w:rFonts w:hint="eastAsia" w:ascii="仿宋" w:hAnsi="仿宋" w:eastAsia="仿宋" w:cs="仿宋"/>
                <w:szCs w:val="21"/>
                <w:lang w:val="en-US" w:eastAsia="zh-CN"/>
              </w:rPr>
              <w:t>建立健全依法决策机制。</w:t>
            </w:r>
          </w:p>
          <w:p>
            <w:pPr>
              <w:spacing w:line="300" w:lineRule="exact"/>
              <w:ind w:firstLine="420" w:firstLineChars="200"/>
              <w:rPr>
                <w:rFonts w:hint="eastAsia" w:ascii="仿宋" w:hAnsi="仿宋" w:eastAsia="仿宋" w:cs="仿宋"/>
                <w:szCs w:val="21"/>
                <w:lang w:val="en-US" w:eastAsia="zh-CN"/>
              </w:rPr>
            </w:pPr>
            <w:r>
              <w:rPr>
                <w:rFonts w:hint="eastAsia" w:ascii="仿宋" w:hAnsi="仿宋" w:eastAsia="仿宋" w:cs="仿宋"/>
                <w:szCs w:val="21"/>
              </w:rPr>
              <w:t>加强法治培训，提升依法行政能力。深入学习宪法、行政法规、法律法规等法律知识，增强工作人员的法律意识和法律素养。定期组织交流和研讨，对实际案例进行分析，分享经验和心得体会，促进相互学习和提高。邀请专家进行专题讲座培训，拓宽工作人员的视野和思路。通过不断加强法治培训，进一步提高工作人员的依法行政能力</w:t>
            </w:r>
          </w:p>
          <w:p>
            <w:pPr>
              <w:spacing w:line="300" w:lineRule="exact"/>
              <w:ind w:firstLine="420" w:firstLineChars="200"/>
              <w:rPr>
                <w:rFonts w:hint="eastAsia" w:ascii="仿宋" w:hAnsi="仿宋" w:eastAsia="仿宋" w:cs="仿宋"/>
                <w:szCs w:val="32"/>
                <w:lang w:val="en-US" w:eastAsia="zh-CN"/>
              </w:rPr>
            </w:pPr>
            <w:r>
              <w:rPr>
                <w:rFonts w:hint="eastAsia" w:ascii="仿宋" w:hAnsi="仿宋" w:eastAsia="仿宋" w:cs="仿宋"/>
                <w:szCs w:val="32"/>
                <w:lang w:val="en-US" w:eastAsia="zh-CN"/>
              </w:rPr>
              <w:t>2、公众满意度</w:t>
            </w:r>
          </w:p>
          <w:p>
            <w:pPr>
              <w:spacing w:line="300" w:lineRule="exact"/>
              <w:ind w:firstLine="420" w:firstLineChars="200"/>
              <w:rPr>
                <w:rFonts w:hint="eastAsia" w:ascii="仿宋" w:hAnsi="仿宋" w:eastAsia="仿宋" w:cs="仿宋"/>
                <w:szCs w:val="32"/>
              </w:rPr>
            </w:pPr>
            <w:r>
              <w:rPr>
                <w:rFonts w:hint="eastAsia" w:ascii="仿宋" w:hAnsi="仿宋" w:eastAsia="仿宋" w:cs="仿宋"/>
                <w:szCs w:val="32"/>
              </w:rPr>
              <w:t>针对202</w:t>
            </w:r>
            <w:r>
              <w:rPr>
                <w:rFonts w:hint="eastAsia" w:ascii="仿宋" w:hAnsi="仿宋" w:eastAsia="仿宋" w:cs="仿宋"/>
                <w:szCs w:val="32"/>
                <w:lang w:val="en-US" w:eastAsia="zh-CN"/>
              </w:rPr>
              <w:t>3</w:t>
            </w:r>
            <w:r>
              <w:rPr>
                <w:rFonts w:hint="eastAsia" w:ascii="仿宋" w:hAnsi="仿宋" w:eastAsia="仿宋" w:cs="仿宋"/>
                <w:szCs w:val="32"/>
              </w:rPr>
              <w:t>年度</w:t>
            </w:r>
            <w:r>
              <w:rPr>
                <w:rFonts w:hint="eastAsia" w:ascii="仿宋" w:hAnsi="仿宋" w:eastAsia="仿宋" w:cs="仿宋"/>
                <w:szCs w:val="32"/>
                <w:lang w:val="en-US" w:eastAsia="zh-CN"/>
              </w:rPr>
              <w:t>法制</w:t>
            </w:r>
            <w:r>
              <w:rPr>
                <w:rFonts w:hint="eastAsia" w:ascii="仿宋" w:hAnsi="仿宋" w:eastAsia="仿宋" w:cs="仿宋"/>
                <w:szCs w:val="32"/>
              </w:rPr>
              <w:t>专项资金绩效自评我们设计了10个问题并随机向园区内企业发放了30份问卷调查表，经统计满意度为9</w:t>
            </w:r>
            <w:r>
              <w:rPr>
                <w:rFonts w:hint="eastAsia" w:ascii="仿宋" w:hAnsi="仿宋" w:eastAsia="仿宋" w:cs="仿宋"/>
                <w:szCs w:val="32"/>
                <w:lang w:val="en-US" w:eastAsia="zh-CN"/>
              </w:rPr>
              <w:t>7</w:t>
            </w:r>
            <w:r>
              <w:rPr>
                <w:rFonts w:hint="eastAsia" w:ascii="仿宋" w:hAnsi="仿宋" w:eastAsia="仿宋" w:cs="仿宋"/>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restart"/>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存在的问题分析及改进措施</w:t>
            </w:r>
          </w:p>
        </w:tc>
        <w:tc>
          <w:tcPr>
            <w:tcW w:w="1617"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存在的问题</w:t>
            </w:r>
          </w:p>
        </w:tc>
        <w:tc>
          <w:tcPr>
            <w:tcW w:w="6274" w:type="dxa"/>
            <w:vAlign w:val="center"/>
          </w:tcPr>
          <w:p>
            <w:pPr>
              <w:numPr>
                <w:ilvl w:val="0"/>
                <w:numId w:val="1"/>
              </w:numPr>
              <w:spacing w:line="300" w:lineRule="exact"/>
              <w:ind w:firstLine="420" w:firstLineChars="200"/>
              <w:rPr>
                <w:rFonts w:hint="eastAsia" w:ascii="仿宋" w:hAnsi="仿宋" w:eastAsia="仿宋" w:cs="仿宋"/>
                <w:szCs w:val="21"/>
              </w:rPr>
            </w:pPr>
            <w:r>
              <w:rPr>
                <w:rFonts w:hint="eastAsia" w:ascii="仿宋" w:hAnsi="仿宋" w:eastAsia="仿宋" w:cs="仿宋"/>
                <w:szCs w:val="21"/>
              </w:rPr>
              <w:t>法制宣传教育形式有待进一步创新。</w:t>
            </w:r>
            <w:r>
              <w:rPr>
                <w:rFonts w:hint="eastAsia" w:ascii="仿宋" w:hAnsi="仿宋" w:eastAsia="仿宋" w:cs="仿宋"/>
                <w:szCs w:val="21"/>
                <w:lang w:val="en-US" w:eastAsia="zh-CN"/>
              </w:rPr>
              <w:t>职工</w:t>
            </w:r>
            <w:r>
              <w:rPr>
                <w:rFonts w:hint="eastAsia" w:ascii="仿宋" w:hAnsi="仿宋" w:eastAsia="仿宋" w:cs="仿宋"/>
                <w:szCs w:val="21"/>
              </w:rPr>
              <w:t>普法</w:t>
            </w:r>
            <w:r>
              <w:rPr>
                <w:rFonts w:hint="eastAsia" w:ascii="仿宋" w:hAnsi="仿宋" w:eastAsia="仿宋" w:cs="仿宋"/>
                <w:szCs w:val="21"/>
                <w:lang w:val="en-US" w:eastAsia="zh-CN"/>
              </w:rPr>
              <w:t>的</w:t>
            </w:r>
            <w:r>
              <w:rPr>
                <w:rFonts w:hint="eastAsia" w:ascii="仿宋" w:hAnsi="仿宋" w:eastAsia="仿宋" w:cs="仿宋"/>
                <w:szCs w:val="21"/>
              </w:rPr>
              <w:t>针对性和实效性还不够强</w:t>
            </w:r>
            <w:r>
              <w:rPr>
                <w:rFonts w:hint="eastAsia" w:ascii="仿宋" w:hAnsi="仿宋" w:eastAsia="仿宋" w:cs="仿宋"/>
                <w:szCs w:val="21"/>
                <w:lang w:eastAsia="zh-CN"/>
              </w:rPr>
              <w:t>，</w:t>
            </w:r>
            <w:r>
              <w:rPr>
                <w:rFonts w:hint="eastAsia" w:ascii="仿宋" w:hAnsi="仿宋" w:eastAsia="仿宋" w:cs="仿宋"/>
                <w:szCs w:val="21"/>
              </w:rPr>
              <w:t>普法宣传工作深度</w:t>
            </w:r>
            <w:r>
              <w:rPr>
                <w:rFonts w:hint="eastAsia" w:ascii="仿宋" w:hAnsi="仿宋" w:eastAsia="仿宋" w:cs="仿宋"/>
                <w:szCs w:val="21"/>
                <w:lang w:val="en-US" w:eastAsia="zh-CN"/>
              </w:rPr>
              <w:t>及工作成效有待进一步提高</w:t>
            </w:r>
            <w:r>
              <w:rPr>
                <w:rFonts w:hint="eastAsia" w:ascii="仿宋" w:hAnsi="仿宋" w:eastAsia="仿宋" w:cs="仿宋"/>
                <w:szCs w:val="21"/>
              </w:rPr>
              <w:t>。</w:t>
            </w:r>
          </w:p>
          <w:p>
            <w:pPr>
              <w:numPr>
                <w:ilvl w:val="0"/>
                <w:numId w:val="1"/>
              </w:numPr>
              <w:spacing w:line="300" w:lineRule="exact"/>
              <w:ind w:firstLine="420" w:firstLineChars="200"/>
              <w:rPr>
                <w:rFonts w:hint="eastAsia" w:ascii="仿宋" w:hAnsi="仿宋" w:eastAsia="仿宋" w:cs="仿宋"/>
                <w:szCs w:val="32"/>
              </w:rPr>
            </w:pPr>
            <w:r>
              <w:rPr>
                <w:rFonts w:hint="eastAsia" w:ascii="仿宋" w:hAnsi="仿宋" w:eastAsia="仿宋" w:cs="仿宋"/>
                <w:szCs w:val="21"/>
              </w:rPr>
              <w:t>按绩效管理要求，年初进行了项目绩效目标申报，但设置的绩效指标内容不够细化</w:t>
            </w:r>
            <w:r>
              <w:rPr>
                <w:rFonts w:hint="eastAsia" w:ascii="仿宋" w:hAnsi="仿宋" w:eastAsia="仿宋" w:cs="仿宋"/>
                <w:szCs w:val="21"/>
                <w:lang w:eastAsia="zh-CN"/>
              </w:rPr>
              <w:t>，</w:t>
            </w:r>
            <w:r>
              <w:rPr>
                <w:rFonts w:hint="eastAsia" w:ascii="仿宋" w:hAnsi="仿宋" w:eastAsia="仿宋" w:cs="仿宋"/>
                <w:szCs w:val="21"/>
                <w:lang w:val="en-US" w:eastAsia="zh-CN"/>
              </w:rPr>
              <w:t>不利于绩效目标的评定</w:t>
            </w:r>
            <w:r>
              <w:rPr>
                <w:rFonts w:hint="eastAsia" w:ascii="仿宋" w:hAnsi="仿宋" w:eastAsia="仿宋" w:cs="仿宋"/>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hint="eastAsia" w:ascii="仿宋" w:hAnsi="仿宋" w:eastAsia="仿宋" w:cs="仿宋"/>
                <w:szCs w:val="32"/>
              </w:rPr>
            </w:pPr>
          </w:p>
        </w:tc>
        <w:tc>
          <w:tcPr>
            <w:tcW w:w="1617"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改进措施</w:t>
            </w:r>
          </w:p>
        </w:tc>
        <w:tc>
          <w:tcPr>
            <w:tcW w:w="6274" w:type="dxa"/>
            <w:vAlign w:val="center"/>
          </w:tcPr>
          <w:p>
            <w:pPr>
              <w:spacing w:line="300" w:lineRule="exact"/>
              <w:ind w:firstLine="420" w:firstLineChars="200"/>
              <w:rPr>
                <w:rFonts w:hint="eastAsia" w:ascii="仿宋" w:hAnsi="仿宋" w:eastAsia="仿宋" w:cs="仿宋"/>
                <w:szCs w:val="21"/>
                <w:lang w:eastAsia="zh-CN"/>
              </w:rPr>
            </w:pPr>
            <w:r>
              <w:rPr>
                <w:rFonts w:hint="eastAsia" w:ascii="仿宋" w:hAnsi="仿宋" w:eastAsia="仿宋" w:cs="仿宋"/>
                <w:szCs w:val="21"/>
              </w:rPr>
              <w:t>1、切实加强队伍建设。深入开展队伍素质教育和专项业务、岗位技能培训，完善干部考核评价机制</w:t>
            </w:r>
            <w:r>
              <w:rPr>
                <w:rFonts w:hint="eastAsia" w:ascii="仿宋" w:hAnsi="仿宋" w:eastAsia="仿宋" w:cs="仿宋"/>
                <w:szCs w:val="21"/>
                <w:lang w:eastAsia="zh-CN"/>
              </w:rPr>
              <w:t>，</w:t>
            </w:r>
            <w:r>
              <w:rPr>
                <w:rFonts w:hint="eastAsia" w:ascii="仿宋" w:hAnsi="仿宋" w:eastAsia="仿宋" w:cs="仿宋"/>
                <w:szCs w:val="21"/>
              </w:rPr>
              <w:t>努力提高</w:t>
            </w:r>
            <w:r>
              <w:rPr>
                <w:rFonts w:hint="eastAsia" w:ascii="仿宋" w:hAnsi="仿宋" w:eastAsia="仿宋" w:cs="仿宋"/>
                <w:szCs w:val="21"/>
                <w:lang w:val="en-US" w:eastAsia="zh-CN"/>
              </w:rPr>
              <w:t>职工</w:t>
            </w:r>
            <w:r>
              <w:rPr>
                <w:rFonts w:hint="eastAsia" w:ascii="仿宋" w:hAnsi="仿宋" w:eastAsia="仿宋" w:cs="仿宋"/>
                <w:szCs w:val="21"/>
              </w:rPr>
              <w:t>整体素质</w:t>
            </w:r>
            <w:r>
              <w:rPr>
                <w:rFonts w:hint="eastAsia" w:ascii="仿宋" w:hAnsi="仿宋" w:eastAsia="仿宋" w:cs="仿宋"/>
                <w:szCs w:val="21"/>
                <w:lang w:eastAsia="zh-CN"/>
              </w:rPr>
              <w:t>。</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szCs w:val="21"/>
                <w:lang w:val="en-US" w:eastAsia="zh-CN"/>
              </w:rPr>
              <w:t>2</w:t>
            </w:r>
            <w:r>
              <w:rPr>
                <w:rFonts w:hint="eastAsia" w:ascii="仿宋" w:hAnsi="仿宋" w:eastAsia="仿宋" w:cs="仿宋"/>
                <w:szCs w:val="21"/>
              </w:rPr>
              <w:t>、</w:t>
            </w:r>
            <w:r>
              <w:rPr>
                <w:rFonts w:hint="eastAsia" w:ascii="仿宋" w:hAnsi="仿宋" w:eastAsia="仿宋" w:cs="仿宋"/>
                <w:szCs w:val="21"/>
                <w:lang w:val="en-US" w:eastAsia="zh-CN"/>
              </w:rPr>
              <w:t>做细做实预算，细化绩效目标，</w:t>
            </w:r>
            <w:r>
              <w:rPr>
                <w:rFonts w:hint="eastAsia" w:ascii="仿宋" w:hAnsi="仿宋" w:eastAsia="仿宋" w:cs="仿宋"/>
                <w:szCs w:val="21"/>
              </w:rPr>
              <w:t>优化资源配置</w:t>
            </w:r>
            <w:r>
              <w:rPr>
                <w:rFonts w:hint="eastAsia" w:ascii="仿宋" w:hAnsi="仿宋" w:eastAsia="仿宋" w:cs="仿宋"/>
                <w:szCs w:val="21"/>
                <w:lang w:eastAsia="zh-CN"/>
              </w:rPr>
              <w:t>，</w:t>
            </w:r>
            <w:r>
              <w:rPr>
                <w:rFonts w:hint="eastAsia" w:ascii="仿宋" w:hAnsi="仿宋" w:eastAsia="仿宋" w:cs="仿宋"/>
                <w:szCs w:val="21"/>
                <w:lang w:val="en-US" w:eastAsia="zh-CN"/>
              </w:rPr>
              <w:t>提高预算执行率，适当降低2024年法制项目预算金额</w:t>
            </w:r>
            <w:r>
              <w:rPr>
                <w:rFonts w:hint="eastAsia" w:ascii="仿宋" w:hAnsi="仿宋" w:eastAsia="仿宋" w:cs="仿宋"/>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hint="eastAsia" w:ascii="仿宋" w:hAnsi="仿宋" w:eastAsia="仿宋" w:cs="仿宋"/>
                <w:szCs w:val="32"/>
              </w:rPr>
            </w:pPr>
          </w:p>
        </w:tc>
        <w:tc>
          <w:tcPr>
            <w:tcW w:w="1617"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其他需要说明问题</w:t>
            </w:r>
          </w:p>
        </w:tc>
        <w:tc>
          <w:tcPr>
            <w:tcW w:w="6274" w:type="dxa"/>
            <w:vAlign w:val="center"/>
          </w:tcPr>
          <w:p>
            <w:pPr>
              <w:spacing w:line="576" w:lineRule="exact"/>
              <w:jc w:val="center"/>
              <w:rPr>
                <w:rFonts w:hint="eastAsia" w:ascii="仿宋" w:hAnsi="仿宋" w:eastAsia="仿宋" w:cs="仿宋"/>
                <w:szCs w:val="32"/>
              </w:rPr>
            </w:pPr>
            <w:r>
              <w:rPr>
                <w:rFonts w:hint="eastAsia" w:ascii="仿宋" w:hAnsi="仿宋" w:eastAsia="仿宋" w:cs="仿宋"/>
                <w:szCs w:val="32"/>
              </w:rPr>
              <w:t>无</w:t>
            </w:r>
          </w:p>
        </w:tc>
      </w:tr>
    </w:tbl>
    <w:p/>
    <w:sectPr>
      <w:pgSz w:w="11906" w:h="16838"/>
      <w:pgMar w:top="1134" w:right="1797" w:bottom="680" w:left="1797" w:header="284"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A9DEDB01-5553-4B23-8559-6B8B6E10C004}"/>
  </w:font>
  <w:font w:name="仿宋">
    <w:panose1 w:val="02010609060101010101"/>
    <w:charset w:val="86"/>
    <w:family w:val="auto"/>
    <w:pitch w:val="default"/>
    <w:sig w:usb0="800002BF" w:usb1="38CF7CFA" w:usb2="00000016" w:usb3="00000000" w:csb0="00040001" w:csb1="00000000"/>
    <w:embedRegular r:id="rId2" w:fontKey="{17DCFD69-8898-494D-BF28-B6D2876751E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4E7101"/>
    <w:multiLevelType w:val="singleLevel"/>
    <w:tmpl w:val="174E710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mYWQ4ZWIxYzhmODMxNTBiZmI3ZmVkNmRjMWQ3YzkifQ=="/>
  </w:docVars>
  <w:rsids>
    <w:rsidRoot w:val="00637999"/>
    <w:rsid w:val="000108AC"/>
    <w:rsid w:val="00023A8C"/>
    <w:rsid w:val="00052F75"/>
    <w:rsid w:val="001D12D3"/>
    <w:rsid w:val="0039109F"/>
    <w:rsid w:val="00530415"/>
    <w:rsid w:val="00576F75"/>
    <w:rsid w:val="00607C95"/>
    <w:rsid w:val="00637999"/>
    <w:rsid w:val="0067105D"/>
    <w:rsid w:val="00815876"/>
    <w:rsid w:val="00851BC5"/>
    <w:rsid w:val="0093075D"/>
    <w:rsid w:val="0093751B"/>
    <w:rsid w:val="0095362C"/>
    <w:rsid w:val="009A06D7"/>
    <w:rsid w:val="00A07533"/>
    <w:rsid w:val="00BC29C2"/>
    <w:rsid w:val="00C77203"/>
    <w:rsid w:val="00E13F75"/>
    <w:rsid w:val="00E4255D"/>
    <w:rsid w:val="00E470C2"/>
    <w:rsid w:val="00E63466"/>
    <w:rsid w:val="00F80176"/>
    <w:rsid w:val="082C52F1"/>
    <w:rsid w:val="0A764BE3"/>
    <w:rsid w:val="10B62239"/>
    <w:rsid w:val="1BC257CB"/>
    <w:rsid w:val="262F1C7D"/>
    <w:rsid w:val="29896926"/>
    <w:rsid w:val="310830D7"/>
    <w:rsid w:val="35094485"/>
    <w:rsid w:val="467C4DAF"/>
    <w:rsid w:val="46AB24C7"/>
    <w:rsid w:val="4B48636D"/>
    <w:rsid w:val="4E62782D"/>
    <w:rsid w:val="50216A78"/>
    <w:rsid w:val="5547457F"/>
    <w:rsid w:val="5CBF5F72"/>
    <w:rsid w:val="644D00B7"/>
    <w:rsid w:val="6D824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rPr>
  </w:style>
  <w:style w:type="paragraph" w:customStyle="1" w:styleId="7">
    <w:name w:val="正文格式"/>
    <w:qFormat/>
    <w:uiPriority w:val="99"/>
    <w:pPr>
      <w:spacing w:beforeLines="50" w:afterLines="50" w:line="360" w:lineRule="auto"/>
      <w:ind w:firstLine="480" w:firstLineChars="200"/>
    </w:pPr>
    <w:rPr>
      <w:rFonts w:ascii="Times New Roman" w:hAnsi="Times New Roman" w:eastAsia="宋体" w:cs="Times New Roman"/>
      <w:kern w:val="2"/>
      <w:sz w:val="24"/>
      <w:szCs w:val="22"/>
      <w:lang w:val="en-US" w:eastAsia="zh-CN" w:bidi="ar-SA"/>
    </w:rPr>
  </w:style>
  <w:style w:type="character" w:customStyle="1" w:styleId="8">
    <w:name w:val="页眉 Char"/>
    <w:basedOn w:val="5"/>
    <w:link w:val="3"/>
    <w:semiHidden/>
    <w:qFormat/>
    <w:uiPriority w:val="99"/>
    <w:rPr>
      <w:rFonts w:ascii="Times New Roman" w:hAnsi="Times New Roman" w:eastAsia="宋体" w:cs="Times New Roman"/>
      <w:sz w:val="18"/>
      <w:szCs w:val="18"/>
    </w:rPr>
  </w:style>
  <w:style w:type="character" w:customStyle="1" w:styleId="9">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2095</Words>
  <Characters>2131</Characters>
  <Lines>14</Lines>
  <Paragraphs>4</Paragraphs>
  <TotalTime>2</TotalTime>
  <ScaleCrop>false</ScaleCrop>
  <LinksUpToDate>false</LinksUpToDate>
  <CharactersWithSpaces>2131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2022-05-18T03:25:00Z</dcterms:created>
  <dc:creator>XYDN</dc:creator>
  <cp:lastModifiedBy>蜜丫Amy</cp:lastModifiedBy>
  <dcterms:modified xsi:type="dcterms:W3CDTF">2024-06-02T14:59:10Z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D1DEF7DEB3CE4DE996D07195EB49BBBC_13</vt:lpwstr>
  </property>
</Properties>
</file>