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jc w:val="center"/>
        <w:rPr>
          <w:rFonts w:hint="eastAsia" w:ascii="黑体" w:hAnsi="黑体" w:eastAsia="黑体" w:cs="方正小标宋简体"/>
          <w:sz w:val="44"/>
          <w:szCs w:val="32"/>
          <w:lang w:val="en-US" w:eastAsia="zh-CN"/>
        </w:rPr>
      </w:pPr>
      <w:r>
        <w:rPr>
          <w:rFonts w:hint="eastAsia" w:ascii="黑体" w:hAnsi="黑体" w:eastAsia="黑体" w:cs="方正小标宋简体"/>
          <w:sz w:val="44"/>
          <w:szCs w:val="32"/>
        </w:rPr>
        <w:t>湘潭县农业</w:t>
      </w:r>
      <w:r>
        <w:rPr>
          <w:rFonts w:hint="eastAsia" w:ascii="黑体" w:hAnsi="黑体" w:eastAsia="黑体" w:cs="方正小标宋简体"/>
          <w:sz w:val="44"/>
          <w:szCs w:val="32"/>
          <w:lang w:val="en-US" w:eastAsia="zh-CN"/>
        </w:rPr>
        <w:t>发展服务中心</w:t>
      </w:r>
    </w:p>
    <w:p>
      <w:pPr>
        <w:spacing w:line="240" w:lineRule="auto"/>
        <w:jc w:val="center"/>
        <w:rPr>
          <w:rFonts w:ascii="黑体" w:hAnsi="黑体" w:eastAsia="黑体" w:cs="方正小标宋简体"/>
          <w:sz w:val="18"/>
          <w:szCs w:val="18"/>
        </w:rPr>
      </w:pPr>
      <w:r>
        <w:rPr>
          <w:rFonts w:hint="eastAsia" w:ascii="黑体" w:hAnsi="黑体" w:eastAsia="黑体" w:cs="方正小标宋简体"/>
          <w:sz w:val="44"/>
          <w:szCs w:val="32"/>
        </w:rPr>
        <w:t>202</w:t>
      </w:r>
      <w:r>
        <w:rPr>
          <w:rFonts w:hint="eastAsia" w:ascii="黑体" w:hAnsi="黑体" w:eastAsia="黑体" w:cs="方正小标宋简体"/>
          <w:sz w:val="44"/>
          <w:szCs w:val="32"/>
          <w:lang w:val="en-US" w:eastAsia="zh-CN"/>
        </w:rPr>
        <w:t>3</w:t>
      </w:r>
      <w:r>
        <w:rPr>
          <w:rFonts w:hint="eastAsia" w:ascii="黑体" w:hAnsi="黑体" w:eastAsia="黑体" w:cs="方正小标宋简体"/>
          <w:sz w:val="44"/>
          <w:szCs w:val="32"/>
        </w:rPr>
        <w:t>年部门</w:t>
      </w:r>
      <w:r>
        <w:rPr>
          <w:rFonts w:hint="eastAsia" w:ascii="黑体" w:hAnsi="黑体" w:eastAsia="黑体" w:cs="方正小标宋简体"/>
          <w:sz w:val="44"/>
          <w:szCs w:val="32"/>
          <w:lang w:eastAsia="zh-CN"/>
        </w:rPr>
        <w:t>预算</w:t>
      </w:r>
      <w:r>
        <w:rPr>
          <w:rFonts w:hint="eastAsia" w:ascii="黑体" w:hAnsi="黑体" w:eastAsia="黑体" w:cs="方正小标宋简体"/>
          <w:sz w:val="44"/>
          <w:szCs w:val="32"/>
        </w:rPr>
        <w:t>整体支出绩效自评报告</w:t>
      </w:r>
    </w:p>
    <w:p>
      <w:pPr>
        <w:spacing w:line="520" w:lineRule="exact"/>
        <w:ind w:firstLine="643" w:firstLineChars="200"/>
        <w:rPr>
          <w:rFonts w:hint="eastAsia" w:asciiTheme="majorEastAsia" w:hAnsiTheme="majorEastAsia" w:eastAsiaTheme="majorEastAsia"/>
          <w:b/>
          <w:sz w:val="32"/>
          <w:szCs w:val="32"/>
        </w:rPr>
      </w:pPr>
      <w:r>
        <w:rPr>
          <w:rFonts w:hint="eastAsia" w:asciiTheme="majorEastAsia" w:hAnsiTheme="majorEastAsia" w:eastAsiaTheme="majorEastAsia"/>
          <w:b/>
          <w:sz w:val="32"/>
          <w:szCs w:val="32"/>
        </w:rPr>
        <w:t>一、基本概况</w:t>
      </w:r>
    </w:p>
    <w:p>
      <w:pPr>
        <w:spacing w:line="520" w:lineRule="exact"/>
        <w:ind w:firstLine="643" w:firstLineChars="200"/>
        <w:rPr>
          <w:rFonts w:ascii="仿宋_GB2312" w:eastAsia="仿宋_GB2312" w:hAnsiTheme="minorEastAsia"/>
          <w:b/>
          <w:sz w:val="32"/>
          <w:szCs w:val="32"/>
        </w:rPr>
      </w:pPr>
      <w:r>
        <w:rPr>
          <w:rFonts w:hint="eastAsia" w:ascii="仿宋_GB2312" w:eastAsia="仿宋_GB2312" w:hAnsiTheme="minorEastAsia"/>
          <w:b/>
          <w:sz w:val="32"/>
          <w:szCs w:val="32"/>
        </w:rPr>
        <w:t>（一）单位基本职能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 xml:space="preserve">贯彻落实农村土地承包经营制度，保护土地资源的合理开发和可持续利用，支持、引导、扶持农民合作社和家庭农场等新型农业经营主体发展。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 xml:space="preserve">贯彻落实农民负担相关政策，组织实施农民负担监督管理工作，配合查处涉及农民负担案（事）件。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 xml:space="preserve">指导农村集体经济组织财务审计工作，支持、引导、扶持村级集体经济发展。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 xml:space="preserve">负责全县农田建设项目的前期申报工作，并组织实施，强化后续管理。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完成</w:t>
      </w:r>
      <w:bookmarkStart w:id="0" w:name="_GoBack"/>
      <w:bookmarkEnd w:id="0"/>
      <w:r>
        <w:rPr>
          <w:rFonts w:hint="eastAsia" w:ascii="仿宋_GB2312" w:hAnsi="仿宋_GB2312" w:eastAsia="仿宋_GB2312" w:cs="仿宋_GB2312"/>
          <w:sz w:val="32"/>
          <w:szCs w:val="32"/>
        </w:rPr>
        <w:t xml:space="preserve">县委、县政府、县农业农村局交办的其他工作任务。 </w:t>
      </w:r>
    </w:p>
    <w:p>
      <w:pPr>
        <w:spacing w:line="520" w:lineRule="exact"/>
        <w:ind w:firstLine="420"/>
        <w:rPr>
          <w:rFonts w:hint="eastAsia" w:ascii="仿宋" w:hAnsi="仿宋" w:eastAsia="仿宋" w:cs="仿宋"/>
          <w:b/>
          <w:sz w:val="32"/>
          <w:szCs w:val="32"/>
        </w:rPr>
      </w:pPr>
      <w:r>
        <w:rPr>
          <w:rFonts w:hint="eastAsia" w:ascii="仿宋" w:hAnsi="仿宋" w:eastAsia="仿宋" w:cs="仿宋"/>
          <w:b/>
          <w:sz w:val="32"/>
          <w:szCs w:val="32"/>
        </w:rPr>
        <w:t>（二）人员编制</w:t>
      </w:r>
    </w:p>
    <w:p>
      <w:pPr>
        <w:spacing w:line="520" w:lineRule="exact"/>
        <w:ind w:firstLine="420"/>
        <w:rPr>
          <w:rFonts w:hint="eastAsia" w:ascii="仿宋_GB2312" w:eastAsia="仿宋_GB2312"/>
          <w:sz w:val="32"/>
          <w:szCs w:val="32"/>
          <w:lang w:eastAsia="zh-CN"/>
        </w:rPr>
      </w:pPr>
      <w:r>
        <w:rPr>
          <w:rFonts w:hint="eastAsia" w:ascii="仿宋_GB2312" w:eastAsia="仿宋_GB2312"/>
          <w:sz w:val="32"/>
          <w:szCs w:val="32"/>
        </w:rPr>
        <w:t>现有编制人数</w:t>
      </w:r>
      <w:r>
        <w:rPr>
          <w:rFonts w:hint="eastAsia" w:ascii="仿宋_GB2312" w:eastAsia="仿宋_GB2312"/>
          <w:sz w:val="32"/>
          <w:szCs w:val="32"/>
          <w:lang w:val="en-US" w:eastAsia="zh-CN"/>
        </w:rPr>
        <w:t>31</w:t>
      </w:r>
      <w:r>
        <w:rPr>
          <w:rFonts w:hint="eastAsia" w:ascii="仿宋_GB2312" w:eastAsia="仿宋_GB2312"/>
          <w:sz w:val="32"/>
          <w:szCs w:val="32"/>
        </w:rPr>
        <w:t>人，实有人数</w:t>
      </w:r>
      <w:r>
        <w:rPr>
          <w:rFonts w:hint="eastAsia" w:ascii="仿宋_GB2312" w:eastAsia="仿宋_GB2312"/>
          <w:sz w:val="32"/>
          <w:szCs w:val="32"/>
          <w:lang w:val="en-US" w:eastAsia="zh-CN"/>
        </w:rPr>
        <w:t>30</w:t>
      </w:r>
      <w:r>
        <w:rPr>
          <w:rFonts w:hint="eastAsia" w:ascii="仿宋_GB2312" w:eastAsia="仿宋_GB2312"/>
          <w:sz w:val="32"/>
          <w:szCs w:val="32"/>
        </w:rPr>
        <w:t>人，另有</w:t>
      </w:r>
      <w:r>
        <w:rPr>
          <w:rFonts w:hint="eastAsia" w:ascii="仿宋_GB2312" w:eastAsia="仿宋_GB2312"/>
          <w:sz w:val="32"/>
          <w:szCs w:val="32"/>
          <w:lang w:val="en-US" w:eastAsia="zh-CN"/>
        </w:rPr>
        <w:t>劳务派遣</w:t>
      </w:r>
      <w:r>
        <w:rPr>
          <w:rFonts w:hint="eastAsia" w:ascii="仿宋_GB2312" w:eastAsia="仿宋_GB2312"/>
          <w:sz w:val="32"/>
          <w:szCs w:val="32"/>
        </w:rPr>
        <w:t xml:space="preserve">人员 </w:t>
      </w:r>
      <w:r>
        <w:rPr>
          <w:rFonts w:hint="eastAsia" w:ascii="仿宋_GB2312" w:eastAsia="仿宋_GB2312"/>
          <w:sz w:val="32"/>
          <w:szCs w:val="32"/>
          <w:lang w:val="en-US" w:eastAsia="zh-CN"/>
        </w:rPr>
        <w:t>1</w:t>
      </w:r>
      <w:r>
        <w:rPr>
          <w:rFonts w:hint="eastAsia" w:ascii="仿宋_GB2312" w:eastAsia="仿宋_GB2312"/>
          <w:sz w:val="32"/>
          <w:szCs w:val="32"/>
        </w:rPr>
        <w:t>人</w:t>
      </w:r>
      <w:r>
        <w:rPr>
          <w:rFonts w:hint="eastAsia" w:ascii="仿宋_GB2312" w:eastAsia="仿宋_GB2312"/>
          <w:sz w:val="32"/>
          <w:szCs w:val="32"/>
          <w:lang w:eastAsia="zh-CN"/>
        </w:rPr>
        <w:t>。</w:t>
      </w:r>
    </w:p>
    <w:p>
      <w:pPr>
        <w:spacing w:line="520" w:lineRule="exact"/>
        <w:ind w:firstLine="420"/>
        <w:rPr>
          <w:rFonts w:hint="eastAsia" w:ascii="仿宋" w:hAnsi="仿宋" w:eastAsia="仿宋" w:cs="仿宋"/>
          <w:b/>
          <w:sz w:val="32"/>
          <w:szCs w:val="32"/>
        </w:rPr>
      </w:pPr>
      <w:r>
        <w:rPr>
          <w:rFonts w:hint="eastAsia" w:ascii="仿宋" w:hAnsi="仿宋" w:eastAsia="仿宋" w:cs="仿宋"/>
          <w:b/>
          <w:sz w:val="32"/>
          <w:szCs w:val="32"/>
        </w:rPr>
        <w:t xml:space="preserve">（三）机构设置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县农业发展服务中心设下列内设</w:t>
      </w:r>
      <w:r>
        <w:rPr>
          <w:rFonts w:hint="eastAsia" w:ascii="仿宋_GB2312" w:hAnsi="仿宋_GB2312" w:eastAsia="仿宋_GB2312" w:cs="仿宋_GB2312"/>
          <w:sz w:val="32"/>
          <w:szCs w:val="32"/>
          <w:lang w:val="en-US" w:eastAsia="zh-CN"/>
        </w:rPr>
        <w:t>8个</w:t>
      </w:r>
      <w:r>
        <w:rPr>
          <w:rFonts w:hint="eastAsia" w:ascii="仿宋_GB2312" w:hAnsi="仿宋_GB2312" w:eastAsia="仿宋_GB2312" w:cs="仿宋_GB2312"/>
          <w:sz w:val="32"/>
          <w:szCs w:val="32"/>
        </w:rPr>
        <w:t>机构： 综合股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财务股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农业发展改革股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农民权益维护股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集体经济发展股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农田项目计划发展股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农田项目建设管理股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人事股。</w:t>
      </w:r>
    </w:p>
    <w:p>
      <w:pPr>
        <w:spacing w:line="520" w:lineRule="exact"/>
        <w:ind w:firstLine="643" w:firstLineChars="200"/>
        <w:rPr>
          <w:rFonts w:asciiTheme="majorEastAsia" w:hAnsiTheme="majorEastAsia" w:eastAsiaTheme="majorEastAsia"/>
          <w:b/>
          <w:sz w:val="32"/>
          <w:szCs w:val="32"/>
        </w:rPr>
      </w:pPr>
      <w:r>
        <w:rPr>
          <w:rFonts w:hint="eastAsia" w:asciiTheme="majorEastAsia" w:hAnsiTheme="majorEastAsia" w:eastAsiaTheme="majorEastAsia"/>
          <w:b/>
          <w:sz w:val="32"/>
          <w:szCs w:val="32"/>
        </w:rPr>
        <w:t>二、绩效评价工作情况</w:t>
      </w:r>
    </w:p>
    <w:p>
      <w:pPr>
        <w:pStyle w:val="17"/>
        <w:spacing w:line="520" w:lineRule="exact"/>
        <w:ind w:firstLine="643" w:firstLineChars="200"/>
        <w:rPr>
          <w:rFonts w:ascii="仿宋_GB2312" w:hAnsi="仿宋" w:eastAsia="仿宋_GB2312"/>
          <w:b/>
          <w:bCs/>
          <w:kern w:val="0"/>
          <w:sz w:val="32"/>
          <w:szCs w:val="32"/>
        </w:rPr>
      </w:pPr>
      <w:r>
        <w:rPr>
          <w:rFonts w:hint="eastAsia" w:ascii="仿宋_GB2312" w:hAnsi="仿宋" w:eastAsia="仿宋_GB2312"/>
          <w:b/>
          <w:bCs/>
          <w:kern w:val="0"/>
          <w:sz w:val="32"/>
          <w:szCs w:val="32"/>
        </w:rPr>
        <w:t>（一）绩效评价工作组织情况</w:t>
      </w:r>
    </w:p>
    <w:p>
      <w:pPr>
        <w:spacing w:line="520" w:lineRule="exact"/>
        <w:ind w:firstLine="600"/>
        <w:rPr>
          <w:rFonts w:ascii="仿宋_GB2312" w:hAnsi="Calibri" w:eastAsia="仿宋_GB2312" w:cs="Times New Roman"/>
          <w:sz w:val="32"/>
          <w:szCs w:val="32"/>
        </w:rPr>
      </w:pPr>
      <w:r>
        <w:rPr>
          <w:rFonts w:hint="eastAsia" w:ascii="仿宋_GB2312" w:hAnsi="仿宋" w:eastAsia="仿宋_GB2312"/>
          <w:b/>
          <w:sz w:val="32"/>
          <w:szCs w:val="32"/>
        </w:rPr>
        <w:t>1、前期准备。</w:t>
      </w:r>
      <w:r>
        <w:rPr>
          <w:rFonts w:hint="eastAsia" w:ascii="仿宋_GB2312" w:hAnsi="Calibri" w:eastAsia="仿宋_GB2312" w:cs="Times New Roman"/>
          <w:sz w:val="32"/>
          <w:szCs w:val="32"/>
        </w:rPr>
        <w:t>根据《湘潭县预算绩效管理工作方案》和</w:t>
      </w:r>
      <w:r>
        <w:rPr>
          <w:rFonts w:hint="eastAsia" w:ascii="仿宋_GB2312" w:hAnsi="Calibri" w:eastAsia="仿宋_GB2312" w:cs="Times New Roman"/>
          <w:sz w:val="32"/>
          <w:szCs w:val="32"/>
          <w:lang w:eastAsia="zh-CN"/>
        </w:rPr>
        <w:t>开展</w:t>
      </w:r>
      <w:r>
        <w:rPr>
          <w:rFonts w:hint="eastAsia" w:ascii="仿宋_GB2312" w:hAnsi="Calibri" w:eastAsia="仿宋_GB2312" w:cs="Times New Roman"/>
          <w:sz w:val="32"/>
          <w:szCs w:val="32"/>
        </w:rPr>
        <w:t>绩效自评工作的</w:t>
      </w:r>
      <w:r>
        <w:rPr>
          <w:rFonts w:hint="eastAsia" w:ascii="仿宋_GB2312" w:hAnsi="Calibri" w:eastAsia="仿宋_GB2312" w:cs="Times New Roman"/>
          <w:sz w:val="32"/>
          <w:szCs w:val="32"/>
          <w:lang w:eastAsia="zh-CN"/>
        </w:rPr>
        <w:t>相关</w:t>
      </w:r>
      <w:r>
        <w:rPr>
          <w:rFonts w:hint="eastAsia" w:ascii="仿宋_GB2312" w:hAnsi="Calibri" w:eastAsia="仿宋_GB2312" w:cs="Times New Roman"/>
          <w:sz w:val="32"/>
          <w:szCs w:val="32"/>
        </w:rPr>
        <w:t>通知</w:t>
      </w:r>
      <w:r>
        <w:rPr>
          <w:rFonts w:hint="eastAsia" w:ascii="仿宋_GB2312" w:hAnsi="Calibri" w:eastAsia="仿宋_GB2312" w:cs="Times New Roman"/>
          <w:sz w:val="32"/>
          <w:szCs w:val="32"/>
          <w:lang w:eastAsia="zh-CN"/>
        </w:rPr>
        <w:t>要求</w:t>
      </w:r>
      <w:r>
        <w:rPr>
          <w:rFonts w:hint="eastAsia" w:ascii="仿宋_GB2312" w:hAnsi="Calibri" w:eastAsia="仿宋_GB2312" w:cs="Times New Roman"/>
          <w:sz w:val="32"/>
          <w:szCs w:val="32"/>
        </w:rPr>
        <w:t>，为做好202</w:t>
      </w:r>
      <w:r>
        <w:rPr>
          <w:rFonts w:hint="eastAsia" w:ascii="仿宋_GB2312" w:hAnsi="Calibri" w:eastAsia="仿宋_GB2312" w:cs="Times New Roman"/>
          <w:sz w:val="32"/>
          <w:szCs w:val="32"/>
          <w:lang w:val="en-US" w:eastAsia="zh-CN"/>
        </w:rPr>
        <w:t>3</w:t>
      </w:r>
      <w:r>
        <w:rPr>
          <w:rFonts w:hint="eastAsia" w:ascii="仿宋_GB2312" w:hAnsi="Calibri" w:eastAsia="仿宋_GB2312" w:cs="Times New Roman"/>
          <w:sz w:val="32"/>
          <w:szCs w:val="32"/>
        </w:rPr>
        <w:t>年度我</w:t>
      </w:r>
      <w:r>
        <w:rPr>
          <w:rFonts w:hint="eastAsia" w:ascii="仿宋_GB2312" w:hAnsi="Calibri" w:eastAsia="仿宋_GB2312" w:cs="Times New Roman"/>
          <w:sz w:val="32"/>
          <w:szCs w:val="32"/>
          <w:lang w:val="en-US" w:eastAsia="zh-CN"/>
        </w:rPr>
        <w:t>单位</w:t>
      </w:r>
      <w:r>
        <w:rPr>
          <w:rFonts w:hint="eastAsia" w:ascii="仿宋_GB2312" w:hAnsi="Calibri" w:eastAsia="仿宋_GB2312" w:cs="Times New Roman"/>
          <w:sz w:val="32"/>
          <w:szCs w:val="32"/>
        </w:rPr>
        <w:t>预算支出绩效自评工作，</w:t>
      </w:r>
      <w:r>
        <w:rPr>
          <w:rFonts w:hint="eastAsia" w:ascii="仿宋_GB2312" w:hAnsi="Calibri" w:eastAsia="仿宋_GB2312" w:cs="Times New Roman"/>
          <w:sz w:val="32"/>
          <w:szCs w:val="32"/>
          <w:lang w:val="en-US" w:eastAsia="zh-CN"/>
        </w:rPr>
        <w:t>我单位</w:t>
      </w:r>
      <w:r>
        <w:rPr>
          <w:rFonts w:hint="eastAsia" w:ascii="仿宋_GB2312" w:hAnsi="Calibri" w:eastAsia="仿宋_GB2312" w:cs="Times New Roman"/>
          <w:sz w:val="32"/>
          <w:szCs w:val="32"/>
        </w:rPr>
        <w:t>召开了绩效自评工作会议，对绩效评价工作进行了专题部署，明确了责任，成立了以</w:t>
      </w:r>
      <w:r>
        <w:rPr>
          <w:rFonts w:hint="eastAsia" w:ascii="仿宋_GB2312" w:hAnsi="Calibri" w:eastAsia="仿宋_GB2312" w:cs="Times New Roman"/>
          <w:sz w:val="32"/>
          <w:szCs w:val="32"/>
          <w:lang w:val="en-US" w:eastAsia="zh-CN"/>
        </w:rPr>
        <w:t>中心主任</w:t>
      </w:r>
      <w:r>
        <w:rPr>
          <w:rFonts w:hint="eastAsia" w:ascii="仿宋_GB2312" w:hAnsi="Calibri" w:eastAsia="仿宋_GB2312" w:cs="Times New Roman"/>
          <w:sz w:val="32"/>
          <w:szCs w:val="32"/>
        </w:rPr>
        <w:t>为组长，分管</w:t>
      </w:r>
      <w:r>
        <w:rPr>
          <w:rFonts w:hint="eastAsia" w:ascii="仿宋_GB2312" w:hAnsi="Calibri" w:eastAsia="仿宋_GB2312" w:cs="Times New Roman"/>
          <w:sz w:val="32"/>
          <w:szCs w:val="32"/>
          <w:lang w:val="en-US" w:eastAsia="zh-CN"/>
        </w:rPr>
        <w:t>副主任</w:t>
      </w:r>
      <w:r>
        <w:rPr>
          <w:rFonts w:hint="eastAsia" w:ascii="仿宋_GB2312" w:hAnsi="Calibri" w:eastAsia="仿宋_GB2312" w:cs="Times New Roman"/>
          <w:sz w:val="32"/>
          <w:szCs w:val="32"/>
        </w:rPr>
        <w:t>为副组长，</w:t>
      </w:r>
      <w:r>
        <w:rPr>
          <w:rFonts w:hint="eastAsia" w:ascii="仿宋_GB2312" w:hAnsi="Calibri" w:eastAsia="仿宋_GB2312" w:cs="Times New Roman"/>
          <w:sz w:val="32"/>
          <w:szCs w:val="32"/>
          <w:lang w:val="en-US" w:eastAsia="zh-CN"/>
        </w:rPr>
        <w:t>相关</w:t>
      </w:r>
      <w:r>
        <w:rPr>
          <w:rFonts w:hint="eastAsia" w:ascii="仿宋_GB2312" w:hAnsi="Calibri" w:eastAsia="仿宋_GB2312" w:cs="Times New Roman"/>
          <w:sz w:val="32"/>
          <w:szCs w:val="32"/>
        </w:rPr>
        <w:t>股站负责人为成员的湘潭县</w:t>
      </w:r>
      <w:r>
        <w:rPr>
          <w:rFonts w:hint="eastAsia" w:ascii="仿宋_GB2312" w:hAnsi="Calibri" w:eastAsia="仿宋_GB2312" w:cs="Times New Roman"/>
          <w:sz w:val="32"/>
          <w:szCs w:val="32"/>
          <w:lang w:val="en-US" w:eastAsia="zh-CN"/>
        </w:rPr>
        <w:t>农业发展服务中心</w:t>
      </w:r>
      <w:r>
        <w:rPr>
          <w:rFonts w:hint="eastAsia" w:ascii="仿宋_GB2312" w:hAnsi="Calibri" w:eastAsia="仿宋_GB2312" w:cs="Times New Roman"/>
          <w:sz w:val="32"/>
          <w:szCs w:val="32"/>
        </w:rPr>
        <w:t>预算绩效管理领导小组，并制定了预算绩效管理工作方案。</w:t>
      </w:r>
    </w:p>
    <w:p>
      <w:pPr>
        <w:spacing w:line="520" w:lineRule="exact"/>
        <w:ind w:firstLine="600"/>
        <w:rPr>
          <w:rFonts w:hint="eastAsia" w:ascii="仿宋_GB2312" w:hAnsi="Calibri" w:eastAsia="仿宋_GB2312" w:cs="Times New Roman"/>
          <w:sz w:val="32"/>
          <w:szCs w:val="32"/>
        </w:rPr>
      </w:pPr>
      <w:r>
        <w:rPr>
          <w:rFonts w:hint="eastAsia" w:ascii="仿宋_GB2312" w:hAnsi="Calibri" w:eastAsia="仿宋_GB2312" w:cs="Times New Roman"/>
          <w:b/>
          <w:sz w:val="32"/>
          <w:szCs w:val="32"/>
        </w:rPr>
        <w:t>2、组织实施。</w:t>
      </w:r>
      <w:r>
        <w:rPr>
          <w:rFonts w:hint="eastAsia" w:ascii="仿宋_GB2312" w:hAnsi="Calibri" w:eastAsia="仿宋_GB2312" w:cs="Times New Roman"/>
          <w:sz w:val="32"/>
          <w:szCs w:val="32"/>
        </w:rPr>
        <w:t>由</w:t>
      </w:r>
      <w:r>
        <w:rPr>
          <w:rFonts w:hint="eastAsia" w:ascii="仿宋_GB2312" w:hAnsi="Calibri" w:eastAsia="仿宋_GB2312" w:cs="Times New Roman"/>
          <w:sz w:val="32"/>
          <w:szCs w:val="32"/>
          <w:lang w:val="en-US" w:eastAsia="zh-CN"/>
        </w:rPr>
        <w:t>财务股</w:t>
      </w:r>
      <w:r>
        <w:rPr>
          <w:rFonts w:hint="eastAsia" w:ascii="仿宋_GB2312" w:hAnsi="Calibri" w:eastAsia="仿宋_GB2312" w:cs="Times New Roman"/>
          <w:sz w:val="32"/>
          <w:szCs w:val="32"/>
        </w:rPr>
        <w:t>牵头，组织</w:t>
      </w:r>
      <w:r>
        <w:rPr>
          <w:rFonts w:hint="eastAsia" w:ascii="仿宋_GB2312" w:hAnsi="Calibri" w:eastAsia="仿宋_GB2312" w:cs="Times New Roman"/>
          <w:sz w:val="32"/>
          <w:szCs w:val="32"/>
          <w:lang w:val="en-US" w:eastAsia="zh-CN"/>
        </w:rPr>
        <w:t>相关</w:t>
      </w:r>
      <w:r>
        <w:rPr>
          <w:rFonts w:hint="eastAsia" w:ascii="仿宋_GB2312" w:hAnsi="Calibri" w:eastAsia="仿宋_GB2312" w:cs="Times New Roman"/>
          <w:sz w:val="32"/>
          <w:szCs w:val="32"/>
        </w:rPr>
        <w:t>股站，对202</w:t>
      </w:r>
      <w:r>
        <w:rPr>
          <w:rFonts w:hint="eastAsia" w:ascii="仿宋_GB2312" w:hAnsi="Calibri" w:eastAsia="仿宋_GB2312" w:cs="Times New Roman"/>
          <w:sz w:val="32"/>
          <w:szCs w:val="32"/>
          <w:lang w:val="en-US" w:eastAsia="zh-CN"/>
        </w:rPr>
        <w:t>3</w:t>
      </w:r>
      <w:r>
        <w:rPr>
          <w:rFonts w:hint="eastAsia" w:ascii="仿宋_GB2312" w:hAnsi="Calibri" w:eastAsia="仿宋_GB2312" w:cs="Times New Roman"/>
          <w:sz w:val="32"/>
          <w:szCs w:val="32"/>
        </w:rPr>
        <w:t>年度县级部门预算资金开展绩效自评工作，根据绩效评价指标完成情况表要求对照评分，并将绩效评价报告和绩效评价相关辅证资料汇编成册后，</w:t>
      </w:r>
      <w:r>
        <w:rPr>
          <w:rFonts w:hint="eastAsia" w:ascii="仿宋_GB2312" w:hAnsi="Calibri" w:eastAsia="仿宋_GB2312" w:cs="Times New Roman"/>
          <w:sz w:val="32"/>
          <w:szCs w:val="32"/>
          <w:lang w:eastAsia="zh-CN"/>
        </w:rPr>
        <w:t>于</w:t>
      </w:r>
      <w:r>
        <w:rPr>
          <w:rFonts w:hint="eastAsia" w:ascii="仿宋_GB2312" w:hAnsi="Calibri" w:eastAsia="仿宋_GB2312" w:cs="Times New Roman"/>
          <w:sz w:val="32"/>
          <w:szCs w:val="32"/>
          <w:lang w:val="en-US" w:eastAsia="zh-CN"/>
        </w:rPr>
        <w:t>5月30日前</w:t>
      </w:r>
      <w:r>
        <w:rPr>
          <w:rFonts w:hint="eastAsia" w:ascii="仿宋_GB2312" w:hAnsi="Calibri" w:eastAsia="仿宋_GB2312" w:cs="Times New Roman"/>
          <w:sz w:val="32"/>
          <w:szCs w:val="32"/>
        </w:rPr>
        <w:t>报县财政局绩效评价股。</w:t>
      </w:r>
    </w:p>
    <w:p>
      <w:pPr>
        <w:spacing w:line="520" w:lineRule="exact"/>
        <w:ind w:firstLine="600"/>
        <w:rPr>
          <w:rFonts w:hint="eastAsia" w:ascii="仿宋_GB2312" w:hAnsi="Calibri" w:eastAsia="仿宋_GB2312" w:cs="Times New Roman"/>
          <w:b/>
          <w:bCs/>
          <w:sz w:val="32"/>
          <w:szCs w:val="32"/>
          <w:lang w:eastAsia="zh-CN"/>
        </w:rPr>
      </w:pPr>
      <w:r>
        <w:rPr>
          <w:rFonts w:hint="eastAsia" w:ascii="仿宋_GB2312" w:hAnsi="Calibri" w:eastAsia="仿宋_GB2312" w:cs="Times New Roman"/>
          <w:b/>
          <w:bCs/>
          <w:sz w:val="32"/>
          <w:szCs w:val="32"/>
        </w:rPr>
        <w:t>（二）部门自评</w:t>
      </w:r>
      <w:r>
        <w:rPr>
          <w:rFonts w:hint="eastAsia" w:ascii="仿宋_GB2312" w:hAnsi="Calibri" w:eastAsia="仿宋_GB2312" w:cs="Times New Roman"/>
          <w:b/>
          <w:bCs/>
          <w:sz w:val="32"/>
          <w:szCs w:val="32"/>
          <w:lang w:eastAsia="zh-CN"/>
        </w:rPr>
        <w:t>结果</w:t>
      </w:r>
    </w:p>
    <w:p>
      <w:pPr>
        <w:spacing w:line="520" w:lineRule="exact"/>
        <w:ind w:firstLine="640" w:firstLineChars="200"/>
        <w:jc w:val="left"/>
        <w:outlineLvl w:val="0"/>
        <w:rPr>
          <w:rFonts w:hint="default"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eastAsia="zh-CN"/>
        </w:rPr>
        <w:t>根据《</w:t>
      </w:r>
      <w:r>
        <w:rPr>
          <w:rFonts w:hint="eastAsia" w:ascii="仿宋_GB2312" w:eastAsia="仿宋_GB2312"/>
          <w:color w:val="auto"/>
          <w:sz w:val="32"/>
          <w:szCs w:val="32"/>
          <w:highlight w:val="none"/>
        </w:rPr>
        <w:t>部门整体支出绩效评价指标完成情况评分表</w:t>
      </w:r>
      <w:r>
        <w:rPr>
          <w:rFonts w:hint="eastAsia" w:ascii="仿宋_GB2312" w:eastAsia="仿宋_GB2312"/>
          <w:color w:val="auto"/>
          <w:sz w:val="32"/>
          <w:szCs w:val="32"/>
          <w:highlight w:val="none"/>
          <w:lang w:eastAsia="zh-CN"/>
        </w:rPr>
        <w:t>》进行评分，自评得分</w:t>
      </w:r>
      <w:r>
        <w:rPr>
          <w:rFonts w:hint="eastAsia" w:ascii="仿宋_GB2312" w:eastAsia="仿宋_GB2312"/>
          <w:color w:val="auto"/>
          <w:sz w:val="32"/>
          <w:szCs w:val="32"/>
          <w:highlight w:val="none"/>
          <w:lang w:val="en-US" w:eastAsia="zh-CN"/>
        </w:rPr>
        <w:t>95分，自评结果为“优秀”。</w:t>
      </w:r>
    </w:p>
    <w:p>
      <w:pPr>
        <w:spacing w:line="520" w:lineRule="exact"/>
        <w:ind w:firstLine="643" w:firstLineChars="200"/>
        <w:rPr>
          <w:rFonts w:hint="eastAsia" w:asciiTheme="majorEastAsia" w:hAnsiTheme="majorEastAsia" w:eastAsiaTheme="majorEastAsia"/>
          <w:b/>
          <w:sz w:val="32"/>
          <w:szCs w:val="32"/>
        </w:rPr>
      </w:pPr>
      <w:r>
        <w:rPr>
          <w:rFonts w:hint="eastAsia" w:asciiTheme="majorEastAsia" w:hAnsiTheme="majorEastAsia" w:eastAsiaTheme="majorEastAsia"/>
          <w:b/>
          <w:sz w:val="32"/>
          <w:szCs w:val="32"/>
        </w:rPr>
        <w:t>三、部门整体支出管理和使用基本情况</w:t>
      </w:r>
    </w:p>
    <w:p>
      <w:pPr>
        <w:spacing w:line="520" w:lineRule="exact"/>
        <w:ind w:firstLine="600"/>
        <w:rPr>
          <w:rFonts w:hint="eastAsia" w:ascii="仿宋_GB2312" w:hAnsi="Calibri" w:eastAsia="仿宋_GB2312" w:cs="Times New Roman"/>
          <w:sz w:val="32"/>
          <w:szCs w:val="32"/>
        </w:rPr>
      </w:pPr>
      <w:r>
        <w:rPr>
          <w:rFonts w:hint="eastAsia" w:ascii="仿宋_GB2312" w:hAnsi="Calibri" w:eastAsia="仿宋_GB2312" w:cs="Times New Roman"/>
          <w:sz w:val="32"/>
          <w:szCs w:val="32"/>
        </w:rPr>
        <w:t>认真贯彻执行《会计法</w:t>
      </w:r>
      <w:r>
        <w:rPr>
          <w:rFonts w:hint="eastAsia" w:ascii="仿宋_GB2312" w:hAnsi="Calibri" w:eastAsia="仿宋_GB2312" w:cs="Times New Roman"/>
          <w:sz w:val="32"/>
          <w:szCs w:val="32"/>
          <w:lang w:eastAsia="zh-CN"/>
        </w:rPr>
        <w:t>》《</w:t>
      </w:r>
      <w:r>
        <w:rPr>
          <w:rFonts w:hint="eastAsia" w:ascii="仿宋_GB2312" w:hAnsi="Calibri" w:eastAsia="仿宋_GB2312" w:cs="Times New Roman"/>
          <w:sz w:val="32"/>
          <w:szCs w:val="32"/>
        </w:rPr>
        <w:t>预算法</w:t>
      </w:r>
      <w:r>
        <w:rPr>
          <w:rFonts w:hint="eastAsia" w:ascii="仿宋_GB2312" w:hAnsi="Calibri" w:eastAsia="仿宋_GB2312" w:cs="Times New Roman"/>
          <w:sz w:val="32"/>
          <w:szCs w:val="32"/>
          <w:lang w:eastAsia="zh-CN"/>
        </w:rPr>
        <w:t>》《</w:t>
      </w:r>
      <w:r>
        <w:rPr>
          <w:rFonts w:hint="eastAsia" w:ascii="仿宋_GB2312" w:hAnsi="Calibri" w:eastAsia="仿宋_GB2312" w:cs="Times New Roman"/>
          <w:sz w:val="32"/>
          <w:szCs w:val="32"/>
        </w:rPr>
        <w:t>行政事业单位会计制度》等法律法规，各项经费支出严格按照政府采购、国库集中支付、公务卡支付等有关规定执行。202</w:t>
      </w:r>
      <w:r>
        <w:rPr>
          <w:rFonts w:hint="eastAsia" w:ascii="仿宋_GB2312" w:hAnsi="Calibri" w:eastAsia="仿宋_GB2312" w:cs="Times New Roman"/>
          <w:sz w:val="32"/>
          <w:szCs w:val="32"/>
          <w:lang w:val="en-US" w:eastAsia="zh-CN"/>
        </w:rPr>
        <w:t>3</w:t>
      </w:r>
      <w:r>
        <w:rPr>
          <w:rFonts w:hint="eastAsia" w:ascii="仿宋_GB2312" w:hAnsi="Calibri" w:eastAsia="仿宋_GB2312" w:cs="Times New Roman"/>
          <w:sz w:val="32"/>
          <w:szCs w:val="32"/>
        </w:rPr>
        <w:t>年我</w:t>
      </w:r>
      <w:r>
        <w:rPr>
          <w:rFonts w:hint="eastAsia" w:ascii="仿宋_GB2312" w:hAnsi="Calibri" w:eastAsia="仿宋_GB2312" w:cs="Times New Roman"/>
          <w:sz w:val="32"/>
          <w:szCs w:val="32"/>
          <w:lang w:val="en-US" w:eastAsia="zh-CN"/>
        </w:rPr>
        <w:t>单位</w:t>
      </w:r>
      <w:r>
        <w:rPr>
          <w:rFonts w:hint="eastAsia" w:ascii="仿宋_GB2312" w:hAnsi="Calibri" w:eastAsia="仿宋_GB2312" w:cs="Times New Roman"/>
          <w:sz w:val="32"/>
          <w:szCs w:val="32"/>
        </w:rPr>
        <w:t>县级年初部门预算资金</w:t>
      </w:r>
      <w:r>
        <w:rPr>
          <w:rFonts w:hint="eastAsia" w:ascii="仿宋_GB2312" w:hAnsi="Calibri" w:eastAsia="仿宋_GB2312" w:cs="Times New Roman"/>
          <w:sz w:val="32"/>
          <w:szCs w:val="32"/>
          <w:lang w:val="en-US" w:eastAsia="zh-CN"/>
        </w:rPr>
        <w:t>402.21</w:t>
      </w:r>
      <w:r>
        <w:rPr>
          <w:rFonts w:hint="eastAsia" w:ascii="仿宋_GB2312" w:hAnsi="Calibri" w:eastAsia="仿宋_GB2312" w:cs="Times New Roman"/>
          <w:sz w:val="32"/>
          <w:szCs w:val="32"/>
        </w:rPr>
        <w:t>万元</w:t>
      </w:r>
      <w:r>
        <w:rPr>
          <w:rFonts w:hint="eastAsia" w:ascii="仿宋_GB2312" w:hAnsi="Calibri" w:eastAsia="仿宋_GB2312" w:cs="Times New Roman"/>
          <w:sz w:val="32"/>
          <w:szCs w:val="32"/>
          <w:lang w:eastAsia="zh-CN"/>
        </w:rPr>
        <w:t>（不含上级补助收入）</w:t>
      </w:r>
      <w:r>
        <w:rPr>
          <w:rFonts w:hint="eastAsia" w:ascii="仿宋_GB2312" w:hAnsi="Calibri" w:eastAsia="仿宋_GB2312" w:cs="Times New Roman"/>
          <w:sz w:val="32"/>
          <w:szCs w:val="32"/>
        </w:rPr>
        <w:t>，</w:t>
      </w:r>
      <w:r>
        <w:rPr>
          <w:rFonts w:hint="eastAsia" w:ascii="仿宋_GB2312" w:hAnsi="Calibri" w:eastAsia="仿宋_GB2312" w:cs="Times New Roman"/>
          <w:sz w:val="32"/>
          <w:szCs w:val="32"/>
          <w:lang w:val="en-US" w:eastAsia="zh-CN"/>
        </w:rPr>
        <w:t>其中</w:t>
      </w:r>
      <w:r>
        <w:rPr>
          <w:rFonts w:hint="eastAsia" w:ascii="仿宋_GB2312" w:hAnsi="Calibri" w:eastAsia="仿宋_GB2312" w:cs="Times New Roman"/>
          <w:sz w:val="32"/>
          <w:szCs w:val="32"/>
          <w:lang w:eastAsia="zh-CN"/>
        </w:rPr>
        <w:t>：基本</w:t>
      </w:r>
      <w:r>
        <w:rPr>
          <w:rFonts w:hint="eastAsia" w:ascii="仿宋_GB2312" w:hAnsi="Calibri" w:eastAsia="仿宋_GB2312" w:cs="Times New Roman"/>
          <w:sz w:val="32"/>
          <w:szCs w:val="32"/>
        </w:rPr>
        <w:t>支出</w:t>
      </w:r>
      <w:r>
        <w:rPr>
          <w:rFonts w:hint="eastAsia" w:ascii="仿宋_GB2312" w:hAnsi="Calibri" w:eastAsia="仿宋_GB2312" w:cs="Times New Roman"/>
          <w:sz w:val="32"/>
          <w:szCs w:val="32"/>
          <w:lang w:eastAsia="zh-CN"/>
        </w:rPr>
        <w:t>预算</w:t>
      </w:r>
      <w:r>
        <w:rPr>
          <w:rFonts w:hint="eastAsia" w:ascii="仿宋_GB2312" w:hAnsi="Calibri" w:eastAsia="仿宋_GB2312" w:cs="Times New Roman"/>
          <w:sz w:val="32"/>
          <w:szCs w:val="32"/>
          <w:lang w:val="en-US" w:eastAsia="zh-CN"/>
        </w:rPr>
        <w:t>387.61</w:t>
      </w:r>
      <w:r>
        <w:rPr>
          <w:rFonts w:hint="eastAsia" w:ascii="仿宋_GB2312" w:hAnsi="Calibri" w:eastAsia="仿宋_GB2312" w:cs="Times New Roman"/>
          <w:sz w:val="32"/>
          <w:szCs w:val="32"/>
        </w:rPr>
        <w:t>万元</w:t>
      </w:r>
      <w:r>
        <w:rPr>
          <w:rFonts w:hint="eastAsia" w:ascii="仿宋_GB2312" w:hAnsi="Calibri" w:eastAsia="仿宋_GB2312" w:cs="Times New Roman"/>
          <w:sz w:val="32"/>
          <w:szCs w:val="32"/>
          <w:lang w:eastAsia="zh-CN"/>
        </w:rPr>
        <w:t>（含三公经费预算支出</w:t>
      </w:r>
      <w:r>
        <w:rPr>
          <w:rFonts w:hint="eastAsia" w:ascii="仿宋_GB2312" w:hAnsi="Calibri" w:eastAsia="仿宋_GB2312" w:cs="Times New Roman"/>
          <w:sz w:val="32"/>
          <w:szCs w:val="32"/>
          <w:lang w:val="en-US" w:eastAsia="zh-CN"/>
        </w:rPr>
        <w:t>2万元）</w:t>
      </w:r>
      <w:r>
        <w:rPr>
          <w:rFonts w:hint="eastAsia" w:ascii="仿宋_GB2312" w:hAnsi="Calibri" w:eastAsia="仿宋_GB2312" w:cs="Times New Roman"/>
          <w:sz w:val="32"/>
          <w:szCs w:val="32"/>
        </w:rPr>
        <w:t>，</w:t>
      </w:r>
      <w:r>
        <w:rPr>
          <w:rFonts w:hint="eastAsia" w:ascii="仿宋_GB2312" w:hAnsi="Calibri" w:eastAsia="仿宋_GB2312" w:cs="Times New Roman"/>
          <w:sz w:val="32"/>
          <w:szCs w:val="32"/>
          <w:lang w:eastAsia="zh-CN"/>
        </w:rPr>
        <w:t>项目</w:t>
      </w:r>
      <w:r>
        <w:rPr>
          <w:rFonts w:hint="eastAsia" w:ascii="仿宋_GB2312" w:hAnsi="Calibri" w:eastAsia="仿宋_GB2312" w:cs="Times New Roman"/>
          <w:sz w:val="32"/>
          <w:szCs w:val="32"/>
        </w:rPr>
        <w:t>支出</w:t>
      </w:r>
      <w:r>
        <w:rPr>
          <w:rFonts w:hint="eastAsia" w:ascii="仿宋_GB2312" w:hAnsi="Calibri" w:eastAsia="仿宋_GB2312" w:cs="Times New Roman"/>
          <w:sz w:val="32"/>
          <w:szCs w:val="32"/>
          <w:lang w:val="en-US" w:eastAsia="zh-CN"/>
        </w:rPr>
        <w:t>预算14.6</w:t>
      </w:r>
      <w:r>
        <w:rPr>
          <w:rFonts w:hint="eastAsia" w:ascii="仿宋_GB2312" w:hAnsi="Calibri" w:eastAsia="仿宋_GB2312" w:cs="Times New Roman"/>
          <w:sz w:val="32"/>
          <w:szCs w:val="32"/>
        </w:rPr>
        <w:t>万元。</w:t>
      </w:r>
    </w:p>
    <w:p>
      <w:pPr>
        <w:spacing w:line="520" w:lineRule="exact"/>
        <w:ind w:firstLine="643" w:firstLineChars="200"/>
        <w:jc w:val="left"/>
        <w:outlineLvl w:val="0"/>
        <w:rPr>
          <w:rFonts w:ascii="宋体" w:hAnsi="宋体" w:eastAsia="仿宋_GB2312" w:cs="宋体"/>
          <w:b/>
          <w:color w:val="auto"/>
          <w:sz w:val="32"/>
          <w:szCs w:val="32"/>
          <w:highlight w:val="none"/>
        </w:rPr>
      </w:pPr>
      <w:r>
        <w:rPr>
          <w:rFonts w:hint="eastAsia" w:ascii="宋体" w:hAnsi="宋体" w:eastAsia="仿宋_GB2312" w:cs="宋体"/>
          <w:b/>
          <w:color w:val="auto"/>
          <w:sz w:val="32"/>
          <w:szCs w:val="32"/>
          <w:highlight w:val="none"/>
        </w:rPr>
        <w:t>（一）基本支出管理和使用情况</w:t>
      </w:r>
    </w:p>
    <w:p>
      <w:pPr>
        <w:spacing w:line="520" w:lineRule="exact"/>
        <w:ind w:firstLine="640" w:firstLineChars="200"/>
        <w:jc w:val="left"/>
        <w:outlineLvl w:val="0"/>
        <w:rPr>
          <w:rFonts w:ascii="宋体" w:hAnsi="宋体" w:eastAsia="仿宋_GB2312" w:cs="宋体"/>
          <w:color w:val="auto"/>
          <w:sz w:val="32"/>
          <w:szCs w:val="32"/>
          <w:highlight w:val="none"/>
        </w:rPr>
      </w:pPr>
      <w:r>
        <w:rPr>
          <w:rFonts w:hint="eastAsia" w:ascii="宋体" w:hAnsi="宋体" w:eastAsia="仿宋_GB2312" w:cs="宋体"/>
          <w:color w:val="auto"/>
          <w:sz w:val="32"/>
          <w:szCs w:val="32"/>
          <w:highlight w:val="none"/>
          <w:lang w:val="en-US" w:eastAsia="zh-CN"/>
        </w:rPr>
        <w:t>单位的</w:t>
      </w:r>
      <w:r>
        <w:rPr>
          <w:rFonts w:hint="eastAsia" w:ascii="宋体" w:hAnsi="宋体" w:eastAsia="仿宋_GB2312" w:cs="宋体"/>
          <w:color w:val="auto"/>
          <w:sz w:val="32"/>
          <w:szCs w:val="32"/>
          <w:highlight w:val="none"/>
        </w:rPr>
        <w:t>基本支出的范围和主要用途包括人员经费和日常公用经费。具体包括：工资福利支出、对个人和家庭的补助、商品和服务支出。基本支出的管理和使用情况如下：</w:t>
      </w:r>
    </w:p>
    <w:p>
      <w:pPr>
        <w:numPr>
          <w:ilvl w:val="0"/>
          <w:numId w:val="1"/>
        </w:numPr>
        <w:spacing w:line="240" w:lineRule="auto"/>
        <w:ind w:firstLine="640" w:firstLineChars="200"/>
        <w:jc w:val="left"/>
        <w:outlineLvl w:val="0"/>
        <w:rPr>
          <w:rFonts w:hint="eastAsia" w:ascii="宋体" w:hAnsi="宋体" w:eastAsia="仿宋_GB2312" w:cs="宋体"/>
          <w:color w:val="auto"/>
          <w:sz w:val="32"/>
          <w:szCs w:val="32"/>
          <w:highlight w:val="none"/>
        </w:rPr>
      </w:pPr>
      <w:r>
        <w:rPr>
          <w:rFonts w:hint="eastAsia" w:ascii="宋体" w:hAnsi="宋体" w:eastAsia="仿宋_GB2312" w:cs="宋体"/>
          <w:color w:val="auto"/>
          <w:sz w:val="32"/>
          <w:szCs w:val="32"/>
          <w:highlight w:val="none"/>
        </w:rPr>
        <w:t>基本支出本年预算指标可用情况（单位：元）</w:t>
      </w:r>
    </w:p>
    <w:tbl>
      <w:tblPr>
        <w:tblStyle w:val="10"/>
        <w:tblW w:w="835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610"/>
        <w:gridCol w:w="1850"/>
        <w:gridCol w:w="1850"/>
        <w:gridCol w:w="20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8" w:hRule="atLeast"/>
        </w:trPr>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预算项目</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本年预算</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本年追加</w:t>
            </w:r>
          </w:p>
        </w:tc>
        <w:tc>
          <w:tcPr>
            <w:tcW w:w="2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本年可用指标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5" w:hRule="atLeast"/>
        </w:trPr>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工资福利支出</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3336400</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110136</w:t>
            </w:r>
          </w:p>
        </w:tc>
        <w:tc>
          <w:tcPr>
            <w:tcW w:w="2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3446536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商品和服务支出</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521700</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7700</w:t>
            </w:r>
          </w:p>
        </w:tc>
        <w:tc>
          <w:tcPr>
            <w:tcW w:w="2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529400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对个人和家庭补助</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18000</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20000</w:t>
            </w:r>
          </w:p>
        </w:tc>
        <w:tc>
          <w:tcPr>
            <w:tcW w:w="2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38000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9" w:hRule="atLeast"/>
        </w:trPr>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合 计</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bCs/>
                <w:i w:val="0"/>
                <w:iCs w:val="0"/>
                <w:color w:val="000000"/>
                <w:sz w:val="21"/>
                <w:szCs w:val="21"/>
                <w:u w:val="none"/>
                <w:lang w:val="en-US" w:eastAsia="zh-CN"/>
              </w:rPr>
            </w:pPr>
            <w:r>
              <w:rPr>
                <w:rFonts w:hint="eastAsia" w:ascii="仿宋" w:hAnsi="仿宋" w:eastAsia="仿宋" w:cs="仿宋"/>
                <w:b/>
                <w:bCs/>
                <w:i w:val="0"/>
                <w:iCs w:val="0"/>
                <w:color w:val="000000"/>
                <w:sz w:val="21"/>
                <w:szCs w:val="21"/>
                <w:u w:val="none"/>
                <w:lang w:val="en-US" w:eastAsia="zh-CN"/>
              </w:rPr>
              <w:t>3876100</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bCs/>
                <w:i w:val="0"/>
                <w:iCs w:val="0"/>
                <w:color w:val="000000"/>
                <w:sz w:val="21"/>
                <w:szCs w:val="21"/>
                <w:u w:val="none"/>
                <w:lang w:val="en-US"/>
              </w:rPr>
            </w:pPr>
            <w:r>
              <w:rPr>
                <w:rFonts w:hint="eastAsia" w:ascii="仿宋" w:hAnsi="仿宋" w:eastAsia="仿宋" w:cs="仿宋"/>
                <w:b/>
                <w:bCs/>
                <w:i w:val="0"/>
                <w:iCs w:val="0"/>
                <w:color w:val="000000"/>
                <w:kern w:val="0"/>
                <w:sz w:val="21"/>
                <w:szCs w:val="21"/>
                <w:u w:val="none"/>
                <w:lang w:val="en-US" w:eastAsia="zh-CN" w:bidi="ar"/>
              </w:rPr>
              <w:t>137836</w:t>
            </w:r>
          </w:p>
        </w:tc>
        <w:tc>
          <w:tcPr>
            <w:tcW w:w="20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bCs/>
                <w:i w:val="0"/>
                <w:iCs w:val="0"/>
                <w:color w:val="000000"/>
                <w:sz w:val="21"/>
                <w:szCs w:val="21"/>
                <w:u w:val="none"/>
                <w:lang w:val="en-US"/>
              </w:rPr>
            </w:pPr>
            <w:r>
              <w:rPr>
                <w:rFonts w:hint="eastAsia" w:ascii="仿宋" w:hAnsi="仿宋" w:eastAsia="仿宋" w:cs="仿宋"/>
                <w:b/>
                <w:bCs/>
                <w:i w:val="0"/>
                <w:iCs w:val="0"/>
                <w:color w:val="000000"/>
                <w:kern w:val="0"/>
                <w:sz w:val="21"/>
                <w:szCs w:val="21"/>
                <w:u w:val="none"/>
                <w:lang w:val="en-US" w:eastAsia="zh-CN" w:bidi="ar"/>
              </w:rPr>
              <w:t>4013936</w:t>
            </w:r>
          </w:p>
        </w:tc>
      </w:tr>
    </w:tbl>
    <w:p>
      <w:pPr>
        <w:pStyle w:val="3"/>
        <w:numPr>
          <w:ilvl w:val="0"/>
          <w:numId w:val="0"/>
        </w:numPr>
        <w:spacing w:after="0"/>
      </w:pPr>
    </w:p>
    <w:p>
      <w:pPr>
        <w:numPr>
          <w:ilvl w:val="0"/>
          <w:numId w:val="0"/>
        </w:numPr>
        <w:spacing w:line="240" w:lineRule="auto"/>
        <w:ind w:leftChars="0" w:firstLine="640" w:firstLineChars="200"/>
        <w:jc w:val="left"/>
        <w:outlineLvl w:val="0"/>
        <w:rPr>
          <w:rFonts w:hint="eastAsia"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lang w:val="en-US" w:eastAsia="zh-CN"/>
        </w:rPr>
        <w:t>2、</w:t>
      </w:r>
      <w:r>
        <w:rPr>
          <w:rFonts w:hint="eastAsia" w:ascii="仿宋_GB2312" w:hAnsi="宋体" w:eastAsia="仿宋_GB2312" w:cs="宋体"/>
          <w:color w:val="auto"/>
          <w:sz w:val="32"/>
          <w:szCs w:val="32"/>
          <w:highlight w:val="none"/>
        </w:rPr>
        <w:t>本年基本支出预算执行情况（单位：元）</w:t>
      </w:r>
    </w:p>
    <w:tbl>
      <w:tblPr>
        <w:tblStyle w:val="10"/>
        <w:tblW w:w="8586" w:type="dxa"/>
        <w:tblInd w:w="0" w:type="dxa"/>
        <w:tblLayout w:type="fixed"/>
        <w:tblCellMar>
          <w:top w:w="0" w:type="dxa"/>
          <w:left w:w="108" w:type="dxa"/>
          <w:bottom w:w="0" w:type="dxa"/>
          <w:right w:w="108" w:type="dxa"/>
        </w:tblCellMar>
      </w:tblPr>
      <w:tblGrid>
        <w:gridCol w:w="2506"/>
        <w:gridCol w:w="1755"/>
        <w:gridCol w:w="1725"/>
        <w:gridCol w:w="1450"/>
        <w:gridCol w:w="1150"/>
      </w:tblGrid>
      <w:tr>
        <w:tblPrEx>
          <w:tblCellMar>
            <w:top w:w="0" w:type="dxa"/>
            <w:left w:w="108" w:type="dxa"/>
            <w:bottom w:w="0" w:type="dxa"/>
            <w:right w:w="108" w:type="dxa"/>
          </w:tblCellMar>
        </w:tblPrEx>
        <w:trPr>
          <w:trHeight w:val="656" w:hRule="atLeast"/>
        </w:trPr>
        <w:tc>
          <w:tcPr>
            <w:tcW w:w="2506"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outlineLvl w:val="0"/>
              <w:rPr>
                <w:rFonts w:hint="eastAsia" w:cs="宋体" w:asciiTheme="majorEastAsia" w:hAnsiTheme="majorEastAsia" w:eastAsiaTheme="majorEastAsia"/>
                <w:b/>
                <w:color w:val="auto"/>
                <w:kern w:val="0"/>
                <w:sz w:val="24"/>
                <w:szCs w:val="28"/>
                <w:highlight w:val="none"/>
              </w:rPr>
            </w:pPr>
            <w:r>
              <w:rPr>
                <w:rFonts w:hint="eastAsia" w:cs="宋体" w:asciiTheme="majorEastAsia" w:hAnsiTheme="majorEastAsia" w:eastAsiaTheme="majorEastAsia"/>
                <w:b/>
                <w:color w:val="auto"/>
                <w:kern w:val="0"/>
                <w:sz w:val="24"/>
                <w:szCs w:val="28"/>
                <w:highlight w:val="none"/>
              </w:rPr>
              <w:t>预算项目</w:t>
            </w:r>
          </w:p>
        </w:tc>
        <w:tc>
          <w:tcPr>
            <w:tcW w:w="1755" w:type="dxa"/>
            <w:tcBorders>
              <w:top w:val="single" w:color="auto" w:sz="8" w:space="0"/>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outlineLvl w:val="0"/>
              <w:rPr>
                <w:rFonts w:hint="eastAsia" w:cs="宋体" w:asciiTheme="majorEastAsia" w:hAnsiTheme="majorEastAsia" w:eastAsiaTheme="majorEastAsia"/>
                <w:b/>
                <w:color w:val="auto"/>
                <w:kern w:val="0"/>
                <w:sz w:val="24"/>
                <w:szCs w:val="28"/>
                <w:highlight w:val="none"/>
              </w:rPr>
            </w:pPr>
            <w:r>
              <w:rPr>
                <w:rFonts w:hint="eastAsia" w:cs="宋体" w:asciiTheme="majorEastAsia" w:hAnsiTheme="majorEastAsia" w:eastAsiaTheme="majorEastAsia"/>
                <w:b/>
                <w:color w:val="auto"/>
                <w:kern w:val="0"/>
                <w:sz w:val="24"/>
                <w:szCs w:val="28"/>
                <w:highlight w:val="none"/>
              </w:rPr>
              <w:t>预算可用指标</w:t>
            </w:r>
          </w:p>
        </w:tc>
        <w:tc>
          <w:tcPr>
            <w:tcW w:w="1725" w:type="dxa"/>
            <w:tcBorders>
              <w:top w:val="single" w:color="auto" w:sz="8" w:space="0"/>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outlineLvl w:val="0"/>
              <w:rPr>
                <w:rFonts w:hint="eastAsia" w:cs="宋体" w:asciiTheme="majorEastAsia" w:hAnsiTheme="majorEastAsia" w:eastAsiaTheme="majorEastAsia"/>
                <w:b/>
                <w:color w:val="auto"/>
                <w:kern w:val="0"/>
                <w:sz w:val="24"/>
                <w:szCs w:val="28"/>
                <w:highlight w:val="none"/>
              </w:rPr>
            </w:pPr>
            <w:r>
              <w:rPr>
                <w:rFonts w:hint="eastAsia" w:cs="宋体" w:asciiTheme="majorEastAsia" w:hAnsiTheme="majorEastAsia" w:eastAsiaTheme="majorEastAsia"/>
                <w:b/>
                <w:color w:val="auto"/>
                <w:kern w:val="0"/>
                <w:sz w:val="24"/>
                <w:szCs w:val="28"/>
                <w:highlight w:val="none"/>
              </w:rPr>
              <w:t>本年决算金额</w:t>
            </w:r>
          </w:p>
        </w:tc>
        <w:tc>
          <w:tcPr>
            <w:tcW w:w="1450" w:type="dxa"/>
            <w:tcBorders>
              <w:top w:val="single" w:color="auto" w:sz="8" w:space="0"/>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outlineLvl w:val="0"/>
              <w:rPr>
                <w:rFonts w:hint="eastAsia" w:cs="宋体" w:asciiTheme="majorEastAsia" w:hAnsiTheme="majorEastAsia" w:eastAsiaTheme="majorEastAsia"/>
                <w:b/>
                <w:color w:val="auto"/>
                <w:kern w:val="0"/>
                <w:sz w:val="24"/>
                <w:szCs w:val="28"/>
                <w:highlight w:val="none"/>
              </w:rPr>
            </w:pPr>
            <w:r>
              <w:rPr>
                <w:rFonts w:hint="eastAsia" w:cs="宋体" w:asciiTheme="majorEastAsia" w:hAnsiTheme="majorEastAsia" w:eastAsiaTheme="majorEastAsia"/>
                <w:b/>
                <w:color w:val="auto"/>
                <w:kern w:val="0"/>
                <w:sz w:val="24"/>
                <w:szCs w:val="28"/>
                <w:highlight w:val="none"/>
              </w:rPr>
              <w:t>差额</w:t>
            </w:r>
          </w:p>
        </w:tc>
        <w:tc>
          <w:tcPr>
            <w:tcW w:w="1150" w:type="dxa"/>
            <w:tcBorders>
              <w:top w:val="single" w:color="auto" w:sz="8" w:space="0"/>
              <w:left w:val="nil"/>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outlineLvl w:val="0"/>
              <w:rPr>
                <w:rFonts w:hint="default" w:cs="宋体" w:asciiTheme="majorEastAsia" w:hAnsiTheme="majorEastAsia" w:eastAsiaTheme="majorEastAsia"/>
                <w:b/>
                <w:color w:val="auto"/>
                <w:kern w:val="0"/>
                <w:sz w:val="24"/>
                <w:szCs w:val="28"/>
                <w:highlight w:val="none"/>
                <w:lang w:val="en-US" w:eastAsia="zh-CN"/>
              </w:rPr>
            </w:pPr>
            <w:r>
              <w:rPr>
                <w:rFonts w:hint="eastAsia" w:cs="宋体" w:asciiTheme="majorEastAsia" w:hAnsiTheme="majorEastAsia" w:eastAsiaTheme="majorEastAsia"/>
                <w:b/>
                <w:color w:val="auto"/>
                <w:kern w:val="0"/>
                <w:sz w:val="24"/>
                <w:szCs w:val="28"/>
                <w:highlight w:val="none"/>
                <w:lang w:eastAsia="zh-CN"/>
              </w:rPr>
              <w:t>预算执行率（</w:t>
            </w:r>
            <w:r>
              <w:rPr>
                <w:rFonts w:hint="eastAsia" w:cs="宋体" w:asciiTheme="majorEastAsia" w:hAnsiTheme="majorEastAsia" w:eastAsiaTheme="majorEastAsia"/>
                <w:b/>
                <w:color w:val="auto"/>
                <w:kern w:val="0"/>
                <w:sz w:val="24"/>
                <w:szCs w:val="28"/>
                <w:highlight w:val="none"/>
                <w:lang w:val="en-US" w:eastAsia="zh-CN"/>
              </w:rPr>
              <w:t>%）</w:t>
            </w:r>
          </w:p>
        </w:tc>
      </w:tr>
      <w:tr>
        <w:tblPrEx>
          <w:tblCellMar>
            <w:top w:w="0" w:type="dxa"/>
            <w:left w:w="108" w:type="dxa"/>
            <w:bottom w:w="0" w:type="dxa"/>
            <w:right w:w="108" w:type="dxa"/>
          </w:tblCellMar>
        </w:tblPrEx>
        <w:trPr>
          <w:trHeight w:val="546" w:hRule="atLeast"/>
        </w:trPr>
        <w:tc>
          <w:tcPr>
            <w:tcW w:w="2506"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outlineLvl w:val="0"/>
              <w:rPr>
                <w:rFonts w:hint="eastAsia" w:ascii="仿宋" w:hAnsi="仿宋" w:eastAsia="仿宋" w:cs="仿宋"/>
                <w:b w:val="0"/>
                <w:bCs/>
                <w:color w:val="auto"/>
                <w:kern w:val="0"/>
                <w:sz w:val="24"/>
                <w:szCs w:val="28"/>
                <w:highlight w:val="none"/>
              </w:rPr>
            </w:pPr>
            <w:r>
              <w:rPr>
                <w:rFonts w:hint="eastAsia" w:ascii="仿宋" w:hAnsi="仿宋" w:eastAsia="仿宋" w:cs="仿宋"/>
                <w:b w:val="0"/>
                <w:bCs/>
                <w:color w:val="auto"/>
                <w:kern w:val="0"/>
                <w:sz w:val="24"/>
                <w:szCs w:val="28"/>
                <w:highlight w:val="none"/>
              </w:rPr>
              <w:t>工资福利支出</w:t>
            </w:r>
          </w:p>
        </w:tc>
        <w:tc>
          <w:tcPr>
            <w:tcW w:w="175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val="0"/>
                <w:bCs/>
                <w:color w:val="auto"/>
                <w:kern w:val="0"/>
                <w:sz w:val="21"/>
                <w:szCs w:val="21"/>
                <w:highlight w:val="none"/>
                <w:lang w:val="en-US" w:eastAsia="zh-CN"/>
              </w:rPr>
            </w:pPr>
            <w:r>
              <w:rPr>
                <w:rFonts w:hint="eastAsia" w:ascii="仿宋" w:hAnsi="仿宋" w:eastAsia="仿宋" w:cs="仿宋"/>
                <w:i w:val="0"/>
                <w:iCs w:val="0"/>
                <w:color w:val="000000"/>
                <w:kern w:val="0"/>
                <w:sz w:val="21"/>
                <w:szCs w:val="21"/>
                <w:u w:val="none"/>
                <w:lang w:val="en-US" w:eastAsia="zh-CN" w:bidi="ar"/>
              </w:rPr>
              <w:t>3446536</w:t>
            </w:r>
          </w:p>
        </w:tc>
        <w:tc>
          <w:tcPr>
            <w:tcW w:w="172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val="0"/>
                <w:bCs/>
                <w:color w:val="auto"/>
                <w:kern w:val="0"/>
                <w:sz w:val="21"/>
                <w:szCs w:val="21"/>
                <w:highlight w:val="none"/>
                <w:lang w:val="en-US" w:eastAsia="zh-CN"/>
              </w:rPr>
            </w:pPr>
            <w:r>
              <w:rPr>
                <w:rFonts w:hint="eastAsia" w:ascii="仿宋" w:hAnsi="仿宋" w:eastAsia="仿宋" w:cs="仿宋"/>
                <w:i w:val="0"/>
                <w:iCs w:val="0"/>
                <w:color w:val="000000"/>
                <w:kern w:val="0"/>
                <w:sz w:val="21"/>
                <w:szCs w:val="21"/>
                <w:u w:val="none"/>
                <w:lang w:val="en-US" w:eastAsia="zh-CN" w:bidi="ar"/>
              </w:rPr>
              <w:t>3804598</w:t>
            </w:r>
          </w:p>
        </w:tc>
        <w:tc>
          <w:tcPr>
            <w:tcW w:w="145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val="0"/>
                <w:bCs/>
                <w:color w:val="auto"/>
                <w:kern w:val="0"/>
                <w:sz w:val="21"/>
                <w:szCs w:val="21"/>
                <w:highlight w:val="none"/>
                <w:lang w:val="en-US"/>
              </w:rPr>
            </w:pPr>
            <w:r>
              <w:rPr>
                <w:rFonts w:hint="eastAsia" w:ascii="仿宋" w:hAnsi="仿宋" w:eastAsia="仿宋" w:cs="仿宋"/>
                <w:i w:val="0"/>
                <w:iCs w:val="0"/>
                <w:color w:val="000000"/>
                <w:kern w:val="0"/>
                <w:sz w:val="21"/>
                <w:szCs w:val="21"/>
                <w:u w:val="none"/>
                <w:lang w:val="en-US" w:eastAsia="zh-CN" w:bidi="ar"/>
              </w:rPr>
              <w:t>-358062</w:t>
            </w:r>
          </w:p>
        </w:tc>
        <w:tc>
          <w:tcPr>
            <w:tcW w:w="115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val="0"/>
                <w:bCs/>
                <w:color w:val="auto"/>
                <w:kern w:val="0"/>
                <w:sz w:val="21"/>
                <w:szCs w:val="21"/>
                <w:highlight w:val="none"/>
                <w:lang w:val="en-US" w:eastAsia="zh-CN"/>
              </w:rPr>
            </w:pPr>
            <w:r>
              <w:rPr>
                <w:rFonts w:hint="eastAsia" w:ascii="仿宋" w:hAnsi="仿宋" w:eastAsia="仿宋" w:cs="仿宋"/>
                <w:i w:val="0"/>
                <w:iCs w:val="0"/>
                <w:color w:val="000000"/>
                <w:kern w:val="0"/>
                <w:sz w:val="21"/>
                <w:szCs w:val="21"/>
                <w:u w:val="none"/>
                <w:lang w:val="en-US" w:eastAsia="zh-CN" w:bidi="ar"/>
              </w:rPr>
              <w:t>110.38%</w:t>
            </w:r>
          </w:p>
        </w:tc>
      </w:tr>
      <w:tr>
        <w:tblPrEx>
          <w:tblCellMar>
            <w:top w:w="0" w:type="dxa"/>
            <w:left w:w="108" w:type="dxa"/>
            <w:bottom w:w="0" w:type="dxa"/>
            <w:right w:w="108" w:type="dxa"/>
          </w:tblCellMar>
        </w:tblPrEx>
        <w:trPr>
          <w:trHeight w:val="490" w:hRule="atLeast"/>
        </w:trPr>
        <w:tc>
          <w:tcPr>
            <w:tcW w:w="2506"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outlineLvl w:val="0"/>
              <w:rPr>
                <w:rFonts w:hint="eastAsia" w:ascii="仿宋" w:hAnsi="仿宋" w:eastAsia="仿宋" w:cs="仿宋"/>
                <w:b w:val="0"/>
                <w:bCs/>
                <w:color w:val="auto"/>
                <w:kern w:val="0"/>
                <w:sz w:val="24"/>
                <w:szCs w:val="28"/>
                <w:highlight w:val="none"/>
              </w:rPr>
            </w:pPr>
            <w:r>
              <w:rPr>
                <w:rFonts w:hint="eastAsia" w:ascii="仿宋" w:hAnsi="仿宋" w:eastAsia="仿宋" w:cs="仿宋"/>
                <w:b w:val="0"/>
                <w:bCs/>
                <w:color w:val="auto"/>
                <w:kern w:val="0"/>
                <w:sz w:val="24"/>
                <w:szCs w:val="28"/>
                <w:highlight w:val="none"/>
              </w:rPr>
              <w:t>商品和服务支出</w:t>
            </w:r>
          </w:p>
        </w:tc>
        <w:tc>
          <w:tcPr>
            <w:tcW w:w="175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val="0"/>
                <w:bCs/>
                <w:color w:val="auto"/>
                <w:kern w:val="0"/>
                <w:sz w:val="21"/>
                <w:szCs w:val="21"/>
                <w:highlight w:val="none"/>
                <w:lang w:val="en-US" w:eastAsia="zh-CN"/>
              </w:rPr>
            </w:pPr>
            <w:r>
              <w:rPr>
                <w:rFonts w:hint="eastAsia" w:ascii="仿宋" w:hAnsi="仿宋" w:eastAsia="仿宋" w:cs="仿宋"/>
                <w:i w:val="0"/>
                <w:iCs w:val="0"/>
                <w:color w:val="000000"/>
                <w:kern w:val="0"/>
                <w:sz w:val="21"/>
                <w:szCs w:val="21"/>
                <w:u w:val="none"/>
                <w:lang w:val="en-US" w:eastAsia="zh-CN" w:bidi="ar"/>
              </w:rPr>
              <w:t>529400</w:t>
            </w:r>
          </w:p>
        </w:tc>
        <w:tc>
          <w:tcPr>
            <w:tcW w:w="172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val="0"/>
                <w:bCs/>
                <w:color w:val="auto"/>
                <w:kern w:val="0"/>
                <w:sz w:val="21"/>
                <w:szCs w:val="21"/>
                <w:highlight w:val="none"/>
                <w:lang w:val="en-US" w:eastAsia="zh-CN"/>
              </w:rPr>
            </w:pPr>
            <w:r>
              <w:rPr>
                <w:rFonts w:hint="eastAsia" w:ascii="仿宋" w:hAnsi="仿宋" w:eastAsia="仿宋" w:cs="仿宋"/>
                <w:i w:val="0"/>
                <w:iCs w:val="0"/>
                <w:color w:val="000000"/>
                <w:kern w:val="0"/>
                <w:sz w:val="21"/>
                <w:szCs w:val="21"/>
                <w:u w:val="none"/>
                <w:lang w:val="en-US" w:eastAsia="zh-CN" w:bidi="ar"/>
              </w:rPr>
              <w:t>774012</w:t>
            </w:r>
          </w:p>
        </w:tc>
        <w:tc>
          <w:tcPr>
            <w:tcW w:w="145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val="0"/>
                <w:bCs/>
                <w:color w:val="auto"/>
                <w:kern w:val="0"/>
                <w:sz w:val="21"/>
                <w:szCs w:val="21"/>
                <w:highlight w:val="none"/>
                <w:lang w:val="en-US"/>
              </w:rPr>
            </w:pPr>
            <w:r>
              <w:rPr>
                <w:rFonts w:hint="eastAsia" w:ascii="仿宋" w:hAnsi="仿宋" w:eastAsia="仿宋" w:cs="仿宋"/>
                <w:i w:val="0"/>
                <w:iCs w:val="0"/>
                <w:color w:val="000000"/>
                <w:kern w:val="0"/>
                <w:sz w:val="21"/>
                <w:szCs w:val="21"/>
                <w:u w:val="none"/>
                <w:lang w:val="en-US" w:eastAsia="zh-CN" w:bidi="ar"/>
              </w:rPr>
              <w:t>-244612</w:t>
            </w:r>
          </w:p>
        </w:tc>
        <w:tc>
          <w:tcPr>
            <w:tcW w:w="115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val="0"/>
                <w:bCs/>
                <w:color w:val="auto"/>
                <w:kern w:val="0"/>
                <w:sz w:val="21"/>
                <w:szCs w:val="21"/>
                <w:highlight w:val="none"/>
                <w:lang w:val="en-US" w:eastAsia="zh-CN"/>
              </w:rPr>
            </w:pPr>
            <w:r>
              <w:rPr>
                <w:rFonts w:hint="eastAsia" w:ascii="仿宋" w:hAnsi="仿宋" w:eastAsia="仿宋" w:cs="仿宋"/>
                <w:i w:val="0"/>
                <w:iCs w:val="0"/>
                <w:color w:val="000000"/>
                <w:kern w:val="0"/>
                <w:sz w:val="21"/>
                <w:szCs w:val="21"/>
                <w:u w:val="none"/>
                <w:lang w:val="en-US" w:eastAsia="zh-CN" w:bidi="ar"/>
              </w:rPr>
              <w:t>146.2%</w:t>
            </w:r>
          </w:p>
        </w:tc>
      </w:tr>
      <w:tr>
        <w:tblPrEx>
          <w:tblCellMar>
            <w:top w:w="0" w:type="dxa"/>
            <w:left w:w="108" w:type="dxa"/>
            <w:bottom w:w="0" w:type="dxa"/>
            <w:right w:w="108" w:type="dxa"/>
          </w:tblCellMar>
        </w:tblPrEx>
        <w:trPr>
          <w:trHeight w:val="506" w:hRule="atLeast"/>
        </w:trPr>
        <w:tc>
          <w:tcPr>
            <w:tcW w:w="2506"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outlineLvl w:val="0"/>
              <w:rPr>
                <w:rFonts w:hint="eastAsia" w:ascii="仿宋" w:hAnsi="仿宋" w:eastAsia="仿宋" w:cs="仿宋"/>
                <w:b w:val="0"/>
                <w:bCs/>
                <w:color w:val="auto"/>
                <w:kern w:val="0"/>
                <w:sz w:val="24"/>
                <w:szCs w:val="28"/>
                <w:highlight w:val="none"/>
              </w:rPr>
            </w:pPr>
            <w:r>
              <w:rPr>
                <w:rFonts w:hint="eastAsia" w:ascii="仿宋" w:hAnsi="仿宋" w:eastAsia="仿宋" w:cs="仿宋"/>
                <w:b w:val="0"/>
                <w:bCs/>
                <w:color w:val="auto"/>
                <w:kern w:val="0"/>
                <w:sz w:val="24"/>
                <w:szCs w:val="28"/>
                <w:highlight w:val="none"/>
              </w:rPr>
              <w:t>对个人和家庭补助</w:t>
            </w:r>
          </w:p>
        </w:tc>
        <w:tc>
          <w:tcPr>
            <w:tcW w:w="175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val="0"/>
                <w:bCs/>
                <w:color w:val="auto"/>
                <w:kern w:val="0"/>
                <w:sz w:val="21"/>
                <w:szCs w:val="21"/>
                <w:highlight w:val="none"/>
                <w:lang w:val="en-US"/>
              </w:rPr>
            </w:pPr>
            <w:r>
              <w:rPr>
                <w:rFonts w:hint="eastAsia" w:ascii="仿宋" w:hAnsi="仿宋" w:eastAsia="仿宋" w:cs="仿宋"/>
                <w:i w:val="0"/>
                <w:iCs w:val="0"/>
                <w:color w:val="000000"/>
                <w:kern w:val="0"/>
                <w:sz w:val="21"/>
                <w:szCs w:val="21"/>
                <w:u w:val="none"/>
                <w:lang w:val="en-US" w:eastAsia="zh-CN" w:bidi="ar"/>
              </w:rPr>
              <w:t>38000</w:t>
            </w:r>
          </w:p>
        </w:tc>
        <w:tc>
          <w:tcPr>
            <w:tcW w:w="172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val="0"/>
                <w:bCs/>
                <w:color w:val="auto"/>
                <w:kern w:val="0"/>
                <w:sz w:val="21"/>
                <w:szCs w:val="21"/>
                <w:highlight w:val="none"/>
                <w:lang w:val="en-US" w:eastAsia="zh-CN"/>
              </w:rPr>
            </w:pPr>
            <w:r>
              <w:rPr>
                <w:rFonts w:hint="eastAsia" w:ascii="仿宋" w:hAnsi="仿宋" w:eastAsia="仿宋" w:cs="仿宋"/>
                <w:i w:val="0"/>
                <w:iCs w:val="0"/>
                <w:color w:val="000000"/>
                <w:kern w:val="0"/>
                <w:sz w:val="21"/>
                <w:szCs w:val="21"/>
                <w:u w:val="none"/>
                <w:lang w:val="en-US" w:eastAsia="zh-CN" w:bidi="ar"/>
              </w:rPr>
              <w:t>43060</w:t>
            </w:r>
          </w:p>
        </w:tc>
        <w:tc>
          <w:tcPr>
            <w:tcW w:w="145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val="0"/>
                <w:bCs/>
                <w:color w:val="auto"/>
                <w:kern w:val="0"/>
                <w:sz w:val="21"/>
                <w:szCs w:val="21"/>
                <w:highlight w:val="none"/>
                <w:lang w:val="en-US"/>
              </w:rPr>
            </w:pPr>
            <w:r>
              <w:rPr>
                <w:rFonts w:hint="eastAsia" w:ascii="仿宋" w:hAnsi="仿宋" w:eastAsia="仿宋" w:cs="仿宋"/>
                <w:i w:val="0"/>
                <w:iCs w:val="0"/>
                <w:color w:val="000000"/>
                <w:kern w:val="0"/>
                <w:sz w:val="21"/>
                <w:szCs w:val="21"/>
                <w:u w:val="none"/>
                <w:lang w:val="en-US" w:eastAsia="zh-CN" w:bidi="ar"/>
              </w:rPr>
              <w:t>-5060</w:t>
            </w:r>
          </w:p>
        </w:tc>
        <w:tc>
          <w:tcPr>
            <w:tcW w:w="115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val="0"/>
                <w:bCs/>
                <w:color w:val="auto"/>
                <w:kern w:val="0"/>
                <w:sz w:val="21"/>
                <w:szCs w:val="21"/>
                <w:highlight w:val="none"/>
                <w:lang w:val="en-US" w:eastAsia="zh-CN"/>
              </w:rPr>
            </w:pPr>
            <w:r>
              <w:rPr>
                <w:rFonts w:hint="eastAsia" w:ascii="仿宋" w:hAnsi="仿宋" w:eastAsia="仿宋" w:cs="仿宋"/>
                <w:i w:val="0"/>
                <w:iCs w:val="0"/>
                <w:color w:val="000000"/>
                <w:kern w:val="0"/>
                <w:sz w:val="21"/>
                <w:szCs w:val="21"/>
                <w:u w:val="none"/>
                <w:lang w:val="en-US" w:eastAsia="zh-CN" w:bidi="ar"/>
              </w:rPr>
              <w:t>113.3%</w:t>
            </w:r>
          </w:p>
        </w:tc>
      </w:tr>
      <w:tr>
        <w:tblPrEx>
          <w:tblCellMar>
            <w:top w:w="0" w:type="dxa"/>
            <w:left w:w="108" w:type="dxa"/>
            <w:bottom w:w="0" w:type="dxa"/>
            <w:right w:w="108" w:type="dxa"/>
          </w:tblCellMar>
        </w:tblPrEx>
        <w:trPr>
          <w:trHeight w:val="527" w:hRule="atLeast"/>
        </w:trPr>
        <w:tc>
          <w:tcPr>
            <w:tcW w:w="2506"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40" w:lineRule="exact"/>
              <w:ind w:firstLine="198"/>
              <w:jc w:val="center"/>
              <w:textAlignment w:val="auto"/>
              <w:outlineLvl w:val="0"/>
              <w:rPr>
                <w:rFonts w:hint="eastAsia" w:cs="宋体" w:asciiTheme="majorEastAsia" w:hAnsiTheme="majorEastAsia" w:eastAsiaTheme="majorEastAsia"/>
                <w:b/>
                <w:color w:val="auto"/>
                <w:kern w:val="0"/>
                <w:sz w:val="24"/>
                <w:szCs w:val="28"/>
                <w:highlight w:val="none"/>
              </w:rPr>
            </w:pPr>
            <w:r>
              <w:rPr>
                <w:rFonts w:hint="eastAsia" w:cs="宋体" w:asciiTheme="majorEastAsia" w:hAnsiTheme="majorEastAsia" w:eastAsiaTheme="majorEastAsia"/>
                <w:b/>
                <w:color w:val="auto"/>
                <w:kern w:val="0"/>
                <w:sz w:val="24"/>
                <w:szCs w:val="28"/>
                <w:highlight w:val="none"/>
              </w:rPr>
              <w:t>合 计</w:t>
            </w:r>
          </w:p>
        </w:tc>
        <w:tc>
          <w:tcPr>
            <w:tcW w:w="175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bCs/>
                <w:color w:val="auto"/>
                <w:kern w:val="0"/>
                <w:sz w:val="21"/>
                <w:szCs w:val="21"/>
                <w:highlight w:val="none"/>
                <w:lang w:val="en-US" w:eastAsia="zh-CN"/>
              </w:rPr>
            </w:pPr>
            <w:r>
              <w:rPr>
                <w:rFonts w:hint="eastAsia" w:ascii="仿宋" w:hAnsi="仿宋" w:eastAsia="仿宋" w:cs="仿宋"/>
                <w:b/>
                <w:bCs/>
                <w:color w:val="auto"/>
                <w:kern w:val="0"/>
                <w:sz w:val="21"/>
                <w:szCs w:val="21"/>
                <w:highlight w:val="none"/>
                <w:lang w:val="en-US" w:eastAsia="zh-CN"/>
              </w:rPr>
              <w:t>4013936</w:t>
            </w:r>
          </w:p>
        </w:tc>
        <w:tc>
          <w:tcPr>
            <w:tcW w:w="172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bCs/>
                <w:color w:val="auto"/>
                <w:kern w:val="0"/>
                <w:sz w:val="21"/>
                <w:szCs w:val="21"/>
                <w:highlight w:val="none"/>
                <w:lang w:val="en-US" w:eastAsia="zh-CN"/>
              </w:rPr>
            </w:pPr>
            <w:r>
              <w:rPr>
                <w:rFonts w:hint="eastAsia" w:ascii="仿宋" w:hAnsi="仿宋" w:eastAsia="仿宋" w:cs="仿宋"/>
                <w:b/>
                <w:bCs/>
                <w:color w:val="auto"/>
                <w:kern w:val="0"/>
                <w:sz w:val="21"/>
                <w:szCs w:val="21"/>
                <w:highlight w:val="none"/>
                <w:lang w:val="en-US" w:eastAsia="zh-CN"/>
              </w:rPr>
              <w:t>4621670</w:t>
            </w:r>
          </w:p>
        </w:tc>
        <w:tc>
          <w:tcPr>
            <w:tcW w:w="145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bCs/>
                <w:i w:val="0"/>
                <w:iCs w:val="0"/>
                <w:color w:val="000000"/>
                <w:kern w:val="0"/>
                <w:sz w:val="21"/>
                <w:szCs w:val="21"/>
                <w:u w:val="none"/>
                <w:lang w:val="en-US" w:eastAsia="zh-CN" w:bidi="ar"/>
              </w:rPr>
            </w:pPr>
            <w:r>
              <w:rPr>
                <w:rFonts w:hint="eastAsia" w:ascii="仿宋" w:hAnsi="仿宋" w:eastAsia="仿宋" w:cs="仿宋"/>
                <w:b/>
                <w:bCs/>
                <w:i w:val="0"/>
                <w:iCs w:val="0"/>
                <w:color w:val="000000"/>
                <w:kern w:val="0"/>
                <w:sz w:val="21"/>
                <w:szCs w:val="21"/>
                <w:u w:val="none"/>
                <w:lang w:val="en-US" w:eastAsia="zh-CN" w:bidi="ar"/>
              </w:rPr>
              <w:t>-607734</w:t>
            </w:r>
          </w:p>
        </w:tc>
        <w:tc>
          <w:tcPr>
            <w:tcW w:w="115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bCs/>
                <w:color w:val="auto"/>
                <w:kern w:val="0"/>
                <w:sz w:val="21"/>
                <w:szCs w:val="21"/>
                <w:highlight w:val="none"/>
                <w:lang w:val="en-US" w:eastAsia="zh-CN"/>
              </w:rPr>
            </w:pPr>
            <w:r>
              <w:rPr>
                <w:rFonts w:hint="eastAsia" w:ascii="仿宋" w:hAnsi="仿宋" w:eastAsia="仿宋" w:cs="仿宋"/>
                <w:b/>
                <w:bCs/>
                <w:color w:val="auto"/>
                <w:kern w:val="0"/>
                <w:sz w:val="21"/>
                <w:szCs w:val="21"/>
                <w:highlight w:val="none"/>
                <w:lang w:val="en-US" w:eastAsia="zh-CN"/>
              </w:rPr>
              <w:t>115.14%</w:t>
            </w:r>
          </w:p>
        </w:tc>
      </w:tr>
    </w:tbl>
    <w:p>
      <w:pPr>
        <w:numPr>
          <w:ilvl w:val="0"/>
          <w:numId w:val="0"/>
        </w:numPr>
        <w:spacing w:line="520" w:lineRule="exact"/>
        <w:ind w:left="630" w:leftChars="0"/>
        <w:jc w:val="left"/>
        <w:outlineLvl w:val="0"/>
        <w:rPr>
          <w:rFonts w:hint="eastAsia"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lang w:val="en-US" w:eastAsia="zh-CN"/>
        </w:rPr>
        <w:t>3、</w:t>
      </w:r>
      <w:r>
        <w:rPr>
          <w:rFonts w:hint="eastAsia" w:ascii="仿宋_GB2312" w:hAnsi="宋体" w:eastAsia="仿宋_GB2312" w:cs="宋体"/>
          <w:color w:val="auto"/>
          <w:sz w:val="32"/>
          <w:szCs w:val="32"/>
          <w:highlight w:val="none"/>
        </w:rPr>
        <w:t>“三公”经费预算</w:t>
      </w:r>
      <w:r>
        <w:rPr>
          <w:rFonts w:hint="eastAsia" w:ascii="仿宋_GB2312" w:hAnsi="宋体" w:eastAsia="仿宋_GB2312" w:cs="宋体"/>
          <w:color w:val="auto"/>
          <w:sz w:val="32"/>
          <w:szCs w:val="32"/>
          <w:highlight w:val="none"/>
          <w:lang w:eastAsia="zh-CN"/>
        </w:rPr>
        <w:t>执行</w:t>
      </w:r>
      <w:r>
        <w:rPr>
          <w:rFonts w:hint="eastAsia" w:ascii="仿宋_GB2312" w:hAnsi="宋体" w:eastAsia="仿宋_GB2312" w:cs="宋体"/>
          <w:color w:val="auto"/>
          <w:sz w:val="32"/>
          <w:szCs w:val="32"/>
          <w:highlight w:val="none"/>
        </w:rPr>
        <w:t>情况（单位：万元）</w:t>
      </w:r>
    </w:p>
    <w:tbl>
      <w:tblPr>
        <w:tblStyle w:val="11"/>
        <w:tblW w:w="87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99"/>
        <w:gridCol w:w="2199"/>
        <w:gridCol w:w="2200"/>
        <w:gridCol w:w="2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2199" w:type="dxa"/>
            <w:vAlign w:val="center"/>
          </w:tcPr>
          <w:p>
            <w:pPr>
              <w:keepNext w:val="0"/>
              <w:keepLines w:val="0"/>
              <w:pageBreakBefore w:val="0"/>
              <w:widowControl w:val="0"/>
              <w:kinsoku/>
              <w:wordWrap/>
              <w:overflowPunct/>
              <w:topLinePunct w:val="0"/>
              <w:autoSpaceDE/>
              <w:autoSpaceDN/>
              <w:bidi w:val="0"/>
              <w:adjustRightInd/>
              <w:snapToGrid/>
              <w:spacing w:line="340" w:lineRule="exact"/>
              <w:ind w:firstLine="198"/>
              <w:jc w:val="center"/>
              <w:textAlignment w:val="auto"/>
              <w:outlineLvl w:val="0"/>
              <w:rPr>
                <w:rFonts w:cs="宋体" w:asciiTheme="majorEastAsia" w:hAnsiTheme="majorEastAsia" w:eastAsiaTheme="majorEastAsia"/>
                <w:b/>
                <w:color w:val="auto"/>
                <w:kern w:val="0"/>
                <w:sz w:val="24"/>
                <w:szCs w:val="28"/>
                <w:highlight w:val="none"/>
              </w:rPr>
            </w:pPr>
            <w:r>
              <w:rPr>
                <w:rFonts w:hint="eastAsia" w:cs="宋体" w:asciiTheme="majorEastAsia" w:hAnsiTheme="majorEastAsia" w:eastAsiaTheme="majorEastAsia"/>
                <w:b/>
                <w:color w:val="auto"/>
                <w:kern w:val="0"/>
                <w:sz w:val="24"/>
                <w:szCs w:val="28"/>
                <w:highlight w:val="none"/>
              </w:rPr>
              <w:t>费用项目</w:t>
            </w:r>
          </w:p>
        </w:tc>
        <w:tc>
          <w:tcPr>
            <w:tcW w:w="2199" w:type="dxa"/>
            <w:vAlign w:val="center"/>
          </w:tcPr>
          <w:p>
            <w:pPr>
              <w:keepNext w:val="0"/>
              <w:keepLines w:val="0"/>
              <w:pageBreakBefore w:val="0"/>
              <w:widowControl w:val="0"/>
              <w:kinsoku/>
              <w:wordWrap/>
              <w:overflowPunct/>
              <w:topLinePunct w:val="0"/>
              <w:autoSpaceDE/>
              <w:autoSpaceDN/>
              <w:bidi w:val="0"/>
              <w:adjustRightInd/>
              <w:snapToGrid/>
              <w:spacing w:line="340" w:lineRule="exact"/>
              <w:ind w:firstLine="198"/>
              <w:jc w:val="center"/>
              <w:textAlignment w:val="auto"/>
              <w:outlineLvl w:val="0"/>
              <w:rPr>
                <w:rFonts w:cs="宋体" w:asciiTheme="majorEastAsia" w:hAnsiTheme="majorEastAsia" w:eastAsiaTheme="majorEastAsia"/>
                <w:b/>
                <w:color w:val="auto"/>
                <w:kern w:val="0"/>
                <w:sz w:val="24"/>
                <w:szCs w:val="28"/>
                <w:highlight w:val="none"/>
              </w:rPr>
            </w:pPr>
            <w:r>
              <w:rPr>
                <w:rFonts w:hint="eastAsia" w:cs="宋体" w:asciiTheme="majorEastAsia" w:hAnsiTheme="majorEastAsia" w:eastAsiaTheme="majorEastAsia"/>
                <w:b/>
                <w:color w:val="auto"/>
                <w:kern w:val="0"/>
                <w:sz w:val="24"/>
                <w:szCs w:val="28"/>
                <w:highlight w:val="none"/>
              </w:rPr>
              <w:t>预算金额</w:t>
            </w:r>
          </w:p>
        </w:tc>
        <w:tc>
          <w:tcPr>
            <w:tcW w:w="2200" w:type="dxa"/>
            <w:vAlign w:val="center"/>
          </w:tcPr>
          <w:p>
            <w:pPr>
              <w:keepNext w:val="0"/>
              <w:keepLines w:val="0"/>
              <w:pageBreakBefore w:val="0"/>
              <w:widowControl w:val="0"/>
              <w:kinsoku/>
              <w:wordWrap/>
              <w:overflowPunct/>
              <w:topLinePunct w:val="0"/>
              <w:autoSpaceDE/>
              <w:autoSpaceDN/>
              <w:bidi w:val="0"/>
              <w:adjustRightInd/>
              <w:snapToGrid/>
              <w:spacing w:line="340" w:lineRule="exact"/>
              <w:ind w:firstLine="198"/>
              <w:jc w:val="center"/>
              <w:textAlignment w:val="auto"/>
              <w:outlineLvl w:val="0"/>
              <w:rPr>
                <w:rFonts w:cs="宋体" w:asciiTheme="majorEastAsia" w:hAnsiTheme="majorEastAsia" w:eastAsiaTheme="majorEastAsia"/>
                <w:b/>
                <w:color w:val="auto"/>
                <w:kern w:val="0"/>
                <w:sz w:val="24"/>
                <w:szCs w:val="28"/>
                <w:highlight w:val="none"/>
              </w:rPr>
            </w:pPr>
            <w:r>
              <w:rPr>
                <w:rFonts w:hint="eastAsia" w:cs="宋体" w:asciiTheme="majorEastAsia" w:hAnsiTheme="majorEastAsia" w:eastAsiaTheme="majorEastAsia"/>
                <w:b/>
                <w:color w:val="auto"/>
                <w:kern w:val="0"/>
                <w:sz w:val="24"/>
                <w:szCs w:val="28"/>
                <w:highlight w:val="none"/>
              </w:rPr>
              <w:t>决算金额</w:t>
            </w:r>
          </w:p>
        </w:tc>
        <w:tc>
          <w:tcPr>
            <w:tcW w:w="2200" w:type="dxa"/>
            <w:vAlign w:val="center"/>
          </w:tcPr>
          <w:p>
            <w:pPr>
              <w:keepNext w:val="0"/>
              <w:keepLines w:val="0"/>
              <w:pageBreakBefore w:val="0"/>
              <w:widowControl w:val="0"/>
              <w:kinsoku/>
              <w:wordWrap/>
              <w:overflowPunct/>
              <w:topLinePunct w:val="0"/>
              <w:autoSpaceDE/>
              <w:autoSpaceDN/>
              <w:bidi w:val="0"/>
              <w:adjustRightInd/>
              <w:snapToGrid/>
              <w:spacing w:line="340" w:lineRule="exact"/>
              <w:ind w:firstLine="198"/>
              <w:jc w:val="center"/>
              <w:textAlignment w:val="auto"/>
              <w:outlineLvl w:val="0"/>
              <w:rPr>
                <w:rFonts w:cs="宋体" w:asciiTheme="majorEastAsia" w:hAnsiTheme="majorEastAsia" w:eastAsiaTheme="majorEastAsia"/>
                <w:b/>
                <w:color w:val="auto"/>
                <w:kern w:val="0"/>
                <w:sz w:val="24"/>
                <w:szCs w:val="28"/>
                <w:highlight w:val="none"/>
              </w:rPr>
            </w:pPr>
            <w:r>
              <w:rPr>
                <w:rFonts w:hint="eastAsia" w:cs="宋体" w:asciiTheme="majorEastAsia" w:hAnsiTheme="majorEastAsia" w:eastAsiaTheme="majorEastAsia"/>
                <w:b/>
                <w:color w:val="auto"/>
                <w:kern w:val="0"/>
                <w:sz w:val="24"/>
                <w:szCs w:val="28"/>
                <w:highlight w:val="none"/>
              </w:rPr>
              <w:t>增加额（决</w:t>
            </w:r>
            <w:r>
              <w:rPr>
                <w:rFonts w:hint="eastAsia" w:cs="宋体" w:asciiTheme="majorEastAsia" w:hAnsiTheme="majorEastAsia" w:eastAsiaTheme="majorEastAsia"/>
                <w:b/>
                <w:color w:val="auto"/>
                <w:kern w:val="0"/>
                <w:sz w:val="24"/>
                <w:szCs w:val="28"/>
                <w:highlight w:val="none"/>
                <w:lang w:eastAsia="zh-CN"/>
              </w:rPr>
              <w:t>－</w:t>
            </w:r>
            <w:r>
              <w:rPr>
                <w:rFonts w:hint="eastAsia" w:cs="宋体" w:asciiTheme="majorEastAsia" w:hAnsiTheme="majorEastAsia" w:eastAsiaTheme="majorEastAsia"/>
                <w:b/>
                <w:color w:val="auto"/>
                <w:kern w:val="0"/>
                <w:sz w:val="24"/>
                <w:szCs w:val="28"/>
                <w:highlight w:val="none"/>
              </w:rPr>
              <w:t>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2199" w:type="dxa"/>
            <w:vAlign w:val="center"/>
          </w:tcPr>
          <w:p>
            <w:pPr>
              <w:keepNext w:val="0"/>
              <w:keepLines w:val="0"/>
              <w:pageBreakBefore w:val="0"/>
              <w:widowControl w:val="0"/>
              <w:kinsoku/>
              <w:wordWrap/>
              <w:overflowPunct/>
              <w:topLinePunct w:val="0"/>
              <w:autoSpaceDE/>
              <w:autoSpaceDN/>
              <w:bidi w:val="0"/>
              <w:adjustRightInd/>
              <w:snapToGrid/>
              <w:spacing w:line="340" w:lineRule="exact"/>
              <w:ind w:firstLine="198"/>
              <w:jc w:val="center"/>
              <w:textAlignment w:val="auto"/>
              <w:outlineLvl w:val="0"/>
              <w:rPr>
                <w:rFonts w:hint="eastAsia" w:ascii="仿宋" w:hAnsi="仿宋" w:eastAsia="仿宋" w:cs="仿宋"/>
                <w:color w:val="auto"/>
                <w:kern w:val="0"/>
                <w:sz w:val="24"/>
                <w:szCs w:val="28"/>
                <w:highlight w:val="none"/>
              </w:rPr>
            </w:pPr>
            <w:r>
              <w:rPr>
                <w:rFonts w:hint="eastAsia" w:ascii="仿宋" w:hAnsi="仿宋" w:eastAsia="仿宋" w:cs="仿宋"/>
                <w:color w:val="auto"/>
                <w:kern w:val="0"/>
                <w:sz w:val="24"/>
                <w:szCs w:val="28"/>
                <w:highlight w:val="none"/>
              </w:rPr>
              <w:t>公务接待费</w:t>
            </w:r>
          </w:p>
        </w:tc>
        <w:tc>
          <w:tcPr>
            <w:tcW w:w="2199" w:type="dxa"/>
            <w:vAlign w:val="center"/>
          </w:tcPr>
          <w:p>
            <w:pPr>
              <w:keepNext w:val="0"/>
              <w:keepLines w:val="0"/>
              <w:pageBreakBefore w:val="0"/>
              <w:widowControl w:val="0"/>
              <w:kinsoku/>
              <w:wordWrap/>
              <w:overflowPunct/>
              <w:topLinePunct w:val="0"/>
              <w:autoSpaceDE/>
              <w:autoSpaceDN/>
              <w:bidi w:val="0"/>
              <w:adjustRightInd/>
              <w:snapToGrid/>
              <w:spacing w:line="340" w:lineRule="exact"/>
              <w:ind w:firstLine="198"/>
              <w:jc w:val="center"/>
              <w:textAlignment w:val="auto"/>
              <w:outlineLvl w:val="0"/>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2.8</w:t>
            </w:r>
          </w:p>
        </w:tc>
        <w:tc>
          <w:tcPr>
            <w:tcW w:w="2200" w:type="dxa"/>
            <w:vAlign w:val="center"/>
          </w:tcPr>
          <w:p>
            <w:pPr>
              <w:keepNext w:val="0"/>
              <w:keepLines w:val="0"/>
              <w:pageBreakBefore w:val="0"/>
              <w:widowControl w:val="0"/>
              <w:kinsoku/>
              <w:wordWrap/>
              <w:overflowPunct/>
              <w:topLinePunct w:val="0"/>
              <w:autoSpaceDE/>
              <w:autoSpaceDN/>
              <w:bidi w:val="0"/>
              <w:adjustRightInd/>
              <w:snapToGrid/>
              <w:spacing w:line="340" w:lineRule="exact"/>
              <w:ind w:firstLine="198"/>
              <w:jc w:val="center"/>
              <w:textAlignment w:val="auto"/>
              <w:outlineLvl w:val="0"/>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0</w:t>
            </w:r>
          </w:p>
        </w:tc>
        <w:tc>
          <w:tcPr>
            <w:tcW w:w="2200" w:type="dxa"/>
            <w:vAlign w:val="center"/>
          </w:tcPr>
          <w:p>
            <w:pPr>
              <w:keepNext w:val="0"/>
              <w:keepLines w:val="0"/>
              <w:pageBreakBefore w:val="0"/>
              <w:widowControl w:val="0"/>
              <w:kinsoku/>
              <w:wordWrap/>
              <w:overflowPunct/>
              <w:topLinePunct w:val="0"/>
              <w:autoSpaceDE/>
              <w:autoSpaceDN/>
              <w:bidi w:val="0"/>
              <w:adjustRightInd/>
              <w:snapToGrid/>
              <w:spacing w:line="340" w:lineRule="exact"/>
              <w:ind w:firstLine="198"/>
              <w:jc w:val="center"/>
              <w:textAlignment w:val="auto"/>
              <w:outlineLvl w:val="0"/>
              <w:rPr>
                <w:rFonts w:hint="default" w:ascii="仿宋" w:hAnsi="仿宋" w:eastAsia="仿宋" w:cs="仿宋"/>
                <w:color w:val="auto"/>
                <w:kern w:val="0"/>
                <w:sz w:val="24"/>
                <w:szCs w:val="28"/>
                <w:highlight w:val="none"/>
                <w:lang w:val="en-US" w:eastAsia="zh-CN"/>
              </w:rPr>
            </w:pPr>
            <w:r>
              <w:rPr>
                <w:rFonts w:hint="eastAsia" w:ascii="仿宋" w:hAnsi="仿宋" w:eastAsia="仿宋" w:cs="仿宋"/>
                <w:color w:val="auto"/>
                <w:kern w:val="0"/>
                <w:sz w:val="24"/>
                <w:szCs w:val="28"/>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2199" w:type="dxa"/>
            <w:vAlign w:val="center"/>
          </w:tcPr>
          <w:p>
            <w:pPr>
              <w:keepNext w:val="0"/>
              <w:keepLines w:val="0"/>
              <w:pageBreakBefore w:val="0"/>
              <w:widowControl w:val="0"/>
              <w:kinsoku/>
              <w:wordWrap/>
              <w:overflowPunct/>
              <w:topLinePunct w:val="0"/>
              <w:autoSpaceDE/>
              <w:autoSpaceDN/>
              <w:bidi w:val="0"/>
              <w:adjustRightInd/>
              <w:snapToGrid/>
              <w:spacing w:line="340" w:lineRule="exact"/>
              <w:ind w:firstLine="198"/>
              <w:jc w:val="center"/>
              <w:textAlignment w:val="auto"/>
              <w:outlineLvl w:val="0"/>
              <w:rPr>
                <w:rFonts w:hint="eastAsia" w:ascii="仿宋" w:hAnsi="仿宋" w:eastAsia="仿宋" w:cs="仿宋"/>
                <w:color w:val="auto"/>
                <w:kern w:val="0"/>
                <w:sz w:val="24"/>
                <w:szCs w:val="28"/>
                <w:highlight w:val="none"/>
              </w:rPr>
            </w:pPr>
            <w:r>
              <w:rPr>
                <w:rFonts w:hint="eastAsia" w:ascii="仿宋" w:hAnsi="仿宋" w:eastAsia="仿宋" w:cs="仿宋"/>
                <w:color w:val="auto"/>
                <w:kern w:val="0"/>
                <w:sz w:val="24"/>
                <w:szCs w:val="28"/>
                <w:highlight w:val="none"/>
              </w:rPr>
              <w:t>公车运行维护费</w:t>
            </w:r>
          </w:p>
        </w:tc>
        <w:tc>
          <w:tcPr>
            <w:tcW w:w="2199" w:type="dxa"/>
            <w:vAlign w:val="center"/>
          </w:tcPr>
          <w:p>
            <w:pPr>
              <w:keepNext w:val="0"/>
              <w:keepLines w:val="0"/>
              <w:pageBreakBefore w:val="0"/>
              <w:widowControl w:val="0"/>
              <w:kinsoku/>
              <w:wordWrap/>
              <w:overflowPunct/>
              <w:topLinePunct w:val="0"/>
              <w:autoSpaceDE/>
              <w:autoSpaceDN/>
              <w:bidi w:val="0"/>
              <w:adjustRightInd/>
              <w:snapToGrid/>
              <w:spacing w:line="340" w:lineRule="exact"/>
              <w:ind w:firstLine="198"/>
              <w:jc w:val="center"/>
              <w:textAlignment w:val="auto"/>
              <w:outlineLvl w:val="0"/>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0</w:t>
            </w:r>
          </w:p>
        </w:tc>
        <w:tc>
          <w:tcPr>
            <w:tcW w:w="2200" w:type="dxa"/>
            <w:vAlign w:val="center"/>
          </w:tcPr>
          <w:p>
            <w:pPr>
              <w:keepNext w:val="0"/>
              <w:keepLines w:val="0"/>
              <w:pageBreakBefore w:val="0"/>
              <w:widowControl w:val="0"/>
              <w:kinsoku/>
              <w:wordWrap/>
              <w:overflowPunct/>
              <w:topLinePunct w:val="0"/>
              <w:autoSpaceDE/>
              <w:autoSpaceDN/>
              <w:bidi w:val="0"/>
              <w:adjustRightInd/>
              <w:snapToGrid/>
              <w:spacing w:line="340" w:lineRule="exact"/>
              <w:ind w:firstLine="198"/>
              <w:jc w:val="center"/>
              <w:textAlignment w:val="auto"/>
              <w:outlineLvl w:val="0"/>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0</w:t>
            </w:r>
          </w:p>
        </w:tc>
        <w:tc>
          <w:tcPr>
            <w:tcW w:w="2200" w:type="dxa"/>
            <w:vAlign w:val="center"/>
          </w:tcPr>
          <w:p>
            <w:pPr>
              <w:keepNext w:val="0"/>
              <w:keepLines w:val="0"/>
              <w:pageBreakBefore w:val="0"/>
              <w:widowControl w:val="0"/>
              <w:kinsoku/>
              <w:wordWrap/>
              <w:overflowPunct/>
              <w:topLinePunct w:val="0"/>
              <w:autoSpaceDE/>
              <w:autoSpaceDN/>
              <w:bidi w:val="0"/>
              <w:adjustRightInd/>
              <w:snapToGrid/>
              <w:spacing w:line="340" w:lineRule="exact"/>
              <w:ind w:firstLine="198"/>
              <w:jc w:val="center"/>
              <w:textAlignment w:val="auto"/>
              <w:outlineLvl w:val="0"/>
              <w:rPr>
                <w:rFonts w:hint="default" w:ascii="仿宋" w:hAnsi="仿宋" w:eastAsia="仿宋" w:cs="仿宋"/>
                <w:color w:val="auto"/>
                <w:kern w:val="0"/>
                <w:sz w:val="24"/>
                <w:szCs w:val="28"/>
                <w:highlight w:val="none"/>
                <w:lang w:val="en-US" w:eastAsia="zh-CN"/>
              </w:rPr>
            </w:pPr>
            <w:r>
              <w:rPr>
                <w:rFonts w:hint="eastAsia" w:ascii="仿宋" w:hAnsi="仿宋" w:eastAsia="仿宋" w:cs="仿宋"/>
                <w:color w:val="auto"/>
                <w:kern w:val="0"/>
                <w:sz w:val="24"/>
                <w:szCs w:val="28"/>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2199" w:type="dxa"/>
            <w:vAlign w:val="center"/>
          </w:tcPr>
          <w:p>
            <w:pPr>
              <w:keepNext w:val="0"/>
              <w:keepLines w:val="0"/>
              <w:pageBreakBefore w:val="0"/>
              <w:widowControl w:val="0"/>
              <w:kinsoku/>
              <w:wordWrap/>
              <w:overflowPunct/>
              <w:topLinePunct w:val="0"/>
              <w:autoSpaceDE/>
              <w:autoSpaceDN/>
              <w:bidi w:val="0"/>
              <w:adjustRightInd/>
              <w:snapToGrid/>
              <w:spacing w:line="340" w:lineRule="exact"/>
              <w:ind w:firstLine="198"/>
              <w:jc w:val="center"/>
              <w:textAlignment w:val="auto"/>
              <w:outlineLvl w:val="0"/>
              <w:rPr>
                <w:rFonts w:cs="宋体" w:asciiTheme="majorEastAsia" w:hAnsiTheme="majorEastAsia" w:eastAsiaTheme="majorEastAsia"/>
                <w:b/>
                <w:bCs/>
                <w:color w:val="auto"/>
                <w:kern w:val="0"/>
                <w:sz w:val="24"/>
                <w:szCs w:val="28"/>
                <w:highlight w:val="none"/>
              </w:rPr>
            </w:pPr>
            <w:r>
              <w:rPr>
                <w:rFonts w:hint="eastAsia" w:cs="宋体" w:asciiTheme="majorEastAsia" w:hAnsiTheme="majorEastAsia" w:eastAsiaTheme="majorEastAsia"/>
                <w:b/>
                <w:bCs/>
                <w:color w:val="auto"/>
                <w:kern w:val="0"/>
                <w:sz w:val="24"/>
                <w:szCs w:val="28"/>
                <w:highlight w:val="none"/>
              </w:rPr>
              <w:t>合 计</w:t>
            </w:r>
          </w:p>
        </w:tc>
        <w:tc>
          <w:tcPr>
            <w:tcW w:w="2199" w:type="dxa"/>
            <w:vAlign w:val="center"/>
          </w:tcPr>
          <w:p>
            <w:pPr>
              <w:keepNext w:val="0"/>
              <w:keepLines w:val="0"/>
              <w:pageBreakBefore w:val="0"/>
              <w:widowControl w:val="0"/>
              <w:kinsoku/>
              <w:wordWrap/>
              <w:overflowPunct/>
              <w:topLinePunct w:val="0"/>
              <w:autoSpaceDE/>
              <w:autoSpaceDN/>
              <w:bidi w:val="0"/>
              <w:adjustRightInd/>
              <w:snapToGrid/>
              <w:spacing w:line="340" w:lineRule="exact"/>
              <w:ind w:firstLine="198"/>
              <w:jc w:val="center"/>
              <w:textAlignment w:val="auto"/>
              <w:outlineLvl w:val="0"/>
              <w:rPr>
                <w:rFonts w:hint="default" w:cs="宋体" w:asciiTheme="majorEastAsia" w:hAnsiTheme="majorEastAsia" w:eastAsiaTheme="majorEastAsia"/>
                <w:b/>
                <w:bCs/>
                <w:color w:val="auto"/>
                <w:kern w:val="0"/>
                <w:sz w:val="24"/>
                <w:szCs w:val="24"/>
                <w:highlight w:val="none"/>
                <w:lang w:val="en-US" w:eastAsia="zh-CN"/>
              </w:rPr>
            </w:pPr>
            <w:r>
              <w:rPr>
                <w:rFonts w:hint="eastAsia" w:cs="宋体" w:asciiTheme="majorEastAsia" w:hAnsiTheme="majorEastAsia" w:eastAsiaTheme="majorEastAsia"/>
                <w:b/>
                <w:bCs/>
                <w:color w:val="auto"/>
                <w:kern w:val="0"/>
                <w:sz w:val="24"/>
                <w:szCs w:val="24"/>
                <w:highlight w:val="none"/>
                <w:lang w:val="en-US" w:eastAsia="zh-CN"/>
              </w:rPr>
              <w:t>2.8</w:t>
            </w:r>
          </w:p>
        </w:tc>
        <w:tc>
          <w:tcPr>
            <w:tcW w:w="2200" w:type="dxa"/>
            <w:vAlign w:val="center"/>
          </w:tcPr>
          <w:p>
            <w:pPr>
              <w:keepNext w:val="0"/>
              <w:keepLines w:val="0"/>
              <w:pageBreakBefore w:val="0"/>
              <w:widowControl w:val="0"/>
              <w:kinsoku/>
              <w:wordWrap/>
              <w:overflowPunct/>
              <w:topLinePunct w:val="0"/>
              <w:autoSpaceDE/>
              <w:autoSpaceDN/>
              <w:bidi w:val="0"/>
              <w:adjustRightInd/>
              <w:snapToGrid/>
              <w:spacing w:line="340" w:lineRule="exact"/>
              <w:ind w:firstLine="198"/>
              <w:jc w:val="center"/>
              <w:textAlignment w:val="auto"/>
              <w:outlineLvl w:val="0"/>
              <w:rPr>
                <w:rFonts w:hint="default" w:cs="宋体" w:asciiTheme="majorEastAsia" w:hAnsiTheme="majorEastAsia" w:eastAsiaTheme="majorEastAsia"/>
                <w:b/>
                <w:bCs/>
                <w:color w:val="auto"/>
                <w:kern w:val="0"/>
                <w:sz w:val="24"/>
                <w:szCs w:val="24"/>
                <w:highlight w:val="none"/>
                <w:lang w:val="en-US" w:eastAsia="zh-CN"/>
              </w:rPr>
            </w:pPr>
            <w:r>
              <w:rPr>
                <w:rFonts w:hint="eastAsia" w:cs="宋体" w:asciiTheme="majorEastAsia" w:hAnsiTheme="majorEastAsia" w:eastAsiaTheme="majorEastAsia"/>
                <w:b/>
                <w:bCs/>
                <w:color w:val="auto"/>
                <w:kern w:val="0"/>
                <w:sz w:val="24"/>
                <w:szCs w:val="24"/>
                <w:highlight w:val="none"/>
                <w:lang w:val="en-US" w:eastAsia="zh-CN"/>
              </w:rPr>
              <w:t>0</w:t>
            </w:r>
          </w:p>
        </w:tc>
        <w:tc>
          <w:tcPr>
            <w:tcW w:w="2200" w:type="dxa"/>
            <w:vAlign w:val="center"/>
          </w:tcPr>
          <w:p>
            <w:pPr>
              <w:keepNext w:val="0"/>
              <w:keepLines w:val="0"/>
              <w:pageBreakBefore w:val="0"/>
              <w:widowControl w:val="0"/>
              <w:kinsoku/>
              <w:wordWrap/>
              <w:overflowPunct/>
              <w:topLinePunct w:val="0"/>
              <w:autoSpaceDE/>
              <w:autoSpaceDN/>
              <w:bidi w:val="0"/>
              <w:adjustRightInd/>
              <w:snapToGrid/>
              <w:spacing w:line="340" w:lineRule="exact"/>
              <w:ind w:firstLine="198"/>
              <w:jc w:val="center"/>
              <w:textAlignment w:val="auto"/>
              <w:outlineLvl w:val="0"/>
              <w:rPr>
                <w:rFonts w:hint="default" w:cs="宋体" w:asciiTheme="majorEastAsia" w:hAnsiTheme="majorEastAsia" w:eastAsiaTheme="majorEastAsia"/>
                <w:b/>
                <w:bCs/>
                <w:color w:val="auto"/>
                <w:kern w:val="0"/>
                <w:sz w:val="24"/>
                <w:szCs w:val="28"/>
                <w:highlight w:val="none"/>
                <w:lang w:val="en-US" w:eastAsia="zh-CN"/>
              </w:rPr>
            </w:pPr>
            <w:r>
              <w:rPr>
                <w:rFonts w:hint="eastAsia" w:cs="宋体" w:asciiTheme="majorEastAsia" w:hAnsiTheme="majorEastAsia" w:eastAsiaTheme="majorEastAsia"/>
                <w:b/>
                <w:bCs/>
                <w:color w:val="auto"/>
                <w:kern w:val="0"/>
                <w:sz w:val="24"/>
                <w:szCs w:val="28"/>
                <w:highlight w:val="none"/>
                <w:lang w:val="en-US" w:eastAsia="zh-CN"/>
              </w:rPr>
              <w:t>0</w:t>
            </w:r>
          </w:p>
        </w:tc>
      </w:tr>
    </w:tbl>
    <w:p>
      <w:pPr>
        <w:numPr>
          <w:ilvl w:val="0"/>
          <w:numId w:val="0"/>
        </w:numPr>
        <w:spacing w:line="520" w:lineRule="exact"/>
        <w:jc w:val="left"/>
        <w:outlineLvl w:val="0"/>
        <w:rPr>
          <w:rFonts w:hint="eastAsia" w:ascii="仿宋_GB2312" w:hAnsi="宋体" w:eastAsia="仿宋_GB2312" w:cs="宋体"/>
          <w:b/>
          <w:color w:val="auto"/>
          <w:sz w:val="32"/>
          <w:szCs w:val="32"/>
          <w:highlight w:val="none"/>
          <w:lang w:eastAsia="zh-CN"/>
        </w:rPr>
      </w:pPr>
      <w:r>
        <w:rPr>
          <w:rFonts w:hint="eastAsia" w:ascii="仿宋_GB2312" w:hAnsi="宋体" w:eastAsia="仿宋_GB2312" w:cs="宋体"/>
          <w:b/>
          <w:color w:val="auto"/>
          <w:sz w:val="32"/>
          <w:szCs w:val="32"/>
          <w:highlight w:val="none"/>
          <w:lang w:eastAsia="zh-CN"/>
        </w:rPr>
        <w:t>（</w:t>
      </w:r>
      <w:r>
        <w:rPr>
          <w:rFonts w:hint="eastAsia" w:ascii="仿宋_GB2312" w:hAnsi="宋体" w:eastAsia="仿宋_GB2312" w:cs="宋体"/>
          <w:b/>
          <w:color w:val="auto"/>
          <w:sz w:val="32"/>
          <w:szCs w:val="32"/>
          <w:highlight w:val="none"/>
          <w:lang w:val="en-US" w:eastAsia="zh-CN"/>
        </w:rPr>
        <w:t>二</w:t>
      </w:r>
      <w:r>
        <w:rPr>
          <w:rFonts w:hint="eastAsia" w:ascii="仿宋_GB2312" w:hAnsi="宋体" w:eastAsia="仿宋_GB2312" w:cs="宋体"/>
          <w:b/>
          <w:color w:val="auto"/>
          <w:sz w:val="32"/>
          <w:szCs w:val="32"/>
          <w:highlight w:val="none"/>
          <w:lang w:eastAsia="zh-CN"/>
        </w:rPr>
        <w:t>）</w:t>
      </w:r>
      <w:r>
        <w:rPr>
          <w:rFonts w:hint="eastAsia" w:ascii="仿宋_GB2312" w:hAnsi="宋体" w:eastAsia="仿宋_GB2312" w:cs="宋体"/>
          <w:b/>
          <w:color w:val="auto"/>
          <w:sz w:val="32"/>
          <w:szCs w:val="32"/>
          <w:highlight w:val="none"/>
        </w:rPr>
        <w:t>项目支出预算执行情况</w:t>
      </w:r>
      <w:r>
        <w:rPr>
          <w:rFonts w:hint="eastAsia" w:ascii="仿宋_GB2312" w:hAnsi="宋体" w:eastAsia="仿宋_GB2312" w:cs="宋体"/>
          <w:b/>
          <w:color w:val="auto"/>
          <w:sz w:val="32"/>
          <w:szCs w:val="32"/>
          <w:highlight w:val="none"/>
          <w:lang w:eastAsia="zh-CN"/>
        </w:rPr>
        <w:t>（明细见附表）</w:t>
      </w:r>
    </w:p>
    <w:p>
      <w:pPr>
        <w:numPr>
          <w:ilvl w:val="0"/>
          <w:numId w:val="0"/>
        </w:numPr>
        <w:spacing w:line="520" w:lineRule="exact"/>
        <w:ind w:firstLine="640" w:firstLineChars="200"/>
        <w:jc w:val="left"/>
        <w:outlineLvl w:val="0"/>
        <w:rPr>
          <w:rFonts w:hint="eastAsia" w:ascii="仿宋_GB2312" w:hAnsi="宋体" w:eastAsia="仿宋_GB2312" w:cs="宋体"/>
          <w:color w:val="auto"/>
          <w:sz w:val="32"/>
          <w:szCs w:val="32"/>
          <w:highlight w:val="none"/>
          <w:lang w:val="en-US" w:eastAsia="zh-CN"/>
        </w:rPr>
      </w:pPr>
      <w:r>
        <w:rPr>
          <w:rFonts w:hint="eastAsia" w:ascii="仿宋_GB2312" w:hAnsi="宋体" w:eastAsia="仿宋_GB2312" w:cs="宋体"/>
          <w:color w:val="auto"/>
          <w:sz w:val="32"/>
          <w:szCs w:val="32"/>
          <w:highlight w:val="none"/>
          <w:lang w:val="en-US" w:eastAsia="zh-CN"/>
        </w:rPr>
        <w:t>年初部门预算30万元以上项目无</w:t>
      </w:r>
    </w:p>
    <w:p>
      <w:pPr>
        <w:numPr>
          <w:ilvl w:val="0"/>
          <w:numId w:val="0"/>
        </w:numPr>
        <w:spacing w:line="520" w:lineRule="exact"/>
        <w:ind w:firstLine="643" w:firstLineChars="200"/>
        <w:jc w:val="left"/>
        <w:outlineLvl w:val="0"/>
        <w:rPr>
          <w:rFonts w:hint="eastAsia" w:asciiTheme="majorEastAsia" w:hAnsiTheme="majorEastAsia" w:eastAsiaTheme="majorEastAsia"/>
          <w:b/>
          <w:bCs/>
          <w:sz w:val="32"/>
          <w:szCs w:val="32"/>
        </w:rPr>
      </w:pPr>
      <w:r>
        <w:rPr>
          <w:rFonts w:hint="eastAsia" w:asciiTheme="majorEastAsia" w:hAnsiTheme="majorEastAsia" w:eastAsiaTheme="majorEastAsia"/>
          <w:b/>
          <w:bCs/>
          <w:sz w:val="32"/>
          <w:szCs w:val="32"/>
          <w:lang w:val="en-US" w:eastAsia="zh-CN"/>
        </w:rPr>
        <w:t>四、</w:t>
      </w:r>
      <w:r>
        <w:rPr>
          <w:rFonts w:hint="eastAsia" w:asciiTheme="majorEastAsia" w:hAnsiTheme="majorEastAsia" w:eastAsiaTheme="majorEastAsia"/>
          <w:b/>
          <w:bCs/>
          <w:sz w:val="32"/>
          <w:szCs w:val="32"/>
        </w:rPr>
        <w:t>部门整体支出绩效</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13" w:leftChars="0" w:firstLine="643" w:firstLineChars="0"/>
        <w:textAlignment w:val="auto"/>
        <w:rPr>
          <w:rFonts w:hint="default" w:ascii="Times New Roman" w:hAnsi="Times New Roman" w:eastAsia="楷体" w:cs="Times New Roman"/>
          <w:b/>
          <w:bCs/>
          <w:sz w:val="32"/>
          <w:szCs w:val="32"/>
          <w:lang w:val="en-US" w:eastAsia="zh-CN"/>
        </w:rPr>
      </w:pPr>
      <w:r>
        <w:rPr>
          <w:rFonts w:hint="default" w:ascii="Times New Roman" w:hAnsi="Times New Roman" w:eastAsia="楷体" w:cs="Times New Roman"/>
          <w:b/>
          <w:bCs/>
          <w:sz w:val="32"/>
          <w:szCs w:val="32"/>
          <w:lang w:val="en-US" w:eastAsia="zh-CN"/>
        </w:rPr>
        <w:t>突出质量，狠抓工期，高标准农田建设稳步实施</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 w:cs="Times New Roman"/>
          <w:sz w:val="32"/>
          <w:szCs w:val="20"/>
          <w:lang w:val="en-US" w:eastAsia="zh-CN"/>
        </w:rPr>
      </w:pPr>
      <w:r>
        <w:rPr>
          <w:rFonts w:hint="default" w:ascii="Times New Roman" w:hAnsi="Times New Roman" w:eastAsia="仿宋" w:cs="Times New Roman"/>
          <w:sz w:val="32"/>
          <w:szCs w:val="20"/>
          <w:lang w:val="en-US" w:eastAsia="zh-CN"/>
        </w:rPr>
        <w:t>1.</w:t>
      </w:r>
      <w:r>
        <w:rPr>
          <w:rFonts w:hint="default" w:ascii="Times New Roman" w:hAnsi="Times New Roman" w:eastAsia="仿宋_GB2312" w:cs="Times New Roman"/>
          <w:b/>
          <w:sz w:val="32"/>
          <w:szCs w:val="32"/>
        </w:rPr>
        <w:t>20</w:t>
      </w:r>
      <w:r>
        <w:rPr>
          <w:rFonts w:hint="default" w:ascii="Times New Roman" w:hAnsi="Times New Roman" w:eastAsia="仿宋_GB2312" w:cs="Times New Roman"/>
          <w:b/>
          <w:sz w:val="32"/>
          <w:szCs w:val="32"/>
          <w:lang w:val="en-US" w:eastAsia="zh-CN"/>
        </w:rPr>
        <w:t>22</w:t>
      </w:r>
      <w:r>
        <w:rPr>
          <w:rFonts w:hint="default" w:ascii="Times New Roman" w:hAnsi="Times New Roman" w:eastAsia="仿宋_GB2312" w:cs="Times New Roman"/>
          <w:b/>
          <w:sz w:val="32"/>
          <w:szCs w:val="32"/>
        </w:rPr>
        <w:t>年度高标准农田建设项目全面完成</w:t>
      </w:r>
      <w:r>
        <w:rPr>
          <w:rFonts w:hint="default" w:ascii="Times New Roman" w:hAnsi="Times New Roman" w:eastAsia="仿宋_GB2312" w:cs="Times New Roman"/>
          <w:b/>
          <w:sz w:val="32"/>
          <w:szCs w:val="32"/>
          <w:lang w:eastAsia="zh-CN"/>
        </w:rPr>
        <w:t>。</w:t>
      </w:r>
      <w:r>
        <w:rPr>
          <w:rFonts w:hint="default" w:ascii="Times New Roman" w:hAnsi="Times New Roman" w:eastAsia="仿宋" w:cs="Times New Roman"/>
          <w:sz w:val="32"/>
          <w:szCs w:val="20"/>
        </w:rPr>
        <w:t>湘潭县202</w:t>
      </w:r>
      <w:r>
        <w:rPr>
          <w:rFonts w:hint="default" w:ascii="Times New Roman" w:hAnsi="Times New Roman" w:eastAsia="仿宋" w:cs="Times New Roman"/>
          <w:sz w:val="32"/>
          <w:szCs w:val="20"/>
          <w:lang w:val="en-US" w:eastAsia="zh-CN"/>
        </w:rPr>
        <w:t>2</w:t>
      </w:r>
      <w:r>
        <w:rPr>
          <w:rFonts w:hint="default" w:ascii="Times New Roman" w:hAnsi="Times New Roman" w:eastAsia="仿宋" w:cs="Times New Roman"/>
          <w:sz w:val="32"/>
          <w:szCs w:val="20"/>
        </w:rPr>
        <w:t>年高标准农田建设</w:t>
      </w:r>
      <w:r>
        <w:rPr>
          <w:rFonts w:hint="default" w:ascii="Times New Roman" w:hAnsi="Times New Roman" w:eastAsia="仿宋" w:cs="Times New Roman"/>
          <w:sz w:val="32"/>
          <w:szCs w:val="20"/>
          <w:lang w:eastAsia="zh-CN"/>
        </w:rPr>
        <w:t>项目</w:t>
      </w:r>
      <w:r>
        <w:rPr>
          <w:rFonts w:hint="default" w:ascii="Times New Roman" w:hAnsi="Times New Roman" w:eastAsia="仿宋" w:cs="Times New Roman"/>
          <w:sz w:val="32"/>
          <w:szCs w:val="20"/>
        </w:rPr>
        <w:t>总规模为</w:t>
      </w:r>
      <w:r>
        <w:rPr>
          <w:rFonts w:hint="default" w:ascii="Times New Roman" w:hAnsi="Times New Roman" w:eastAsia="仿宋" w:cs="Times New Roman"/>
          <w:sz w:val="32"/>
          <w:szCs w:val="20"/>
          <w:lang w:val="en-US" w:eastAsia="zh-CN"/>
        </w:rPr>
        <w:t>8</w:t>
      </w:r>
      <w:r>
        <w:rPr>
          <w:rFonts w:hint="default" w:ascii="Times New Roman" w:hAnsi="Times New Roman" w:eastAsia="仿宋" w:cs="Times New Roman"/>
          <w:sz w:val="32"/>
          <w:szCs w:val="20"/>
        </w:rPr>
        <w:t>万亩</w:t>
      </w:r>
      <w:r>
        <w:rPr>
          <w:rFonts w:hint="default" w:ascii="Times New Roman" w:hAnsi="Times New Roman" w:eastAsia="仿宋" w:cs="Times New Roman"/>
          <w:sz w:val="32"/>
          <w:szCs w:val="20"/>
          <w:lang w:eastAsia="zh-CN"/>
        </w:rPr>
        <w:t>（</w:t>
      </w:r>
      <w:r>
        <w:rPr>
          <w:rFonts w:hint="default" w:ascii="Times New Roman" w:hAnsi="Times New Roman" w:eastAsia="仿宋" w:cs="Times New Roman"/>
          <w:sz w:val="32"/>
          <w:szCs w:val="20"/>
          <w:lang w:val="en-US" w:eastAsia="zh-CN"/>
        </w:rPr>
        <w:t>其中高效节水灌溉面积0.2万亩），</w:t>
      </w:r>
      <w:r>
        <w:rPr>
          <w:rFonts w:hint="default" w:ascii="Times New Roman" w:hAnsi="Times New Roman" w:eastAsia="仿宋_GB2312" w:cs="Times New Roman"/>
          <w:sz w:val="32"/>
          <w:szCs w:val="32"/>
          <w:lang w:val="en-US" w:eastAsia="zh-CN"/>
        </w:rPr>
        <w:t>总投资13203万元，其中中央财政资金9610万元，省级农田建设专项资金3593万元。</w:t>
      </w:r>
      <w:r>
        <w:rPr>
          <w:rFonts w:hint="default" w:ascii="Times New Roman" w:hAnsi="Times New Roman" w:eastAsia="仿宋" w:cs="Times New Roman"/>
          <w:sz w:val="32"/>
          <w:szCs w:val="20"/>
          <w:lang w:val="en-US" w:eastAsia="zh-CN"/>
        </w:rPr>
        <w:t>所有项目于2022年10月25日动工，2023年5月完成全部建设任务，7月至8月完成县级初步验收，11月完成市级竣工验收。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 w:cs="Times New Roman"/>
          <w:sz w:val="32"/>
          <w:szCs w:val="32"/>
          <w:vertAlign w:val="baseline"/>
          <w:lang w:val="en-US" w:eastAsia="zh-CN"/>
        </w:rPr>
      </w:pPr>
      <w:r>
        <w:rPr>
          <w:rFonts w:hint="default" w:ascii="Times New Roman" w:hAnsi="Times New Roman" w:eastAsia="仿宋" w:cs="Times New Roman"/>
          <w:sz w:val="32"/>
          <w:szCs w:val="32"/>
          <w:lang w:val="en-US" w:eastAsia="zh-CN"/>
        </w:rPr>
        <w:t>2.</w:t>
      </w:r>
      <w:r>
        <w:rPr>
          <w:rFonts w:hint="default" w:ascii="Times New Roman" w:hAnsi="Times New Roman" w:eastAsia="仿宋_GB2312" w:cs="Times New Roman"/>
          <w:b/>
          <w:bCs/>
          <w:sz w:val="32"/>
          <w:szCs w:val="32"/>
        </w:rPr>
        <w:t>202</w:t>
      </w:r>
      <w:r>
        <w:rPr>
          <w:rFonts w:hint="default" w:ascii="Times New Roman" w:hAnsi="Times New Roman" w:eastAsia="仿宋_GB2312" w:cs="Times New Roman"/>
          <w:b/>
          <w:bCs/>
          <w:sz w:val="32"/>
          <w:szCs w:val="32"/>
          <w:lang w:val="en-US" w:eastAsia="zh-CN"/>
        </w:rPr>
        <w:t>3</w:t>
      </w:r>
      <w:r>
        <w:rPr>
          <w:rFonts w:hint="default" w:ascii="Times New Roman" w:hAnsi="Times New Roman" w:eastAsia="仿宋_GB2312" w:cs="Times New Roman"/>
          <w:b/>
          <w:bCs/>
          <w:sz w:val="32"/>
          <w:szCs w:val="32"/>
        </w:rPr>
        <w:t>年</w:t>
      </w:r>
      <w:r>
        <w:rPr>
          <w:rFonts w:hint="default" w:ascii="Times New Roman" w:hAnsi="Times New Roman" w:eastAsia="仿宋_GB2312" w:cs="Times New Roman"/>
          <w:b/>
          <w:bCs/>
          <w:sz w:val="32"/>
          <w:szCs w:val="32"/>
          <w:lang w:eastAsia="zh-CN"/>
        </w:rPr>
        <w:t>度</w:t>
      </w:r>
      <w:r>
        <w:rPr>
          <w:rFonts w:hint="default" w:ascii="Times New Roman" w:hAnsi="Times New Roman" w:eastAsia="仿宋_GB2312" w:cs="Times New Roman"/>
          <w:b/>
          <w:bCs/>
          <w:sz w:val="32"/>
          <w:szCs w:val="32"/>
        </w:rPr>
        <w:t>高标准农田建设项目</w:t>
      </w:r>
      <w:r>
        <w:rPr>
          <w:rFonts w:hint="default" w:ascii="Times New Roman" w:hAnsi="Times New Roman" w:eastAsia="仿宋_GB2312" w:cs="Times New Roman"/>
          <w:b/>
          <w:bCs/>
          <w:sz w:val="32"/>
          <w:szCs w:val="32"/>
          <w:lang w:val="en-US" w:eastAsia="zh-CN"/>
        </w:rPr>
        <w:t>扎实推进</w:t>
      </w:r>
      <w:r>
        <w:rPr>
          <w:rFonts w:hint="default" w:ascii="Times New Roman" w:hAnsi="Times New Roman" w:eastAsia="仿宋_GB2312" w:cs="Times New Roman"/>
          <w:b/>
          <w:bCs/>
          <w:sz w:val="32"/>
          <w:szCs w:val="32"/>
          <w:lang w:eastAsia="zh-CN"/>
        </w:rPr>
        <w:t>。</w:t>
      </w:r>
      <w:r>
        <w:rPr>
          <w:rFonts w:hint="default" w:ascii="Times New Roman" w:hAnsi="Times New Roman" w:eastAsia="仿宋" w:cs="Times New Roman"/>
          <w:sz w:val="32"/>
          <w:szCs w:val="32"/>
          <w:lang w:val="en-US" w:eastAsia="zh-CN"/>
        </w:rPr>
        <w:t>湘潭县2023年度高标准农田建设项目计划投资13575.08万元，其中中央财政和省级财政资金10858万元，社会资金投入2732.08万元。建设高标准农田6.66万亩，其中新增高标准农田建设面积为2.86万亩，改造提升建设面积为3.80万亩。实施高效节水灌溉面积为0.2万亩，投融资创新面积为1.9万亩</w:t>
      </w:r>
      <w:r>
        <w:rPr>
          <w:rFonts w:hint="default" w:ascii="Times New Roman" w:hAnsi="Times New Roman" w:eastAsia="仿宋" w:cs="Times New Roman"/>
          <w:sz w:val="32"/>
          <w:szCs w:val="32"/>
          <w:vertAlign w:val="baseline"/>
          <w:lang w:val="en-US" w:eastAsia="zh-CN"/>
        </w:rPr>
        <w:t>（涉及11个投贷联动项目和22个先建后补项目</w:t>
      </w:r>
      <w:r>
        <w:rPr>
          <w:rFonts w:hint="default" w:ascii="Times New Roman" w:hAnsi="Times New Roman" w:eastAsia="仿宋" w:cs="Times New Roman"/>
          <w:sz w:val="32"/>
          <w:szCs w:val="32"/>
          <w:lang w:val="en-US" w:eastAsia="zh-CN"/>
        </w:rPr>
        <w:t>）。</w:t>
      </w:r>
      <w:r>
        <w:rPr>
          <w:rFonts w:hint="default" w:ascii="Times New Roman" w:hAnsi="Times New Roman" w:eastAsia="仿宋" w:cs="Times New Roman"/>
          <w:sz w:val="32"/>
          <w:szCs w:val="32"/>
          <w:vertAlign w:val="baseline"/>
          <w:lang w:val="en-US" w:eastAsia="zh-CN"/>
        </w:rPr>
        <w:t>所有项目力争在春节前全部完成主体工程建设。</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 w:cs="Times New Roman"/>
          <w:sz w:val="32"/>
          <w:szCs w:val="32"/>
          <w:vertAlign w:val="baseline"/>
          <w:lang w:val="en-US" w:eastAsia="zh-CN"/>
        </w:rPr>
      </w:pPr>
      <w:r>
        <w:rPr>
          <w:rFonts w:hint="default" w:ascii="Times New Roman" w:hAnsi="Times New Roman" w:eastAsia="仿宋" w:cs="Times New Roman"/>
          <w:sz w:val="32"/>
          <w:szCs w:val="32"/>
          <w:vertAlign w:val="baseline"/>
          <w:lang w:val="en-US" w:eastAsia="zh-CN"/>
        </w:rPr>
        <w:t>3</w:t>
      </w:r>
      <w:r>
        <w:rPr>
          <w:rFonts w:hint="default" w:ascii="Times New Roman" w:hAnsi="Times New Roman" w:eastAsia="仿宋_GB2312" w:cs="Times New Roman"/>
          <w:b/>
          <w:bCs/>
          <w:sz w:val="32"/>
          <w:szCs w:val="32"/>
          <w:lang w:val="en-US" w:eastAsia="zh-CN"/>
        </w:rPr>
        <w:t>.</w:t>
      </w:r>
      <w:r>
        <w:rPr>
          <w:rFonts w:hint="default" w:ascii="Times New Roman" w:hAnsi="Times New Roman" w:eastAsia="仿宋" w:cs="Times New Roman"/>
          <w:b/>
          <w:bCs/>
          <w:sz w:val="32"/>
          <w:szCs w:val="32"/>
          <w:vertAlign w:val="baseline"/>
          <w:lang w:val="en-US" w:eastAsia="zh-CN"/>
        </w:rPr>
        <w:t>成功申报</w:t>
      </w:r>
      <w:r>
        <w:rPr>
          <w:rFonts w:hint="default" w:ascii="Times New Roman" w:hAnsi="Times New Roman" w:eastAsia="仿宋_GB2312" w:cs="Times New Roman"/>
          <w:b/>
          <w:bCs/>
          <w:sz w:val="32"/>
          <w:szCs w:val="32"/>
          <w:lang w:val="en-US" w:eastAsia="zh-CN"/>
        </w:rPr>
        <w:t>新增中央预算内资金项目。</w:t>
      </w:r>
      <w:r>
        <w:rPr>
          <w:rFonts w:hint="default" w:ascii="Times New Roman" w:hAnsi="Times New Roman" w:eastAsia="仿宋" w:cs="Times New Roman"/>
          <w:sz w:val="32"/>
          <w:szCs w:val="32"/>
          <w:vertAlign w:val="baseline"/>
          <w:lang w:val="en-US" w:eastAsia="zh-CN"/>
        </w:rPr>
        <w:t>2023年下半年成功申报新增中央预算内资金项目2.4万亩，计划总投资5894.74万元，目前正在进行前期准备工作。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楷体" w:cs="Times New Roman"/>
          <w:b/>
          <w:bCs/>
          <w:sz w:val="32"/>
          <w:szCs w:val="32"/>
          <w:lang w:val="en-US" w:eastAsia="zh-CN"/>
        </w:rPr>
      </w:pPr>
      <w:r>
        <w:rPr>
          <w:rFonts w:hint="default" w:ascii="Times New Roman" w:hAnsi="Times New Roman" w:eastAsia="楷体" w:cs="Times New Roman"/>
          <w:b/>
          <w:bCs/>
          <w:sz w:val="32"/>
          <w:szCs w:val="32"/>
          <w:lang w:val="en-US" w:eastAsia="zh-CN"/>
        </w:rPr>
        <w:t>（二）提高站位，瞄准目标，第三次全国土壤普查工作有序推进</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color w:val="000000"/>
          <w:sz w:val="32"/>
          <w:szCs w:val="32"/>
          <w:lang w:val="en-US" w:eastAsia="zh-CN"/>
        </w:rPr>
        <w:t>第三次全国土壤普查是党中央、国务院为全面摸清我国土壤资源状况，准确掌握土壤质量变化趋势，推动农业高质量发展作出的重大决策。根据省三普办要求，我县成立了领导小组，组建了工作专班，按照时间节点制定了时间表、路线图、任务书。</w:t>
      </w:r>
      <w:r>
        <w:rPr>
          <w:rFonts w:hint="default" w:ascii="Times New Roman" w:hAnsi="Times New Roman" w:eastAsia="仿宋" w:cs="Times New Roman"/>
          <w:kern w:val="2"/>
          <w:sz w:val="32"/>
          <w:szCs w:val="32"/>
          <w:lang w:val="en-US" w:eastAsia="zh-CN" w:bidi="ar-SA"/>
        </w:rPr>
        <w:t>省厅下达我县表层样点数1067个、剖面样点数72个（含后期新增51个），合计采集样点数1139个。截至2023年12月室外样点核实、土壤类型校核、表层样点调查采样已100%完成。确保农历年底前样品检测完成30%以上。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default" w:ascii="Times New Roman" w:hAnsi="Times New Roman" w:eastAsia="楷体" w:cs="Times New Roman"/>
          <w:b/>
          <w:bCs/>
          <w:sz w:val="32"/>
          <w:szCs w:val="32"/>
          <w:lang w:val="en-US" w:eastAsia="zh-CN"/>
        </w:rPr>
      </w:pPr>
      <w:r>
        <w:rPr>
          <w:rFonts w:hint="default" w:ascii="Times New Roman" w:hAnsi="Times New Roman" w:eastAsia="楷体" w:cs="Times New Roman"/>
          <w:b/>
          <w:bCs/>
          <w:sz w:val="32"/>
          <w:szCs w:val="32"/>
          <w:lang w:val="en-US" w:eastAsia="zh-CN"/>
        </w:rPr>
        <w:t>（三）压实责任，聚势赋能，村</w:t>
      </w:r>
      <w:r>
        <w:rPr>
          <w:rFonts w:hint="default" w:ascii="Times New Roman" w:hAnsi="Times New Roman" w:eastAsia="楷体" w:cs="Times New Roman"/>
          <w:b/>
          <w:bCs/>
          <w:color w:val="000000"/>
          <w:sz w:val="32"/>
          <w:szCs w:val="32"/>
          <w:lang w:val="en-US" w:eastAsia="zh-CN"/>
        </w:rPr>
        <w:t>集体经济发展工作强力推进</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default" w:ascii="Times New Roman" w:hAnsi="Times New Roman" w:eastAsia="仿宋" w:cs="Times New Roman"/>
          <w:color w:val="000000"/>
          <w:sz w:val="32"/>
          <w:szCs w:val="32"/>
          <w:highlight w:val="none"/>
          <w:lang w:val="en-US" w:eastAsia="zh-CN"/>
        </w:rPr>
      </w:pPr>
      <w:r>
        <w:rPr>
          <w:rFonts w:hint="default" w:ascii="Times New Roman" w:hAnsi="Times New Roman" w:eastAsia="仿宋" w:cs="Times New Roman"/>
          <w:b/>
          <w:bCs/>
          <w:sz w:val="32"/>
          <w:szCs w:val="32"/>
          <w:lang w:val="en-US" w:eastAsia="zh-CN"/>
        </w:rPr>
        <w:t>1.农村集体经济融合发展。</w:t>
      </w:r>
      <w:r>
        <w:rPr>
          <w:rFonts w:hint="default" w:ascii="Times New Roman" w:hAnsi="Times New Roman" w:eastAsia="仿宋" w:cs="Times New Roman"/>
          <w:sz w:val="32"/>
          <w:szCs w:val="32"/>
          <w:lang w:val="en-US" w:eastAsia="zh-CN"/>
        </w:rPr>
        <w:t>制定《湘潭县2023年发展村级集体经济工作方案》，大力发展资源开发型、产业带动型等多种形式新型村级集体经济，积极扩展生产服务、电商等产业与集体经济融合发展的新业态。截至2023年12月“互联网+监督”平台系统数据，我县320个行政村集体经济经营性收入总量</w:t>
      </w:r>
      <w:r>
        <w:rPr>
          <w:rFonts w:hint="default" w:ascii="Times New Roman" w:hAnsi="Times New Roman" w:eastAsia="仿宋" w:cs="Times New Roman"/>
          <w:color w:val="000000"/>
          <w:sz w:val="32"/>
          <w:szCs w:val="32"/>
          <w:highlight w:val="none"/>
          <w:lang w:val="en-US" w:eastAsia="zh-CN"/>
        </w:rPr>
        <w:t>4442.38万元，无集体经济空白村。</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default" w:ascii="Times New Roman" w:hAnsi="Times New Roman" w:eastAsia="仿宋" w:cs="Times New Roman"/>
          <w:b w:val="0"/>
          <w:bCs w:val="0"/>
          <w:sz w:val="32"/>
          <w:szCs w:val="32"/>
          <w:lang w:val="en-US" w:eastAsia="zh-CN"/>
        </w:rPr>
      </w:pPr>
      <w:r>
        <w:rPr>
          <w:rFonts w:hint="default" w:ascii="Times New Roman" w:hAnsi="Times New Roman" w:eastAsia="仿宋" w:cs="Times New Roman"/>
          <w:b/>
          <w:bCs/>
          <w:sz w:val="32"/>
          <w:szCs w:val="32"/>
          <w:lang w:val="en-US" w:eastAsia="zh-CN"/>
        </w:rPr>
        <w:t>2.农村集体“三资”管理突出问题专项治理成效显著。</w:t>
      </w:r>
      <w:r>
        <w:rPr>
          <w:rFonts w:hint="default" w:ascii="Times New Roman" w:hAnsi="Times New Roman" w:eastAsia="仿宋" w:cs="Times New Roman"/>
          <w:b w:val="0"/>
          <w:bCs w:val="0"/>
          <w:sz w:val="32"/>
          <w:szCs w:val="32"/>
          <w:lang w:val="en-US" w:eastAsia="zh-CN"/>
        </w:rPr>
        <w:t>一是全县“三资”管理自查自纠问题数累计1581个，已完成问题整改数1581个，整改率100%。二是县“三湘护农”专班组于5月进驻易俗河镇飞龙桥村开展“驻场解剖麻雀式”“三资”治理清查工作，累计发现问题32个，已全部整改到位，问题线索涉及资金809.1万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default" w:ascii="Times New Roman" w:hAnsi="Times New Roman" w:eastAsia="仿宋" w:cs="Times New Roman"/>
          <w:sz w:val="32"/>
          <w:szCs w:val="32"/>
          <w:vertAlign w:val="baseline"/>
          <w:lang w:val="en-US" w:eastAsia="zh-CN"/>
        </w:rPr>
      </w:pPr>
      <w:r>
        <w:rPr>
          <w:rFonts w:hint="default" w:ascii="Times New Roman" w:hAnsi="Times New Roman" w:eastAsia="仿宋" w:cs="Times New Roman"/>
          <w:b/>
          <w:bCs/>
          <w:sz w:val="32"/>
          <w:szCs w:val="32"/>
          <w:lang w:val="en-US" w:eastAsia="zh-CN"/>
        </w:rPr>
        <w:t>3.农村集体产权交易建设高效运营。</w:t>
      </w:r>
      <w:r>
        <w:rPr>
          <w:rFonts w:hint="default" w:ascii="Times New Roman" w:hAnsi="Times New Roman" w:eastAsia="仿宋" w:cs="Times New Roman"/>
          <w:b w:val="0"/>
          <w:bCs w:val="0"/>
          <w:sz w:val="32"/>
          <w:szCs w:val="32"/>
          <w:lang w:val="en-US" w:eastAsia="zh-CN"/>
        </w:rPr>
        <w:t>7月6日，县农村产权交易中心正式揭牌并运营。累计挂牌115笔，目前已累计成交59笔，成交金额6417.93万元；完成农村产权抵押贷款5笔，累计放款419.9万；各乡镇到县产权交易中心进行招标投标共计13笔，累计成交金额为3997.93万。全县四级体系平台全面推进，组织召开全县17个乡镇、村级业务培训会50余次，在17个乡镇建立交易服务站，300多个村社建立村级服务室，进村下户收集项目资料、政策宣导100余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default" w:ascii="Times New Roman" w:hAnsi="Times New Roman" w:eastAsia="楷体" w:cs="Times New Roman"/>
          <w:b/>
          <w:bCs/>
          <w:sz w:val="32"/>
          <w:szCs w:val="32"/>
          <w:lang w:val="en-US" w:eastAsia="zh-CN"/>
        </w:rPr>
      </w:pPr>
      <w:r>
        <w:rPr>
          <w:rFonts w:hint="default" w:ascii="Times New Roman" w:hAnsi="Times New Roman" w:eastAsia="楷体" w:cs="Times New Roman"/>
          <w:b/>
          <w:bCs/>
          <w:sz w:val="32"/>
          <w:szCs w:val="32"/>
          <w:lang w:val="en-US" w:eastAsia="zh-CN"/>
        </w:rPr>
        <w:t>（四）加强指导，规范体系，农业发展改革工作全力推进</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default" w:ascii="Times New Roman" w:hAnsi="Times New Roman" w:eastAsia="仿宋" w:cs="Times New Roman"/>
          <w:color w:val="000000"/>
          <w:sz w:val="32"/>
          <w:szCs w:val="32"/>
          <w:lang w:val="en-US"/>
        </w:rPr>
      </w:pPr>
      <w:r>
        <w:rPr>
          <w:rFonts w:hint="default" w:ascii="Times New Roman" w:hAnsi="Times New Roman" w:eastAsia="仿宋" w:cs="Times New Roman"/>
          <w:b/>
          <w:bCs/>
          <w:color w:val="000000"/>
          <w:sz w:val="32"/>
          <w:szCs w:val="32"/>
          <w:lang w:val="en-US" w:eastAsia="zh-CN"/>
        </w:rPr>
        <w:t>1.健全规范农村土地承包工作。</w:t>
      </w:r>
      <w:r>
        <w:rPr>
          <w:rFonts w:hint="default" w:ascii="Times New Roman" w:hAnsi="Times New Roman" w:eastAsia="仿宋" w:cs="Times New Roman"/>
          <w:color w:val="000000"/>
          <w:sz w:val="32"/>
          <w:szCs w:val="32"/>
          <w:lang w:val="en-US" w:eastAsia="zh-CN"/>
        </w:rPr>
        <w:t>健全完善县、乡、村三级土地流转服务体系和农村土地承包调解仲裁体系建设，强化土地流转监管，开展农村土地承包管理调研和土地确权证书变更工作等，截至2023年12月，我县耕地流转面积达到57.35万亩，占全县耕地面积的67.21%。</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default" w:ascii="Times New Roman" w:hAnsi="Times New Roman" w:eastAsia="仿宋" w:cs="Times New Roman"/>
          <w:color w:val="000000"/>
          <w:sz w:val="32"/>
          <w:szCs w:val="32"/>
          <w:lang w:val="en-US" w:eastAsia="zh-CN"/>
        </w:rPr>
      </w:pPr>
      <w:r>
        <w:rPr>
          <w:rFonts w:hint="default" w:ascii="Times New Roman" w:hAnsi="Times New Roman" w:eastAsia="仿宋" w:cs="Times New Roman"/>
          <w:b/>
          <w:bCs/>
          <w:color w:val="000000"/>
          <w:sz w:val="32"/>
          <w:szCs w:val="32"/>
          <w:lang w:val="en-US" w:eastAsia="zh-CN"/>
        </w:rPr>
        <w:t>2.努力提升新型经营主体质量。</w:t>
      </w:r>
      <w:r>
        <w:rPr>
          <w:rFonts w:hint="default" w:ascii="Times New Roman" w:hAnsi="Times New Roman" w:eastAsia="仿宋" w:cs="Times New Roman"/>
          <w:color w:val="000000"/>
          <w:sz w:val="32"/>
          <w:szCs w:val="32"/>
          <w:lang w:val="en-US" w:eastAsia="zh-CN"/>
        </w:rPr>
        <w:t>截至2023年12月底，我县已进行工商注册登记的家庭农场2969家，进行工商注册登记的农民专业合作社1836家，合作社和家庭农场辐射带动周边农户5.2万余户，新型经营主体的示范效应已经得到了明显的提升。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default" w:ascii="Times New Roman" w:hAnsi="Times New Roman" w:eastAsia="仿宋" w:cs="Times New Roman"/>
          <w:i w:val="0"/>
          <w:iCs w:val="0"/>
          <w:caps w:val="0"/>
          <w:color w:val="000000"/>
          <w:spacing w:val="0"/>
          <w:sz w:val="32"/>
          <w:szCs w:val="32"/>
          <w:lang w:val="en-US" w:eastAsia="zh-CN"/>
        </w:rPr>
      </w:pPr>
      <w:r>
        <w:rPr>
          <w:rFonts w:hint="default" w:ascii="Times New Roman" w:hAnsi="Times New Roman" w:eastAsia="仿宋" w:cs="Times New Roman"/>
          <w:b/>
          <w:bCs/>
          <w:color w:val="000000"/>
          <w:sz w:val="32"/>
          <w:szCs w:val="32"/>
          <w:lang w:val="en-US" w:eastAsia="zh-CN"/>
        </w:rPr>
        <w:t>3.不断优化社会化服务工作。</w:t>
      </w:r>
      <w:r>
        <w:rPr>
          <w:rFonts w:hint="default" w:ascii="Times New Roman" w:hAnsi="Times New Roman" w:eastAsia="仿宋" w:cs="Times New Roman"/>
          <w:i w:val="0"/>
          <w:iCs w:val="0"/>
          <w:caps w:val="0"/>
          <w:color w:val="000000"/>
          <w:spacing w:val="0"/>
          <w:sz w:val="32"/>
          <w:szCs w:val="32"/>
          <w:shd w:val="clear" w:color="auto" w:fill="FFFFFF"/>
        </w:rPr>
        <w:t>出台《</w:t>
      </w:r>
      <w:r>
        <w:rPr>
          <w:rFonts w:hint="default" w:ascii="Times New Roman" w:hAnsi="Times New Roman" w:eastAsia="仿宋" w:cs="Times New Roman"/>
          <w:i w:val="0"/>
          <w:iCs w:val="0"/>
          <w:caps w:val="0"/>
          <w:color w:val="000000"/>
          <w:spacing w:val="0"/>
          <w:sz w:val="32"/>
          <w:szCs w:val="32"/>
          <w:shd w:val="clear" w:color="auto" w:fill="FFFFFF"/>
          <w:lang w:val="en-US" w:eastAsia="zh-CN"/>
        </w:rPr>
        <w:t>湘潭县2023年农业社会化服务实施方案》</w:t>
      </w:r>
      <w:r>
        <w:rPr>
          <w:rFonts w:hint="default" w:ascii="Times New Roman" w:hAnsi="Times New Roman" w:eastAsia="仿宋" w:cs="Times New Roman"/>
          <w:i w:val="0"/>
          <w:iCs w:val="0"/>
          <w:caps w:val="0"/>
          <w:color w:val="000000"/>
          <w:spacing w:val="0"/>
          <w:sz w:val="32"/>
          <w:szCs w:val="32"/>
          <w:shd w:val="clear" w:color="auto" w:fill="FFFFFF"/>
        </w:rPr>
        <w:t>，</w:t>
      </w:r>
      <w:r>
        <w:rPr>
          <w:rFonts w:hint="default" w:ascii="Times New Roman" w:hAnsi="Times New Roman" w:eastAsia="仿宋" w:cs="Times New Roman"/>
          <w:i w:val="0"/>
          <w:iCs w:val="0"/>
          <w:caps w:val="0"/>
          <w:color w:val="000000"/>
          <w:spacing w:val="0"/>
          <w:sz w:val="32"/>
          <w:szCs w:val="32"/>
          <w:shd w:val="clear" w:color="auto" w:fill="FFFFFF"/>
          <w:lang w:val="en-US" w:eastAsia="zh-CN"/>
        </w:rPr>
        <w:t>通过鼓励支持薄弱环节和</w:t>
      </w:r>
      <w:r>
        <w:rPr>
          <w:rFonts w:hint="default" w:ascii="Times New Roman" w:hAnsi="Times New Roman" w:eastAsia="仿宋" w:cs="Times New Roman"/>
          <w:i w:val="0"/>
          <w:iCs w:val="0"/>
          <w:caps w:val="0"/>
          <w:color w:val="000000"/>
          <w:spacing w:val="0"/>
          <w:sz w:val="32"/>
          <w:szCs w:val="32"/>
          <w:shd w:val="clear" w:color="auto" w:fill="FFFFFF"/>
        </w:rPr>
        <w:t>示范推广农业生产</w:t>
      </w:r>
      <w:r>
        <w:rPr>
          <w:rFonts w:hint="default" w:ascii="Times New Roman" w:hAnsi="Times New Roman" w:eastAsia="仿宋" w:cs="Times New Roman"/>
          <w:i w:val="0"/>
          <w:iCs w:val="0"/>
          <w:caps w:val="0"/>
          <w:color w:val="000000"/>
          <w:spacing w:val="0"/>
          <w:sz w:val="32"/>
          <w:szCs w:val="32"/>
          <w:shd w:val="clear" w:color="auto" w:fill="FFFFFF"/>
          <w:lang w:eastAsia="zh-CN"/>
        </w:rPr>
        <w:t>“</w:t>
      </w:r>
      <w:r>
        <w:rPr>
          <w:rFonts w:hint="default" w:ascii="Times New Roman" w:hAnsi="Times New Roman" w:eastAsia="仿宋" w:cs="Times New Roman"/>
          <w:i w:val="0"/>
          <w:iCs w:val="0"/>
          <w:caps w:val="0"/>
          <w:color w:val="000000"/>
          <w:spacing w:val="0"/>
          <w:sz w:val="32"/>
          <w:szCs w:val="32"/>
          <w:shd w:val="clear" w:color="auto" w:fill="FFFFFF"/>
          <w:lang w:val="en-US" w:eastAsia="zh-CN"/>
        </w:rPr>
        <w:t>全程托管”</w:t>
      </w:r>
      <w:r>
        <w:rPr>
          <w:rFonts w:hint="default" w:ascii="Times New Roman" w:hAnsi="Times New Roman" w:eastAsia="仿宋" w:cs="Times New Roman"/>
          <w:i w:val="0"/>
          <w:iCs w:val="0"/>
          <w:caps w:val="0"/>
          <w:color w:val="000000"/>
          <w:spacing w:val="0"/>
          <w:sz w:val="32"/>
          <w:szCs w:val="32"/>
          <w:shd w:val="clear" w:color="auto" w:fill="FFFFFF"/>
        </w:rPr>
        <w:t>模式，以农业生产托管带动小农户融入现代农业。202</w:t>
      </w:r>
      <w:r>
        <w:rPr>
          <w:rFonts w:hint="default" w:ascii="Times New Roman" w:hAnsi="Times New Roman" w:eastAsia="仿宋" w:cs="Times New Roman"/>
          <w:i w:val="0"/>
          <w:iCs w:val="0"/>
          <w:caps w:val="0"/>
          <w:color w:val="000000"/>
          <w:spacing w:val="0"/>
          <w:sz w:val="32"/>
          <w:szCs w:val="32"/>
          <w:shd w:val="clear" w:color="auto" w:fill="FFFFFF"/>
          <w:lang w:val="en-US" w:eastAsia="zh-CN"/>
        </w:rPr>
        <w:t>3</w:t>
      </w:r>
      <w:r>
        <w:rPr>
          <w:rFonts w:hint="default" w:ascii="Times New Roman" w:hAnsi="Times New Roman" w:eastAsia="仿宋" w:cs="Times New Roman"/>
          <w:i w:val="0"/>
          <w:iCs w:val="0"/>
          <w:caps w:val="0"/>
          <w:color w:val="000000"/>
          <w:spacing w:val="0"/>
          <w:sz w:val="32"/>
          <w:szCs w:val="32"/>
          <w:shd w:val="clear" w:color="auto" w:fill="FFFFFF"/>
        </w:rPr>
        <w:t>年，完成</w:t>
      </w:r>
      <w:r>
        <w:rPr>
          <w:rFonts w:hint="default" w:ascii="Times New Roman" w:hAnsi="Times New Roman" w:eastAsia="仿宋" w:cs="Times New Roman"/>
          <w:i w:val="0"/>
          <w:iCs w:val="0"/>
          <w:caps w:val="0"/>
          <w:color w:val="000000"/>
          <w:spacing w:val="0"/>
          <w:sz w:val="32"/>
          <w:szCs w:val="32"/>
          <w:shd w:val="clear" w:color="auto" w:fill="FFFFFF"/>
          <w:lang w:val="en-US" w:eastAsia="zh-CN"/>
        </w:rPr>
        <w:t>社会化服务面积10.85</w:t>
      </w:r>
      <w:r>
        <w:rPr>
          <w:rFonts w:hint="default" w:ascii="Times New Roman" w:hAnsi="Times New Roman" w:eastAsia="仿宋" w:cs="Times New Roman"/>
          <w:i w:val="0"/>
          <w:iCs w:val="0"/>
          <w:caps w:val="0"/>
          <w:color w:val="000000"/>
          <w:spacing w:val="0"/>
          <w:sz w:val="32"/>
          <w:szCs w:val="32"/>
          <w:shd w:val="clear" w:color="auto" w:fill="FFFFFF"/>
        </w:rPr>
        <w:t>万亩，</w:t>
      </w:r>
      <w:r>
        <w:rPr>
          <w:rFonts w:hint="default" w:ascii="Times New Roman" w:hAnsi="Times New Roman" w:eastAsia="仿宋" w:cs="Times New Roman"/>
          <w:i w:val="0"/>
          <w:iCs w:val="0"/>
          <w:caps w:val="0"/>
          <w:color w:val="000000"/>
          <w:spacing w:val="0"/>
          <w:sz w:val="32"/>
          <w:szCs w:val="32"/>
          <w:shd w:val="clear" w:color="auto" w:fill="FFFFFF"/>
          <w:lang w:val="en-US" w:eastAsia="zh-CN"/>
        </w:rPr>
        <w:t>其中机插机抛7.79万亩（单环节4.85万亩，全程托管中机插机抛面积2.94万亩），飞防植保32.37万亩，全程托管5.67万亩，</w:t>
      </w:r>
      <w:r>
        <w:rPr>
          <w:rFonts w:hint="default" w:ascii="Times New Roman" w:hAnsi="Times New Roman" w:eastAsia="仿宋" w:cs="Times New Roman"/>
          <w:i w:val="0"/>
          <w:iCs w:val="0"/>
          <w:caps w:val="0"/>
          <w:color w:val="000000"/>
          <w:spacing w:val="0"/>
          <w:sz w:val="32"/>
          <w:szCs w:val="32"/>
          <w:shd w:val="clear" w:color="auto" w:fill="FFFFFF"/>
        </w:rPr>
        <w:t>涉及全</w:t>
      </w:r>
      <w:r>
        <w:rPr>
          <w:rFonts w:hint="default" w:ascii="Times New Roman" w:hAnsi="Times New Roman" w:eastAsia="仿宋" w:cs="Times New Roman"/>
          <w:i w:val="0"/>
          <w:iCs w:val="0"/>
          <w:caps w:val="0"/>
          <w:color w:val="000000"/>
          <w:spacing w:val="0"/>
          <w:sz w:val="32"/>
          <w:szCs w:val="32"/>
          <w:shd w:val="clear" w:color="auto" w:fill="FFFFFF"/>
          <w:lang w:val="en-US" w:eastAsia="zh-CN"/>
        </w:rPr>
        <w:t>县</w:t>
      </w:r>
      <w:r>
        <w:rPr>
          <w:rFonts w:hint="default" w:ascii="Times New Roman" w:hAnsi="Times New Roman" w:eastAsia="仿宋" w:cs="Times New Roman"/>
          <w:i w:val="0"/>
          <w:iCs w:val="0"/>
          <w:caps w:val="0"/>
          <w:color w:val="000000"/>
          <w:spacing w:val="0"/>
          <w:sz w:val="32"/>
          <w:szCs w:val="32"/>
          <w:shd w:val="clear" w:color="auto" w:fill="FFFFFF"/>
        </w:rPr>
        <w:t xml:space="preserve"> 1</w:t>
      </w:r>
      <w:r>
        <w:rPr>
          <w:rFonts w:hint="default" w:ascii="Times New Roman" w:hAnsi="Times New Roman" w:eastAsia="仿宋" w:cs="Times New Roman"/>
          <w:i w:val="0"/>
          <w:iCs w:val="0"/>
          <w:caps w:val="0"/>
          <w:color w:val="000000"/>
          <w:spacing w:val="0"/>
          <w:sz w:val="32"/>
          <w:szCs w:val="32"/>
          <w:shd w:val="clear" w:color="auto" w:fill="FFFFFF"/>
          <w:lang w:val="en-US" w:eastAsia="zh-CN"/>
        </w:rPr>
        <w:t>7</w:t>
      </w:r>
      <w:r>
        <w:rPr>
          <w:rFonts w:hint="default" w:ascii="Times New Roman" w:hAnsi="Times New Roman" w:eastAsia="仿宋" w:cs="Times New Roman"/>
          <w:i w:val="0"/>
          <w:iCs w:val="0"/>
          <w:caps w:val="0"/>
          <w:color w:val="000000"/>
          <w:spacing w:val="0"/>
          <w:sz w:val="32"/>
          <w:szCs w:val="32"/>
          <w:shd w:val="clear" w:color="auto" w:fill="FFFFFF"/>
        </w:rPr>
        <w:t>乡镇，</w:t>
      </w:r>
      <w:r>
        <w:rPr>
          <w:rFonts w:hint="default" w:ascii="Times New Roman" w:hAnsi="Times New Roman" w:eastAsia="仿宋" w:cs="Times New Roman"/>
          <w:i w:val="0"/>
          <w:iCs w:val="0"/>
          <w:caps w:val="0"/>
          <w:color w:val="000000"/>
          <w:spacing w:val="0"/>
          <w:sz w:val="32"/>
          <w:szCs w:val="32"/>
          <w:shd w:val="clear" w:color="auto" w:fill="FFFFFF"/>
          <w:lang w:val="en-US" w:eastAsia="zh-CN"/>
        </w:rPr>
        <w:t>55</w:t>
      </w:r>
      <w:r>
        <w:rPr>
          <w:rFonts w:hint="default" w:ascii="Times New Roman" w:hAnsi="Times New Roman" w:eastAsia="仿宋" w:cs="Times New Roman"/>
          <w:i w:val="0"/>
          <w:iCs w:val="0"/>
          <w:caps w:val="0"/>
          <w:color w:val="000000"/>
          <w:spacing w:val="0"/>
          <w:sz w:val="32"/>
          <w:szCs w:val="32"/>
          <w:shd w:val="clear" w:color="auto" w:fill="FFFFFF"/>
        </w:rPr>
        <w:t>家社会化服务组织参与服务，服务农民</w:t>
      </w:r>
      <w:r>
        <w:rPr>
          <w:rFonts w:hint="default" w:ascii="Times New Roman" w:hAnsi="Times New Roman" w:eastAsia="仿宋" w:cs="Times New Roman"/>
          <w:i w:val="0"/>
          <w:iCs w:val="0"/>
          <w:caps w:val="0"/>
          <w:color w:val="000000"/>
          <w:spacing w:val="0"/>
          <w:sz w:val="32"/>
          <w:szCs w:val="32"/>
          <w:shd w:val="clear" w:color="auto" w:fill="FFFFFF"/>
          <w:lang w:val="en-US" w:eastAsia="zh-CN"/>
        </w:rPr>
        <w:t>7.2</w:t>
      </w:r>
      <w:r>
        <w:rPr>
          <w:rFonts w:hint="default" w:ascii="Times New Roman" w:hAnsi="Times New Roman" w:eastAsia="仿宋" w:cs="Times New Roman"/>
          <w:i w:val="0"/>
          <w:iCs w:val="0"/>
          <w:caps w:val="0"/>
          <w:color w:val="000000"/>
          <w:spacing w:val="0"/>
          <w:sz w:val="32"/>
          <w:szCs w:val="32"/>
          <w:shd w:val="clear" w:color="auto" w:fill="FFFFFF"/>
        </w:rPr>
        <w:t>万余农户</w:t>
      </w:r>
      <w:r>
        <w:rPr>
          <w:rFonts w:hint="default" w:ascii="Times New Roman" w:hAnsi="Times New Roman" w:eastAsia="仿宋" w:cs="Times New Roman"/>
          <w:i w:val="0"/>
          <w:iCs w:val="0"/>
          <w:caps w:val="0"/>
          <w:color w:val="000000"/>
          <w:spacing w:val="0"/>
          <w:sz w:val="32"/>
          <w:szCs w:val="32"/>
          <w:shd w:val="clear" w:color="auto" w:fill="FFFFFF"/>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default" w:ascii="Times New Roman" w:hAnsi="Times New Roman" w:eastAsia="楷体" w:cs="Times New Roman"/>
          <w:b/>
          <w:bCs/>
          <w:sz w:val="32"/>
          <w:szCs w:val="32"/>
          <w:lang w:val="en-US" w:eastAsia="zh-CN"/>
        </w:rPr>
      </w:pPr>
      <w:r>
        <w:rPr>
          <w:rFonts w:hint="default" w:ascii="Times New Roman" w:hAnsi="Times New Roman" w:eastAsia="楷体" w:cs="Times New Roman"/>
          <w:b/>
          <w:bCs/>
          <w:sz w:val="32"/>
          <w:szCs w:val="32"/>
          <w:lang w:val="en-US" w:eastAsia="zh-CN"/>
        </w:rPr>
        <w:t>（五）落实制度，积极作为，农民权益维护工作扎实开展</w:t>
      </w:r>
    </w:p>
    <w:p>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 w:cs="Times New Roman"/>
          <w:b w:val="0"/>
          <w:bCs w:val="0"/>
          <w:color w:val="000000"/>
          <w:sz w:val="32"/>
          <w:szCs w:val="32"/>
          <w:lang w:val="en-US" w:eastAsia="zh-CN"/>
        </w:rPr>
        <w:t>一是制定《湘潭县村民“一事一议”筹资筹劳实施方案》，检查乡镇落实“一事一议筹资筹劳”工作开展情况。二是制定《湘潭县2023年农民权益维护和农民负担监督管理实施方案》，组织开展全县农民权益维护和农民负担监督管理专项检查。三是</w:t>
      </w:r>
      <w:r>
        <w:rPr>
          <w:rFonts w:hint="default" w:ascii="Times New Roman" w:hAnsi="Times New Roman" w:eastAsia="仿宋" w:cs="Times New Roman"/>
          <w:b w:val="0"/>
          <w:bCs w:val="0"/>
          <w:sz w:val="32"/>
          <w:szCs w:val="32"/>
          <w:lang w:val="en-US" w:eastAsia="zh-CN"/>
        </w:rPr>
        <w:t>落实农民负担“监督卡制”、农村公费订阅报刊“限额制”及</w:t>
      </w:r>
      <w:r>
        <w:rPr>
          <w:rFonts w:hint="default" w:ascii="Times New Roman" w:hAnsi="Times New Roman" w:eastAsia="仿宋" w:cs="Times New Roman"/>
          <w:sz w:val="32"/>
          <w:szCs w:val="32"/>
          <w:lang w:val="en-US" w:eastAsia="zh-CN"/>
        </w:rPr>
        <w:t>惠农补贴备案制</w:t>
      </w:r>
      <w:r>
        <w:rPr>
          <w:rFonts w:hint="default" w:ascii="Times New Roman" w:hAnsi="Times New Roman" w:eastAsia="仿宋" w:cs="Times New Roman"/>
          <w:b w:val="0"/>
          <w:bCs w:val="0"/>
          <w:sz w:val="32"/>
          <w:szCs w:val="32"/>
          <w:lang w:val="en-US" w:eastAsia="zh-CN"/>
        </w:rPr>
        <w:t>，下发《湖南省农民惠农补贴与农民负担监督卡》22万份。</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default" w:ascii="Times New Roman" w:hAnsi="Times New Roman" w:eastAsia="仿宋" w:cs="Times New Roman"/>
          <w:color w:val="000000"/>
          <w:sz w:val="32"/>
          <w:szCs w:val="32"/>
        </w:rPr>
      </w:pPr>
      <w:r>
        <w:rPr>
          <w:rFonts w:hint="default" w:ascii="Times New Roman" w:hAnsi="Times New Roman" w:eastAsia="仿宋" w:cs="Times New Roman"/>
          <w:kern w:val="0"/>
          <w:sz w:val="32"/>
          <w:szCs w:val="32"/>
        </w:rPr>
        <w:t>对标县委</w:t>
      </w:r>
      <w:r>
        <w:rPr>
          <w:rFonts w:hint="eastAsia" w:ascii="Times New Roman" w:hAnsi="Times New Roman" w:eastAsia="仿宋" w:cs="Times New Roman"/>
          <w:kern w:val="0"/>
          <w:sz w:val="32"/>
          <w:szCs w:val="32"/>
          <w:lang w:eastAsia="zh-CN"/>
        </w:rPr>
        <w:t>、</w:t>
      </w:r>
      <w:r>
        <w:rPr>
          <w:rFonts w:hint="eastAsia" w:ascii="Times New Roman" w:hAnsi="Times New Roman" w:eastAsia="仿宋" w:cs="Times New Roman"/>
          <w:kern w:val="0"/>
          <w:sz w:val="32"/>
          <w:szCs w:val="32"/>
          <w:lang w:val="en-US" w:eastAsia="zh-CN"/>
        </w:rPr>
        <w:t>县</w:t>
      </w:r>
      <w:r>
        <w:rPr>
          <w:rFonts w:hint="default" w:ascii="Times New Roman" w:hAnsi="Times New Roman" w:eastAsia="仿宋" w:cs="Times New Roman"/>
          <w:kern w:val="0"/>
          <w:sz w:val="32"/>
          <w:szCs w:val="32"/>
        </w:rPr>
        <w:t>政府中心工作</w:t>
      </w:r>
      <w:r>
        <w:rPr>
          <w:rFonts w:hint="default" w:ascii="Times New Roman" w:hAnsi="Times New Roman" w:eastAsia="仿宋" w:cs="Times New Roman"/>
          <w:kern w:val="0"/>
          <w:sz w:val="32"/>
          <w:szCs w:val="32"/>
          <w:lang w:eastAsia="zh-CN"/>
        </w:rPr>
        <w:t>，</w:t>
      </w:r>
      <w:r>
        <w:rPr>
          <w:rFonts w:hint="default" w:ascii="Times New Roman" w:hAnsi="Times New Roman" w:eastAsia="仿宋" w:cs="Times New Roman"/>
          <w:kern w:val="0"/>
          <w:sz w:val="32"/>
          <w:szCs w:val="32"/>
        </w:rPr>
        <w:t>扎实推</w:t>
      </w:r>
      <w:r>
        <w:rPr>
          <w:rFonts w:hint="default" w:ascii="Times New Roman" w:hAnsi="Times New Roman" w:eastAsia="仿宋" w:cs="Times New Roman"/>
          <w:kern w:val="0"/>
          <w:sz w:val="32"/>
          <w:szCs w:val="32"/>
          <w:lang w:eastAsia="zh-CN"/>
        </w:rPr>
        <w:t>进</w:t>
      </w:r>
      <w:r>
        <w:rPr>
          <w:rFonts w:hint="default" w:ascii="Times New Roman" w:hAnsi="Times New Roman" w:eastAsia="仿宋" w:cs="Times New Roman"/>
          <w:kern w:val="0"/>
          <w:sz w:val="32"/>
          <w:szCs w:val="32"/>
          <w:lang w:val="en-US" w:eastAsia="zh-CN"/>
        </w:rPr>
        <w:t>平安建设、</w:t>
      </w:r>
      <w:r>
        <w:rPr>
          <w:rFonts w:hint="default" w:ascii="Times New Roman" w:hAnsi="Times New Roman" w:eastAsia="仿宋" w:cs="Times New Roman"/>
          <w:kern w:val="0"/>
          <w:sz w:val="32"/>
          <w:szCs w:val="32"/>
          <w:lang w:eastAsia="zh-CN"/>
        </w:rPr>
        <w:t>统</w:t>
      </w:r>
      <w:r>
        <w:rPr>
          <w:rFonts w:hint="default" w:ascii="Times New Roman" w:hAnsi="Times New Roman" w:eastAsia="仿宋" w:cs="Times New Roman"/>
          <w:kern w:val="0"/>
          <w:sz w:val="32"/>
          <w:szCs w:val="32"/>
          <w:lang w:val="en-US" w:eastAsia="zh-CN"/>
        </w:rPr>
        <w:t>一</w:t>
      </w:r>
      <w:r>
        <w:rPr>
          <w:rFonts w:hint="default" w:ascii="Times New Roman" w:hAnsi="Times New Roman" w:eastAsia="仿宋" w:cs="Times New Roman"/>
          <w:kern w:val="0"/>
          <w:sz w:val="32"/>
          <w:szCs w:val="32"/>
          <w:lang w:eastAsia="zh-CN"/>
        </w:rPr>
        <w:t>战</w:t>
      </w:r>
      <w:r>
        <w:rPr>
          <w:rFonts w:hint="default" w:ascii="Times New Roman" w:hAnsi="Times New Roman" w:eastAsia="仿宋" w:cs="Times New Roman"/>
          <w:kern w:val="0"/>
          <w:sz w:val="32"/>
          <w:szCs w:val="32"/>
          <w:lang w:val="en-US" w:eastAsia="zh-CN"/>
        </w:rPr>
        <w:t>线</w:t>
      </w:r>
      <w:r>
        <w:rPr>
          <w:rFonts w:hint="default" w:ascii="Times New Roman" w:hAnsi="Times New Roman" w:eastAsia="仿宋" w:cs="Times New Roman"/>
          <w:kern w:val="0"/>
          <w:sz w:val="32"/>
          <w:szCs w:val="32"/>
          <w:lang w:eastAsia="zh-CN"/>
        </w:rPr>
        <w:t>及</w:t>
      </w:r>
      <w:r>
        <w:rPr>
          <w:rFonts w:hint="default" w:ascii="Times New Roman" w:hAnsi="Times New Roman" w:eastAsia="仿宋" w:cs="Times New Roman"/>
          <w:bCs/>
          <w:sz w:val="32"/>
          <w:szCs w:val="32"/>
        </w:rPr>
        <w:t>工青妇</w:t>
      </w:r>
      <w:r>
        <w:rPr>
          <w:rFonts w:hint="default" w:ascii="Times New Roman" w:hAnsi="Times New Roman" w:eastAsia="仿宋" w:cs="Times New Roman"/>
          <w:kern w:val="0"/>
          <w:sz w:val="32"/>
          <w:szCs w:val="32"/>
        </w:rPr>
        <w:t>等工作</w:t>
      </w:r>
      <w:r>
        <w:rPr>
          <w:rFonts w:hint="default" w:ascii="Times New Roman" w:hAnsi="Times New Roman" w:eastAsia="仿宋" w:cs="Times New Roman"/>
          <w:kern w:val="0"/>
          <w:sz w:val="32"/>
          <w:szCs w:val="32"/>
          <w:lang w:eastAsia="zh-CN"/>
        </w:rPr>
        <w:t>。</w:t>
      </w:r>
      <w:r>
        <w:rPr>
          <w:rFonts w:hint="default" w:ascii="Times New Roman" w:hAnsi="Times New Roman" w:eastAsia="仿宋" w:cs="Times New Roman"/>
          <w:b w:val="0"/>
          <w:bCs w:val="0"/>
          <w:sz w:val="32"/>
          <w:szCs w:val="32"/>
          <w:lang w:val="en-US" w:eastAsia="zh-CN"/>
        </w:rPr>
        <w:t>积极开展“八五”普法工作，增强法治意识，推动法律法规宣传教育常态化长效化。</w:t>
      </w:r>
      <w:r>
        <w:rPr>
          <w:rFonts w:hint="default" w:ascii="Times New Roman" w:hAnsi="Times New Roman" w:eastAsia="仿宋" w:cs="Times New Roman"/>
          <w:kern w:val="0"/>
          <w:sz w:val="32"/>
          <w:szCs w:val="32"/>
          <w:lang w:eastAsia="zh-CN"/>
        </w:rPr>
        <w:t>落实</w:t>
      </w:r>
      <w:r>
        <w:rPr>
          <w:rFonts w:hint="default" w:ascii="Times New Roman" w:hAnsi="Times New Roman" w:eastAsia="仿宋" w:cs="Times New Roman"/>
          <w:kern w:val="0"/>
          <w:sz w:val="32"/>
          <w:szCs w:val="32"/>
        </w:rPr>
        <w:t>安</w:t>
      </w:r>
      <w:r>
        <w:rPr>
          <w:rFonts w:hint="default" w:ascii="Times New Roman" w:hAnsi="Times New Roman" w:eastAsia="仿宋" w:cs="Times New Roman"/>
          <w:b w:val="0"/>
          <w:bCs w:val="0"/>
          <w:sz w:val="32"/>
          <w:szCs w:val="32"/>
          <w:lang w:val="en-US" w:eastAsia="zh-CN"/>
        </w:rPr>
        <w:t>全生产责任制，建立健全安全生产长效机制，重点对农田项目施工开展安全生产检查，强化日常监督，营造安全发展环境，全年未发生安全生产和消防事故。</w:t>
      </w:r>
    </w:p>
    <w:p>
      <w:pPr>
        <w:spacing w:line="520" w:lineRule="exact"/>
        <w:ind w:firstLine="643" w:firstLineChars="200"/>
        <w:rPr>
          <w:rFonts w:hint="eastAsia" w:asciiTheme="majorEastAsia" w:hAnsiTheme="majorEastAsia" w:eastAsiaTheme="majorEastAsia"/>
          <w:b/>
          <w:sz w:val="32"/>
          <w:szCs w:val="32"/>
        </w:rPr>
      </w:pPr>
      <w:r>
        <w:rPr>
          <w:rFonts w:hint="eastAsia" w:asciiTheme="majorEastAsia" w:hAnsiTheme="majorEastAsia" w:eastAsiaTheme="majorEastAsia"/>
          <w:b/>
          <w:sz w:val="32"/>
          <w:szCs w:val="32"/>
          <w:lang w:eastAsia="zh-CN"/>
        </w:rPr>
        <w:t>五</w:t>
      </w:r>
      <w:r>
        <w:rPr>
          <w:rFonts w:hint="eastAsia" w:asciiTheme="majorEastAsia" w:hAnsiTheme="majorEastAsia" w:eastAsiaTheme="majorEastAsia"/>
          <w:b/>
          <w:sz w:val="32"/>
          <w:szCs w:val="32"/>
        </w:rPr>
        <w:t>、存在的问题</w:t>
      </w:r>
    </w:p>
    <w:p>
      <w:pPr>
        <w:spacing w:line="520" w:lineRule="exact"/>
        <w:ind w:firstLine="640" w:firstLineChars="200"/>
        <w:jc w:val="left"/>
        <w:outlineLvl w:val="0"/>
        <w:rPr>
          <w:rFonts w:hint="default"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1、预算执行存在偏差。随着部门职能职责的增加，刚性支出和重点项目投入也不断增加，资金缺口越来越大，本年度基本支出高于预算，</w:t>
      </w:r>
      <w:r>
        <w:rPr>
          <w:rFonts w:hint="eastAsia" w:ascii="仿宋_GB2312" w:hAnsi="宋体" w:eastAsia="仿宋_GB2312" w:cs="宋体"/>
          <w:color w:val="auto"/>
          <w:sz w:val="32"/>
          <w:szCs w:val="32"/>
          <w:highlight w:val="none"/>
          <w:lang w:val="en-US" w:eastAsia="zh-CN"/>
        </w:rPr>
        <w:t>主要为单位在2月份调入2名工作人员，但人员预算没有随调动转入我单位，使</w:t>
      </w:r>
      <w:r>
        <w:rPr>
          <w:rFonts w:hint="eastAsia" w:ascii="仿宋_GB2312" w:hAnsi="宋体" w:eastAsia="仿宋_GB2312" w:cs="宋体"/>
          <w:color w:val="auto"/>
          <w:sz w:val="32"/>
          <w:szCs w:val="32"/>
          <w:highlight w:val="none"/>
        </w:rPr>
        <w:t>预算编制与实际情</w:t>
      </w:r>
      <w:r>
        <w:rPr>
          <w:rFonts w:hint="eastAsia" w:ascii="仿宋_GB2312" w:hAnsi="宋体" w:eastAsia="仿宋_GB2312" w:cs="宋体"/>
          <w:color w:val="auto"/>
          <w:sz w:val="32"/>
          <w:szCs w:val="32"/>
          <w:highlight w:val="none"/>
          <w:lang w:eastAsia="zh-CN"/>
        </w:rPr>
        <w:t>况还</w:t>
      </w:r>
      <w:r>
        <w:rPr>
          <w:rFonts w:hint="eastAsia" w:ascii="仿宋_GB2312" w:hAnsi="宋体" w:eastAsia="仿宋_GB2312" w:cs="宋体"/>
          <w:color w:val="auto"/>
          <w:sz w:val="32"/>
          <w:szCs w:val="32"/>
          <w:highlight w:val="none"/>
        </w:rPr>
        <w:t>存在</w:t>
      </w:r>
      <w:r>
        <w:rPr>
          <w:rFonts w:hint="eastAsia" w:ascii="仿宋_GB2312" w:hAnsi="宋体" w:eastAsia="仿宋_GB2312" w:cs="宋体"/>
          <w:color w:val="auto"/>
          <w:sz w:val="32"/>
          <w:szCs w:val="32"/>
          <w:highlight w:val="none"/>
          <w:lang w:eastAsia="zh-CN"/>
        </w:rPr>
        <w:t>一定的</w:t>
      </w:r>
      <w:r>
        <w:rPr>
          <w:rFonts w:hint="eastAsia" w:ascii="仿宋_GB2312" w:hAnsi="宋体" w:eastAsia="仿宋_GB2312" w:cs="宋体"/>
          <w:color w:val="auto"/>
          <w:sz w:val="32"/>
          <w:szCs w:val="32"/>
          <w:highlight w:val="none"/>
        </w:rPr>
        <w:t>偏差，基本支出的控制和核算还有待进一步加强。项目支出预算资金</w:t>
      </w:r>
      <w:r>
        <w:rPr>
          <w:rFonts w:hint="eastAsia" w:ascii="仿宋_GB2312" w:hAnsi="宋体" w:eastAsia="仿宋_GB2312" w:cs="宋体"/>
          <w:color w:val="auto"/>
          <w:sz w:val="32"/>
          <w:szCs w:val="32"/>
          <w:highlight w:val="none"/>
          <w:lang w:eastAsia="zh-CN"/>
        </w:rPr>
        <w:t>因财政资金调度紧张，导致部分资金支出率较低，</w:t>
      </w:r>
      <w:r>
        <w:rPr>
          <w:rFonts w:hint="eastAsia" w:ascii="仿宋_GB2312" w:hAnsi="宋体" w:eastAsia="仿宋_GB2312" w:cs="宋体"/>
          <w:color w:val="auto"/>
          <w:sz w:val="32"/>
          <w:szCs w:val="32"/>
          <w:highlight w:val="none"/>
        </w:rPr>
        <w:t>结转资金金额较大，影响项目绩效目标的编制和绩效评价指标的分析。</w:t>
      </w:r>
    </w:p>
    <w:p>
      <w:pPr>
        <w:spacing w:line="520" w:lineRule="exact"/>
        <w:ind w:firstLine="640" w:firstLineChars="200"/>
        <w:jc w:val="left"/>
        <w:outlineLvl w:val="0"/>
        <w:rPr>
          <w:rFonts w:hint="default"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2、项目管理有待加强，</w:t>
      </w:r>
      <w:r>
        <w:rPr>
          <w:rFonts w:hint="eastAsia" w:ascii="仿宋_GB2312" w:hAnsi="宋体" w:eastAsia="仿宋_GB2312" w:cs="宋体"/>
          <w:color w:val="auto"/>
          <w:sz w:val="32"/>
          <w:szCs w:val="32"/>
          <w:highlight w:val="none"/>
          <w:lang w:eastAsia="zh-CN"/>
        </w:rPr>
        <w:t>不断完善</w:t>
      </w:r>
      <w:r>
        <w:rPr>
          <w:rFonts w:hint="eastAsia" w:ascii="仿宋_GB2312" w:hAnsi="宋体" w:eastAsia="仿宋_GB2312" w:cs="宋体"/>
          <w:color w:val="auto"/>
          <w:sz w:val="32"/>
          <w:szCs w:val="32"/>
          <w:highlight w:val="none"/>
        </w:rPr>
        <w:t>相应的</w:t>
      </w:r>
      <w:r>
        <w:rPr>
          <w:rFonts w:hint="eastAsia" w:ascii="仿宋_GB2312" w:hAnsi="宋体" w:eastAsia="仿宋_GB2312" w:cs="宋体"/>
          <w:color w:val="auto"/>
          <w:sz w:val="32"/>
          <w:szCs w:val="32"/>
          <w:highlight w:val="none"/>
          <w:lang w:eastAsia="zh-CN"/>
        </w:rPr>
        <w:t>项目</w:t>
      </w:r>
      <w:r>
        <w:rPr>
          <w:rFonts w:hint="eastAsia" w:ascii="仿宋_GB2312" w:hAnsi="宋体" w:eastAsia="仿宋_GB2312" w:cs="宋体"/>
          <w:color w:val="auto"/>
          <w:sz w:val="32"/>
          <w:szCs w:val="32"/>
          <w:highlight w:val="none"/>
        </w:rPr>
        <w:t>管理制度</w:t>
      </w:r>
      <w:r>
        <w:rPr>
          <w:rFonts w:hint="eastAsia" w:ascii="仿宋_GB2312" w:hAnsi="宋体" w:eastAsia="仿宋_GB2312" w:cs="宋体"/>
          <w:color w:val="auto"/>
          <w:sz w:val="32"/>
          <w:szCs w:val="32"/>
          <w:highlight w:val="none"/>
          <w:lang w:eastAsia="zh-CN"/>
        </w:rPr>
        <w:t>，合理分配和调度项目资金</w:t>
      </w:r>
      <w:r>
        <w:rPr>
          <w:rFonts w:hint="eastAsia" w:ascii="仿宋_GB2312" w:hAnsi="宋体" w:eastAsia="仿宋_GB2312" w:cs="宋体"/>
          <w:color w:val="auto"/>
          <w:sz w:val="32"/>
          <w:szCs w:val="32"/>
          <w:highlight w:val="none"/>
        </w:rPr>
        <w:t>。</w:t>
      </w:r>
    </w:p>
    <w:p>
      <w:pPr>
        <w:spacing w:line="520" w:lineRule="exact"/>
        <w:ind w:firstLine="643" w:firstLineChars="200"/>
        <w:rPr>
          <w:rFonts w:hint="default" w:asciiTheme="majorEastAsia" w:hAnsiTheme="majorEastAsia" w:eastAsiaTheme="majorEastAsia"/>
          <w:b/>
          <w:sz w:val="32"/>
          <w:szCs w:val="32"/>
          <w:lang w:eastAsia="zh-CN"/>
        </w:rPr>
      </w:pPr>
      <w:r>
        <w:rPr>
          <w:rFonts w:hint="eastAsia" w:asciiTheme="majorEastAsia" w:hAnsiTheme="majorEastAsia" w:eastAsiaTheme="majorEastAsia"/>
          <w:b/>
          <w:sz w:val="32"/>
          <w:szCs w:val="32"/>
          <w:lang w:eastAsia="zh-CN"/>
        </w:rPr>
        <w:t>六、改进措施</w:t>
      </w:r>
    </w:p>
    <w:p>
      <w:pPr>
        <w:spacing w:line="520" w:lineRule="exact"/>
        <w:ind w:firstLine="640" w:firstLineChars="200"/>
        <w:jc w:val="left"/>
        <w:outlineLvl w:val="0"/>
        <w:rPr>
          <w:rFonts w:hint="default"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1、随着刚性支出和重点项目投入的增加，资金缺口越来越大，建议增收节支，尽量减少非生产性开支。</w:t>
      </w:r>
    </w:p>
    <w:p>
      <w:pPr>
        <w:spacing w:line="520" w:lineRule="exact"/>
        <w:ind w:firstLine="640" w:firstLineChars="200"/>
        <w:jc w:val="left"/>
        <w:outlineLvl w:val="0"/>
        <w:rPr>
          <w:rFonts w:hint="default"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2、加强对项目的日常管理和监督，做到专款专用，专项管理。</w:t>
      </w:r>
    </w:p>
    <w:p>
      <w:pPr>
        <w:spacing w:line="520" w:lineRule="exact"/>
        <w:ind w:firstLine="643" w:firstLineChars="200"/>
        <w:rPr>
          <w:rFonts w:hint="default" w:asciiTheme="majorEastAsia" w:hAnsiTheme="majorEastAsia" w:eastAsiaTheme="majorEastAsia"/>
          <w:b/>
          <w:sz w:val="32"/>
          <w:szCs w:val="32"/>
          <w:lang w:eastAsia="zh-CN"/>
        </w:rPr>
      </w:pPr>
      <w:r>
        <w:rPr>
          <w:rFonts w:hint="eastAsia" w:asciiTheme="majorEastAsia" w:hAnsiTheme="majorEastAsia" w:eastAsiaTheme="majorEastAsia"/>
          <w:b/>
          <w:sz w:val="32"/>
          <w:szCs w:val="32"/>
          <w:lang w:eastAsia="zh-CN"/>
        </w:rPr>
        <w:t>七、报告附表</w:t>
      </w:r>
    </w:p>
    <w:p>
      <w:pPr>
        <w:spacing w:line="520" w:lineRule="exact"/>
        <w:ind w:firstLine="640" w:firstLineChars="200"/>
        <w:jc w:val="left"/>
        <w:outlineLvl w:val="0"/>
        <w:rPr>
          <w:rFonts w:hint="default"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1、</w:t>
      </w:r>
      <w:r>
        <w:rPr>
          <w:rFonts w:hint="eastAsia" w:ascii="仿宋_GB2312" w:hAnsi="宋体" w:eastAsia="仿宋_GB2312" w:cs="宋体"/>
          <w:color w:val="auto"/>
          <w:sz w:val="32"/>
          <w:szCs w:val="32"/>
          <w:highlight w:val="none"/>
          <w:lang w:val="en-US" w:eastAsia="zh-CN"/>
        </w:rPr>
        <w:t>2023年</w:t>
      </w:r>
      <w:r>
        <w:rPr>
          <w:rFonts w:hint="eastAsia" w:ascii="仿宋_GB2312" w:hAnsi="宋体" w:eastAsia="仿宋_GB2312" w:cs="宋体"/>
          <w:color w:val="auto"/>
          <w:sz w:val="32"/>
          <w:szCs w:val="32"/>
          <w:highlight w:val="none"/>
        </w:rPr>
        <w:t>部门整体支出基础数据表</w:t>
      </w:r>
    </w:p>
    <w:p>
      <w:pPr>
        <w:spacing w:line="520" w:lineRule="exact"/>
        <w:ind w:firstLine="640" w:firstLineChars="200"/>
        <w:jc w:val="left"/>
        <w:outlineLvl w:val="0"/>
        <w:rPr>
          <w:rFonts w:hint="default"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2、</w:t>
      </w:r>
      <w:r>
        <w:rPr>
          <w:rFonts w:hint="eastAsia" w:ascii="仿宋_GB2312" w:hAnsi="宋体" w:eastAsia="仿宋_GB2312" w:cs="宋体"/>
          <w:color w:val="auto"/>
          <w:sz w:val="32"/>
          <w:szCs w:val="32"/>
          <w:highlight w:val="none"/>
          <w:lang w:val="en-US" w:eastAsia="zh-CN"/>
        </w:rPr>
        <w:t>2023年</w:t>
      </w:r>
      <w:r>
        <w:rPr>
          <w:rFonts w:hint="eastAsia" w:ascii="仿宋_GB2312" w:hAnsi="宋体" w:eastAsia="仿宋_GB2312" w:cs="宋体"/>
          <w:color w:val="auto"/>
          <w:sz w:val="32"/>
          <w:szCs w:val="32"/>
          <w:highlight w:val="none"/>
        </w:rPr>
        <w:t>部门整体支出绩效评价指标完成情况评分表</w:t>
      </w:r>
    </w:p>
    <w:p>
      <w:pPr>
        <w:pBdr>
          <w:bottom w:val="single" w:color="FFFFFF" w:sz="4" w:space="31"/>
        </w:pBdr>
        <w:tabs>
          <w:tab w:val="left" w:pos="1440"/>
        </w:tabs>
        <w:spacing w:line="600" w:lineRule="exact"/>
        <w:ind w:firstLine="640" w:firstLineChars="200"/>
        <w:jc w:val="right"/>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 xml:space="preserve">               </w:t>
      </w:r>
    </w:p>
    <w:p>
      <w:pPr>
        <w:pBdr>
          <w:bottom w:val="single" w:color="FFFFFF" w:sz="4" w:space="31"/>
        </w:pBdr>
        <w:tabs>
          <w:tab w:val="left" w:pos="1440"/>
        </w:tabs>
        <w:spacing w:line="600" w:lineRule="exact"/>
        <w:ind w:firstLine="640" w:firstLineChars="200"/>
        <w:jc w:val="right"/>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rPr>
        <w:t xml:space="preserve">  湘潭县</w:t>
      </w:r>
      <w:r>
        <w:rPr>
          <w:rFonts w:hint="eastAsia" w:ascii="Times New Roman" w:hAnsi="Times New Roman" w:eastAsia="仿宋_GB2312" w:cs="Times New Roman"/>
          <w:color w:val="auto"/>
          <w:sz w:val="32"/>
          <w:szCs w:val="32"/>
          <w:lang w:val="en-US" w:eastAsia="zh-CN"/>
        </w:rPr>
        <w:t>农业发展服务中心</w:t>
      </w:r>
    </w:p>
    <w:p>
      <w:pPr>
        <w:pBdr>
          <w:bottom w:val="single" w:color="FFFFFF" w:sz="4" w:space="31"/>
        </w:pBdr>
        <w:tabs>
          <w:tab w:val="left" w:pos="1440"/>
        </w:tabs>
        <w:spacing w:line="600" w:lineRule="exact"/>
        <w:ind w:firstLine="640" w:firstLineChars="200"/>
        <w:jc w:val="right"/>
        <w:rPr>
          <w:rFonts w:hint="default"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 xml:space="preserve">           202</w:t>
      </w:r>
      <w:r>
        <w:rPr>
          <w:rFonts w:hint="eastAsia" w:ascii="Times New Roman" w:hAnsi="Times New Roman" w:eastAsia="仿宋_GB2312" w:cs="Times New Roman"/>
          <w:color w:val="auto"/>
          <w:sz w:val="32"/>
          <w:szCs w:val="32"/>
          <w:lang w:val="en-US" w:eastAsia="zh-CN"/>
        </w:rPr>
        <w:t>3</w:t>
      </w:r>
      <w:r>
        <w:rPr>
          <w:rFonts w:hint="eastAsia" w:ascii="Times New Roman" w:hAnsi="Times New Roman" w:eastAsia="仿宋_GB2312" w:cs="Times New Roman"/>
          <w:color w:val="auto"/>
          <w:sz w:val="32"/>
          <w:szCs w:val="32"/>
        </w:rPr>
        <w:t>年5月</w:t>
      </w:r>
      <w:r>
        <w:rPr>
          <w:rFonts w:hint="eastAsia" w:ascii="Times New Roman" w:hAnsi="Times New Roman" w:eastAsia="仿宋_GB2312" w:cs="Times New Roman"/>
          <w:color w:val="auto"/>
          <w:sz w:val="32"/>
          <w:szCs w:val="32"/>
          <w:lang w:val="en-US" w:eastAsia="zh-CN"/>
        </w:rPr>
        <w:t>29</w:t>
      </w:r>
      <w:r>
        <w:rPr>
          <w:rFonts w:hint="eastAsia" w:ascii="Times New Roman" w:hAnsi="Times New Roman" w:eastAsia="仿宋_GB2312" w:cs="Times New Roman"/>
          <w:color w:val="auto"/>
          <w:sz w:val="32"/>
          <w:szCs w:val="32"/>
        </w:rPr>
        <w:t>日</w:t>
      </w:r>
    </w:p>
    <w:p>
      <w:pPr>
        <w:pStyle w:val="17"/>
        <w:ind w:firstLine="160" w:firstLineChars="50"/>
        <w:rPr>
          <w:rFonts w:hint="eastAsia" w:ascii="仿宋_GB2312" w:hAnsi="仿宋" w:eastAsia="仿宋_GB2312"/>
          <w:kern w:val="0"/>
          <w:sz w:val="32"/>
          <w:szCs w:val="32"/>
        </w:rPr>
      </w:pPr>
    </w:p>
    <w:p>
      <w:pPr>
        <w:pStyle w:val="17"/>
        <w:ind w:firstLine="160" w:firstLineChars="50"/>
        <w:rPr>
          <w:rFonts w:hint="eastAsia" w:ascii="仿宋_GB2312" w:hAnsi="仿宋" w:eastAsia="仿宋_GB2312"/>
          <w:kern w:val="0"/>
          <w:sz w:val="32"/>
          <w:szCs w:val="32"/>
        </w:rPr>
      </w:pPr>
    </w:p>
    <w:p>
      <w:pPr>
        <w:pStyle w:val="17"/>
        <w:ind w:firstLine="160" w:firstLineChars="50"/>
        <w:rPr>
          <w:rFonts w:hint="eastAsia" w:ascii="仿宋_GB2312" w:hAnsi="仿宋" w:eastAsia="仿宋_GB2312"/>
          <w:kern w:val="0"/>
          <w:sz w:val="32"/>
          <w:szCs w:val="32"/>
        </w:rPr>
      </w:pPr>
    </w:p>
    <w:p>
      <w:pPr>
        <w:pStyle w:val="17"/>
        <w:ind w:firstLine="160" w:firstLineChars="50"/>
        <w:rPr>
          <w:rFonts w:hint="eastAsia" w:ascii="仿宋_GB2312" w:hAnsi="仿宋" w:eastAsia="仿宋_GB2312"/>
          <w:kern w:val="0"/>
          <w:sz w:val="32"/>
          <w:szCs w:val="32"/>
        </w:rPr>
      </w:pPr>
    </w:p>
    <w:p>
      <w:pPr>
        <w:pStyle w:val="17"/>
        <w:ind w:firstLine="160" w:firstLineChars="50"/>
        <w:rPr>
          <w:rFonts w:hint="eastAsia" w:ascii="仿宋_GB2312" w:hAnsi="仿宋" w:eastAsia="仿宋_GB2312"/>
          <w:kern w:val="0"/>
          <w:sz w:val="32"/>
          <w:szCs w:val="32"/>
        </w:rPr>
      </w:pPr>
    </w:p>
    <w:p>
      <w:pPr>
        <w:pStyle w:val="17"/>
        <w:ind w:firstLine="160" w:firstLineChars="50"/>
        <w:rPr>
          <w:rFonts w:hint="eastAsia" w:ascii="仿宋_GB2312" w:hAnsi="仿宋" w:eastAsia="仿宋_GB2312"/>
          <w:kern w:val="0"/>
          <w:sz w:val="32"/>
          <w:szCs w:val="32"/>
        </w:rPr>
      </w:pPr>
    </w:p>
    <w:p>
      <w:pPr>
        <w:pStyle w:val="17"/>
        <w:rPr>
          <w:rFonts w:hint="eastAsia" w:ascii="仿宋_GB2312" w:hAnsi="仿宋" w:eastAsia="仿宋_GB2312"/>
          <w:kern w:val="0"/>
          <w:sz w:val="32"/>
          <w:szCs w:val="32"/>
          <w:lang w:val="en-US" w:eastAsia="zh-CN"/>
        </w:rPr>
      </w:pPr>
      <w:r>
        <w:rPr>
          <w:rFonts w:hint="eastAsia" w:ascii="仿宋_GB2312" w:hAnsi="仿宋" w:eastAsia="仿宋_GB2312"/>
          <w:kern w:val="0"/>
          <w:sz w:val="32"/>
          <w:szCs w:val="32"/>
        </w:rPr>
        <w:t>附件1</w:t>
      </w:r>
      <w:r>
        <w:rPr>
          <w:rFonts w:hint="eastAsia" w:ascii="仿宋_GB2312" w:hAnsi="仿宋" w:eastAsia="仿宋_GB2312"/>
          <w:kern w:val="0"/>
          <w:sz w:val="32"/>
          <w:szCs w:val="32"/>
          <w:lang w:val="en-US" w:eastAsia="zh-CN"/>
        </w:rPr>
        <w:t xml:space="preserve"> </w:t>
      </w:r>
    </w:p>
    <w:p>
      <w:pPr>
        <w:pStyle w:val="17"/>
        <w:jc w:val="center"/>
        <w:rPr>
          <w:rFonts w:hint="eastAsia" w:ascii="宋体" w:hAnsi="宋体" w:eastAsia="宋体" w:cs="宋体"/>
          <w:b/>
          <w:kern w:val="0"/>
          <w:sz w:val="36"/>
          <w:szCs w:val="36"/>
        </w:rPr>
      </w:pPr>
      <w:r>
        <w:rPr>
          <w:rFonts w:hint="eastAsia" w:ascii="宋体" w:hAnsi="宋体" w:eastAsia="宋体" w:cs="宋体"/>
          <w:b/>
          <w:kern w:val="0"/>
          <w:sz w:val="36"/>
          <w:szCs w:val="36"/>
        </w:rPr>
        <w:t>湘潭县</w:t>
      </w:r>
      <w:r>
        <w:rPr>
          <w:rFonts w:hint="eastAsia" w:ascii="宋体" w:hAnsi="宋体" w:cs="宋体"/>
          <w:b/>
          <w:kern w:val="0"/>
          <w:sz w:val="36"/>
          <w:szCs w:val="36"/>
          <w:lang w:val="en-US" w:eastAsia="zh-CN"/>
        </w:rPr>
        <w:t>农业发展服务中心</w:t>
      </w:r>
      <w:r>
        <w:rPr>
          <w:rFonts w:hint="eastAsia" w:ascii="宋体" w:hAnsi="宋体" w:eastAsia="宋体" w:cs="宋体"/>
          <w:b/>
          <w:kern w:val="0"/>
          <w:sz w:val="36"/>
          <w:szCs w:val="36"/>
          <w:lang w:val="en-US" w:eastAsia="zh-CN"/>
        </w:rPr>
        <w:t>202</w:t>
      </w:r>
      <w:r>
        <w:rPr>
          <w:rFonts w:hint="eastAsia" w:ascii="宋体" w:hAnsi="宋体" w:cs="宋体"/>
          <w:b/>
          <w:kern w:val="0"/>
          <w:sz w:val="36"/>
          <w:szCs w:val="36"/>
          <w:lang w:val="en-US" w:eastAsia="zh-CN"/>
        </w:rPr>
        <w:t>3</w:t>
      </w:r>
      <w:r>
        <w:rPr>
          <w:rFonts w:hint="eastAsia" w:ascii="宋体" w:hAnsi="宋体" w:eastAsia="宋体" w:cs="宋体"/>
          <w:b/>
          <w:kern w:val="0"/>
          <w:sz w:val="36"/>
          <w:szCs w:val="36"/>
          <w:lang w:val="en-US" w:eastAsia="zh-CN"/>
        </w:rPr>
        <w:t>年</w:t>
      </w:r>
      <w:r>
        <w:rPr>
          <w:rFonts w:hint="eastAsia" w:ascii="宋体" w:hAnsi="宋体" w:eastAsia="宋体" w:cs="宋体"/>
          <w:b/>
          <w:kern w:val="0"/>
          <w:sz w:val="36"/>
          <w:szCs w:val="36"/>
        </w:rPr>
        <w:t>部门整体支出</w:t>
      </w:r>
    </w:p>
    <w:p>
      <w:pPr>
        <w:pStyle w:val="17"/>
        <w:jc w:val="center"/>
        <w:rPr>
          <w:rFonts w:hint="eastAsia" w:ascii="宋体" w:hAnsi="宋体" w:eastAsia="宋体" w:cs="宋体"/>
          <w:b/>
          <w:kern w:val="0"/>
          <w:sz w:val="36"/>
          <w:szCs w:val="36"/>
        </w:rPr>
      </w:pPr>
      <w:r>
        <w:rPr>
          <w:rFonts w:hint="eastAsia" w:ascii="宋体" w:hAnsi="宋体" w:eastAsia="宋体" w:cs="宋体"/>
          <w:b/>
          <w:kern w:val="0"/>
          <w:sz w:val="36"/>
          <w:szCs w:val="36"/>
        </w:rPr>
        <w:t>基础数据表</w:t>
      </w:r>
    </w:p>
    <w:p>
      <w:pPr>
        <w:spacing w:line="60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1、年初预算安排明细情况</w:t>
      </w:r>
    </w:p>
    <w:tbl>
      <w:tblPr>
        <w:tblStyle w:val="10"/>
        <w:tblpPr w:leftFromText="180" w:rightFromText="180" w:vertAnchor="text" w:horzAnchor="page" w:tblpX="1432" w:tblpY="553"/>
        <w:tblOverlap w:val="never"/>
        <w:tblW w:w="9040" w:type="dxa"/>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6609"/>
        <w:gridCol w:w="2431"/>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609" w:type="dxa"/>
            <w:tcBorders>
              <w:top w:val="single" w:color="auto" w:sz="12" w:space="0"/>
            </w:tcBorders>
            <w:vAlign w:val="center"/>
          </w:tcPr>
          <w:p>
            <w:pPr>
              <w:spacing w:line="60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预算支出类型</w:t>
            </w:r>
          </w:p>
        </w:tc>
        <w:tc>
          <w:tcPr>
            <w:tcW w:w="2431" w:type="dxa"/>
            <w:tcBorders>
              <w:top w:val="single" w:color="auto" w:sz="12" w:space="0"/>
            </w:tcBorders>
            <w:vAlign w:val="center"/>
          </w:tcPr>
          <w:p>
            <w:pPr>
              <w:spacing w:line="60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金额（</w:t>
            </w:r>
            <w:r>
              <w:rPr>
                <w:rFonts w:hint="eastAsia" w:ascii="仿宋_GB2312" w:hAnsi="仿宋_GB2312" w:eastAsia="仿宋_GB2312" w:cs="仿宋_GB2312"/>
                <w:sz w:val="28"/>
                <w:szCs w:val="28"/>
                <w:lang w:eastAsia="zh-CN"/>
              </w:rPr>
              <w:t>万</w:t>
            </w:r>
            <w:r>
              <w:rPr>
                <w:rFonts w:hint="eastAsia" w:ascii="仿宋_GB2312" w:hAnsi="仿宋_GB2312" w:eastAsia="仿宋_GB2312" w:cs="仿宋_GB2312"/>
                <w:sz w:val="28"/>
                <w:szCs w:val="28"/>
              </w:rPr>
              <w:t>元）</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609" w:type="dxa"/>
            <w:vAlign w:val="center"/>
          </w:tcPr>
          <w:p>
            <w:pPr>
              <w:spacing w:line="6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一、基本支出</w:t>
            </w:r>
          </w:p>
        </w:tc>
        <w:tc>
          <w:tcPr>
            <w:tcW w:w="2431" w:type="dxa"/>
            <w:vAlign w:val="center"/>
          </w:tcPr>
          <w:p>
            <w:pPr>
              <w:spacing w:line="600" w:lineRule="exact"/>
              <w:jc w:val="righ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b/>
                <w:bCs/>
                <w:kern w:val="2"/>
                <w:sz w:val="24"/>
                <w:szCs w:val="24"/>
                <w:lang w:val="en-US" w:eastAsia="zh-CN" w:bidi="ar-SA"/>
              </w:rPr>
              <w:t>387.61</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609" w:type="dxa"/>
            <w:vAlign w:val="center"/>
          </w:tcPr>
          <w:p>
            <w:pPr>
              <w:spacing w:line="600" w:lineRule="exact"/>
              <w:rPr>
                <w:rFonts w:ascii="仿宋_GB2312" w:hAnsi="仿宋_GB2312" w:eastAsia="仿宋_GB2312" w:cs="仿宋_GB2312"/>
                <w:sz w:val="28"/>
                <w:szCs w:val="28"/>
              </w:rPr>
            </w:pPr>
            <w:r>
              <w:rPr>
                <w:rFonts w:ascii="仿宋_GB2312" w:hAnsi="仿宋_GB2312" w:eastAsia="仿宋_GB2312" w:cs="仿宋_GB2312"/>
                <w:sz w:val="28"/>
                <w:szCs w:val="28"/>
              </w:rPr>
              <w:t>1</w:t>
            </w:r>
            <w:r>
              <w:rPr>
                <w:rFonts w:hint="eastAsia" w:ascii="仿宋_GB2312" w:hAnsi="仿宋_GB2312" w:eastAsia="仿宋_GB2312" w:cs="仿宋_GB2312"/>
                <w:sz w:val="28"/>
                <w:szCs w:val="28"/>
              </w:rPr>
              <w:t>、工资福利支出</w:t>
            </w:r>
          </w:p>
        </w:tc>
        <w:tc>
          <w:tcPr>
            <w:tcW w:w="2431" w:type="dxa"/>
            <w:vAlign w:val="center"/>
          </w:tcPr>
          <w:p>
            <w:pPr>
              <w:pStyle w:val="17"/>
              <w:jc w:val="right"/>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333.64</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609" w:type="dxa"/>
            <w:vAlign w:val="center"/>
          </w:tcPr>
          <w:p>
            <w:pPr>
              <w:spacing w:line="600" w:lineRule="exact"/>
              <w:rPr>
                <w:rFonts w:ascii="仿宋_GB2312" w:hAnsi="仿宋_GB2312" w:eastAsia="仿宋_GB2312" w:cs="仿宋_GB2312"/>
                <w:sz w:val="28"/>
                <w:szCs w:val="28"/>
              </w:rPr>
            </w:pPr>
            <w:r>
              <w:rPr>
                <w:rFonts w:ascii="仿宋_GB2312" w:hAnsi="仿宋_GB2312" w:eastAsia="仿宋_GB2312" w:cs="仿宋_GB2312"/>
                <w:sz w:val="28"/>
                <w:szCs w:val="28"/>
              </w:rPr>
              <w:t>2</w:t>
            </w:r>
            <w:r>
              <w:rPr>
                <w:rFonts w:hint="eastAsia" w:ascii="仿宋_GB2312" w:hAnsi="仿宋_GB2312" w:eastAsia="仿宋_GB2312" w:cs="仿宋_GB2312"/>
                <w:sz w:val="28"/>
                <w:szCs w:val="28"/>
              </w:rPr>
              <w:t>、商品和服务支出</w:t>
            </w:r>
          </w:p>
        </w:tc>
        <w:tc>
          <w:tcPr>
            <w:tcW w:w="2431" w:type="dxa"/>
            <w:vAlign w:val="center"/>
          </w:tcPr>
          <w:p>
            <w:pPr>
              <w:pStyle w:val="17"/>
              <w:jc w:val="right"/>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52.17</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609" w:type="dxa"/>
            <w:vAlign w:val="center"/>
          </w:tcPr>
          <w:p>
            <w:pPr>
              <w:spacing w:line="6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、对个人和家庭的补助</w:t>
            </w:r>
          </w:p>
        </w:tc>
        <w:tc>
          <w:tcPr>
            <w:tcW w:w="2431" w:type="dxa"/>
            <w:vAlign w:val="center"/>
          </w:tcPr>
          <w:p>
            <w:pPr>
              <w:spacing w:line="600" w:lineRule="exact"/>
              <w:jc w:val="right"/>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1.8</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6609" w:type="dxa"/>
            <w:vAlign w:val="center"/>
          </w:tcPr>
          <w:p>
            <w:pPr>
              <w:spacing w:line="6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基本支出小计</w:t>
            </w:r>
          </w:p>
        </w:tc>
        <w:tc>
          <w:tcPr>
            <w:tcW w:w="2431" w:type="dxa"/>
            <w:vAlign w:val="center"/>
          </w:tcPr>
          <w:p>
            <w:pPr>
              <w:spacing w:line="600" w:lineRule="exact"/>
              <w:jc w:val="right"/>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387.61</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609" w:type="dxa"/>
            <w:vAlign w:val="center"/>
          </w:tcPr>
          <w:p>
            <w:pPr>
              <w:spacing w:line="600" w:lineRule="exact"/>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二、项目支出</w:t>
            </w:r>
          </w:p>
        </w:tc>
        <w:tc>
          <w:tcPr>
            <w:tcW w:w="2431" w:type="dxa"/>
            <w:vAlign w:val="center"/>
          </w:tcPr>
          <w:p>
            <w:pPr>
              <w:tabs>
                <w:tab w:val="left" w:pos="4053"/>
                <w:tab w:val="left" w:pos="4161"/>
              </w:tabs>
              <w:spacing w:line="600" w:lineRule="exact"/>
              <w:jc w:val="righ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b/>
                <w:bCs/>
                <w:sz w:val="24"/>
                <w:szCs w:val="24"/>
                <w:lang w:val="en-US" w:eastAsia="zh-CN"/>
              </w:rPr>
              <w:t>14.6</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34" w:hRule="atLeast"/>
        </w:trPr>
        <w:tc>
          <w:tcPr>
            <w:tcW w:w="6609" w:type="dxa"/>
            <w:vAlign w:val="center"/>
          </w:tcPr>
          <w:p>
            <w:pPr>
              <w:widowControl/>
              <w:shd w:val="clear" w:color="auto" w:fill="FFFFFF"/>
              <w:spacing w:line="480" w:lineRule="auto"/>
              <w:rPr>
                <w:rFonts w:hint="eastAsia" w:ascii="仿宋_GB2312" w:hAnsi="仿宋_GB2312" w:eastAsia="仿宋_GB2312" w:cs="仿宋_GB2312"/>
                <w:sz w:val="28"/>
                <w:szCs w:val="28"/>
                <w:lang w:eastAsia="zh-CN"/>
              </w:rPr>
            </w:pPr>
            <w:r>
              <w:rPr>
                <w:rFonts w:hint="eastAsia" w:ascii="仿宋" w:hAnsi="仿宋" w:eastAsia="仿宋" w:cs="仿宋"/>
                <w:color w:val="333333"/>
                <w:kern w:val="0"/>
                <w:sz w:val="32"/>
                <w:szCs w:val="32"/>
                <w:lang w:val="en-US" w:eastAsia="zh-CN"/>
              </w:rPr>
              <w:t>农民负担监督专项经费</w:t>
            </w:r>
          </w:p>
        </w:tc>
        <w:tc>
          <w:tcPr>
            <w:tcW w:w="2431" w:type="dxa"/>
            <w:vAlign w:val="center"/>
          </w:tcPr>
          <w:p>
            <w:pPr>
              <w:tabs>
                <w:tab w:val="left" w:pos="4053"/>
                <w:tab w:val="left" w:pos="4161"/>
              </w:tabs>
              <w:spacing w:line="600" w:lineRule="exact"/>
              <w:jc w:val="righ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6.6</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609" w:type="dxa"/>
            <w:vAlign w:val="center"/>
          </w:tcPr>
          <w:p>
            <w:pPr>
              <w:widowControl/>
              <w:shd w:val="clear" w:color="auto" w:fill="FFFFFF"/>
              <w:spacing w:line="480" w:lineRule="auto"/>
              <w:rPr>
                <w:rFonts w:hint="eastAsia" w:ascii="仿宋_GB2312" w:hAnsi="仿宋_GB2312" w:eastAsia="仿宋_GB2312" w:cs="仿宋_GB2312"/>
                <w:sz w:val="28"/>
                <w:szCs w:val="28"/>
                <w:lang w:eastAsia="zh-CN"/>
              </w:rPr>
            </w:pPr>
            <w:r>
              <w:rPr>
                <w:rFonts w:hint="eastAsia" w:ascii="仿宋" w:hAnsi="仿宋" w:eastAsia="仿宋" w:cs="仿宋"/>
                <w:color w:val="333333"/>
                <w:kern w:val="0"/>
                <w:sz w:val="32"/>
                <w:szCs w:val="32"/>
                <w:lang w:val="en-US" w:eastAsia="zh-CN"/>
              </w:rPr>
              <w:t>土地流转与仲裁专项工作经费</w:t>
            </w:r>
          </w:p>
        </w:tc>
        <w:tc>
          <w:tcPr>
            <w:tcW w:w="2431" w:type="dxa"/>
            <w:vAlign w:val="center"/>
          </w:tcPr>
          <w:p>
            <w:pPr>
              <w:tabs>
                <w:tab w:val="left" w:pos="4053"/>
                <w:tab w:val="left" w:pos="4161"/>
              </w:tabs>
              <w:spacing w:line="600" w:lineRule="exact"/>
              <w:jc w:val="righ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609" w:type="dxa"/>
            <w:vAlign w:val="center"/>
          </w:tcPr>
          <w:p>
            <w:pPr>
              <w:spacing w:line="6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项目支出小计</w:t>
            </w:r>
          </w:p>
        </w:tc>
        <w:tc>
          <w:tcPr>
            <w:tcW w:w="2431" w:type="dxa"/>
            <w:vAlign w:val="center"/>
          </w:tcPr>
          <w:p>
            <w:pPr>
              <w:tabs>
                <w:tab w:val="left" w:pos="4053"/>
                <w:tab w:val="left" w:pos="4161"/>
              </w:tabs>
              <w:spacing w:line="600" w:lineRule="exact"/>
              <w:jc w:val="righ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14.6</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609" w:type="dxa"/>
            <w:tcBorders>
              <w:bottom w:val="single" w:color="auto" w:sz="12" w:space="0"/>
            </w:tcBorders>
            <w:vAlign w:val="center"/>
          </w:tcPr>
          <w:p>
            <w:pPr>
              <w:spacing w:line="6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总</w:t>
            </w: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计</w:t>
            </w:r>
          </w:p>
        </w:tc>
        <w:tc>
          <w:tcPr>
            <w:tcW w:w="2431" w:type="dxa"/>
            <w:tcBorders>
              <w:bottom w:val="single" w:color="auto" w:sz="12" w:space="0"/>
            </w:tcBorders>
            <w:vAlign w:val="center"/>
          </w:tcPr>
          <w:p>
            <w:pPr>
              <w:tabs>
                <w:tab w:val="left" w:pos="4053"/>
                <w:tab w:val="left" w:pos="4161"/>
              </w:tabs>
              <w:spacing w:line="600" w:lineRule="exact"/>
              <w:jc w:val="right"/>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b/>
                <w:bCs/>
                <w:sz w:val="24"/>
                <w:szCs w:val="24"/>
                <w:highlight w:val="none"/>
                <w:lang w:val="en-US" w:eastAsia="zh-CN"/>
              </w:rPr>
              <w:t>402.21</w:t>
            </w:r>
          </w:p>
        </w:tc>
      </w:tr>
    </w:tbl>
    <w:p>
      <w:pPr>
        <w:pStyle w:val="17"/>
        <w:spacing w:line="600" w:lineRule="exact"/>
        <w:rPr>
          <w:rFonts w:ascii="仿宋_GB2312" w:hAnsi="仿宋_GB2312" w:eastAsia="仿宋_GB2312" w:cs="仿宋_GB2312"/>
          <w:kern w:val="0"/>
          <w:sz w:val="28"/>
          <w:szCs w:val="28"/>
        </w:rPr>
      </w:pPr>
      <w:r>
        <w:rPr>
          <w:rFonts w:ascii="仿宋_GB2312" w:hAnsi="仿宋_GB2312" w:eastAsia="仿宋_GB2312" w:cs="仿宋_GB2312"/>
          <w:kern w:val="0"/>
          <w:sz w:val="28"/>
          <w:szCs w:val="28"/>
        </w:rPr>
        <w:t>2</w:t>
      </w:r>
      <w:r>
        <w:rPr>
          <w:rFonts w:hint="eastAsia" w:ascii="仿宋_GB2312" w:hAnsi="仿宋_GB2312" w:eastAsia="仿宋_GB2312" w:cs="仿宋_GB2312"/>
          <w:kern w:val="0"/>
          <w:sz w:val="28"/>
          <w:szCs w:val="28"/>
        </w:rPr>
        <w:t>、</w:t>
      </w:r>
      <w:r>
        <w:rPr>
          <w:rFonts w:ascii="仿宋_GB2312" w:hAnsi="仿宋_GB2312" w:eastAsia="仿宋_GB2312" w:cs="仿宋_GB2312"/>
          <w:kern w:val="0"/>
          <w:sz w:val="28"/>
          <w:szCs w:val="28"/>
        </w:rPr>
        <w:t xml:space="preserve"> </w:t>
      </w:r>
      <w:r>
        <w:rPr>
          <w:rFonts w:hint="eastAsia" w:ascii="仿宋_GB2312" w:hAnsi="仿宋_GB2312" w:eastAsia="仿宋_GB2312" w:cs="仿宋_GB2312"/>
          <w:kern w:val="0"/>
          <w:sz w:val="28"/>
          <w:szCs w:val="28"/>
        </w:rPr>
        <w:t>全年预算安排明细情况：（年度预算报表填列）</w:t>
      </w:r>
    </w:p>
    <w:tbl>
      <w:tblPr>
        <w:tblStyle w:val="10"/>
        <w:tblW w:w="9194" w:type="dxa"/>
        <w:tblInd w:w="-411"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6498"/>
        <w:gridCol w:w="2696"/>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PrEx>
        <w:trPr>
          <w:trHeight w:val="562" w:hRule="atLeast"/>
        </w:trPr>
        <w:tc>
          <w:tcPr>
            <w:tcW w:w="6498" w:type="dxa"/>
            <w:tcBorders>
              <w:top w:val="single" w:color="auto" w:sz="12" w:space="0"/>
            </w:tcBorders>
            <w:vAlign w:val="center"/>
          </w:tcPr>
          <w:p>
            <w:pPr>
              <w:spacing w:line="6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预算支出类型</w:t>
            </w:r>
          </w:p>
        </w:tc>
        <w:tc>
          <w:tcPr>
            <w:tcW w:w="2696" w:type="dxa"/>
            <w:tcBorders>
              <w:top w:val="single" w:color="auto" w:sz="12" w:space="0"/>
            </w:tcBorders>
            <w:vAlign w:val="center"/>
          </w:tcPr>
          <w:p>
            <w:pPr>
              <w:spacing w:line="600" w:lineRule="exact"/>
              <w:jc w:val="center"/>
              <w:rPr>
                <w:rFonts w:ascii="仿宋_GB2312" w:hAnsi="仿宋_GB2312" w:eastAsia="仿宋_GB2312" w:cs="仿宋_GB2312"/>
                <w:sz w:val="28"/>
                <w:szCs w:val="28"/>
              </w:rPr>
            </w:pP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金额（</w:t>
            </w:r>
            <w:r>
              <w:rPr>
                <w:rFonts w:hint="eastAsia" w:ascii="仿宋_GB2312" w:hAnsi="仿宋_GB2312" w:eastAsia="仿宋_GB2312" w:cs="仿宋_GB2312"/>
                <w:sz w:val="28"/>
                <w:szCs w:val="28"/>
                <w:lang w:eastAsia="zh-CN"/>
              </w:rPr>
              <w:t>万</w:t>
            </w:r>
            <w:r>
              <w:rPr>
                <w:rFonts w:hint="eastAsia" w:ascii="仿宋_GB2312" w:hAnsi="仿宋_GB2312" w:eastAsia="仿宋_GB2312" w:cs="仿宋_GB2312"/>
                <w:sz w:val="28"/>
                <w:szCs w:val="28"/>
              </w:rPr>
              <w:t>元）</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trPr>
        <w:tc>
          <w:tcPr>
            <w:tcW w:w="6498" w:type="dxa"/>
            <w:vAlign w:val="center"/>
          </w:tcPr>
          <w:p>
            <w:pPr>
              <w:spacing w:line="6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一、基本支出</w:t>
            </w:r>
          </w:p>
        </w:tc>
        <w:tc>
          <w:tcPr>
            <w:tcW w:w="2696" w:type="dxa"/>
            <w:vAlign w:val="center"/>
          </w:tcPr>
          <w:p>
            <w:pPr>
              <w:tabs>
                <w:tab w:val="left" w:pos="4053"/>
                <w:tab w:val="left" w:pos="4161"/>
              </w:tabs>
              <w:spacing w:line="600" w:lineRule="exact"/>
              <w:ind w:right="3"/>
              <w:jc w:val="righ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351.87</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trPr>
        <w:tc>
          <w:tcPr>
            <w:tcW w:w="6498" w:type="dxa"/>
            <w:vAlign w:val="center"/>
          </w:tcPr>
          <w:p>
            <w:pPr>
              <w:spacing w:line="600" w:lineRule="exact"/>
              <w:rPr>
                <w:rFonts w:ascii="仿宋_GB2312" w:hAnsi="仿宋_GB2312" w:eastAsia="仿宋_GB2312" w:cs="仿宋_GB2312"/>
                <w:sz w:val="28"/>
                <w:szCs w:val="28"/>
              </w:rPr>
            </w:pPr>
            <w:r>
              <w:rPr>
                <w:rFonts w:ascii="仿宋_GB2312" w:hAnsi="仿宋_GB2312" w:eastAsia="仿宋_GB2312" w:cs="仿宋_GB2312"/>
                <w:sz w:val="28"/>
                <w:szCs w:val="28"/>
              </w:rPr>
              <w:t>1</w:t>
            </w:r>
            <w:r>
              <w:rPr>
                <w:rFonts w:hint="eastAsia" w:ascii="仿宋_GB2312" w:hAnsi="仿宋_GB2312" w:eastAsia="仿宋_GB2312" w:cs="仿宋_GB2312"/>
                <w:sz w:val="28"/>
                <w:szCs w:val="28"/>
              </w:rPr>
              <w:t>、工资福利支出：</w:t>
            </w:r>
          </w:p>
        </w:tc>
        <w:tc>
          <w:tcPr>
            <w:tcW w:w="2696" w:type="dxa"/>
            <w:vAlign w:val="center"/>
          </w:tcPr>
          <w:p>
            <w:pPr>
              <w:tabs>
                <w:tab w:val="left" w:pos="4053"/>
                <w:tab w:val="left" w:pos="4161"/>
              </w:tabs>
              <w:spacing w:line="600" w:lineRule="exact"/>
              <w:ind w:right="3"/>
              <w:jc w:val="righ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344.65</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trPr>
        <w:tc>
          <w:tcPr>
            <w:tcW w:w="6498" w:type="dxa"/>
            <w:vAlign w:val="center"/>
          </w:tcPr>
          <w:p>
            <w:pPr>
              <w:spacing w:line="600" w:lineRule="exact"/>
              <w:ind w:firstLine="420" w:firstLineChars="150"/>
              <w:rPr>
                <w:rFonts w:ascii="仿宋_GB2312" w:hAnsi="仿宋_GB2312" w:eastAsia="仿宋_GB2312" w:cs="仿宋_GB2312"/>
                <w:sz w:val="28"/>
                <w:szCs w:val="28"/>
              </w:rPr>
            </w:pPr>
            <w:r>
              <w:rPr>
                <w:rFonts w:hint="eastAsia" w:ascii="仿宋_GB2312" w:hAnsi="仿宋_GB2312" w:eastAsia="仿宋_GB2312" w:cs="仿宋_GB2312"/>
                <w:sz w:val="28"/>
                <w:szCs w:val="28"/>
              </w:rPr>
              <w:t>年初预算安排</w:t>
            </w:r>
          </w:p>
        </w:tc>
        <w:tc>
          <w:tcPr>
            <w:tcW w:w="2696" w:type="dxa"/>
            <w:vAlign w:val="center"/>
          </w:tcPr>
          <w:p>
            <w:pPr>
              <w:tabs>
                <w:tab w:val="left" w:pos="4053"/>
                <w:tab w:val="left" w:pos="4161"/>
              </w:tabs>
              <w:spacing w:line="600" w:lineRule="exact"/>
              <w:ind w:left="316" w:right="3" w:hanging="271" w:hangingChars="113"/>
              <w:jc w:val="righ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333.64</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trPr>
        <w:tc>
          <w:tcPr>
            <w:tcW w:w="6498" w:type="dxa"/>
            <w:vAlign w:val="center"/>
          </w:tcPr>
          <w:p>
            <w:pPr>
              <w:spacing w:line="600" w:lineRule="exact"/>
              <w:ind w:firstLine="420" w:firstLineChars="150"/>
              <w:rPr>
                <w:rFonts w:ascii="仿宋_GB2312" w:hAnsi="仿宋_GB2312" w:eastAsia="仿宋_GB2312" w:cs="仿宋_GB2312"/>
                <w:sz w:val="28"/>
                <w:szCs w:val="28"/>
              </w:rPr>
            </w:pPr>
            <w:r>
              <w:rPr>
                <w:rFonts w:hint="eastAsia" w:ascii="仿宋_GB2312" w:hAnsi="仿宋_GB2312" w:eastAsia="仿宋_GB2312" w:cs="仿宋_GB2312"/>
                <w:sz w:val="28"/>
                <w:szCs w:val="28"/>
              </w:rPr>
              <w:t>预算追加安排</w:t>
            </w:r>
          </w:p>
        </w:tc>
        <w:tc>
          <w:tcPr>
            <w:tcW w:w="2696" w:type="dxa"/>
            <w:vAlign w:val="center"/>
          </w:tcPr>
          <w:p>
            <w:pPr>
              <w:tabs>
                <w:tab w:val="left" w:pos="4053"/>
                <w:tab w:val="left" w:pos="4161"/>
              </w:tabs>
              <w:spacing w:line="600" w:lineRule="exact"/>
              <w:ind w:left="316" w:right="3" w:hanging="271" w:hangingChars="113"/>
              <w:jc w:val="righ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11.01</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trPr>
        <w:tc>
          <w:tcPr>
            <w:tcW w:w="6498" w:type="dxa"/>
            <w:vAlign w:val="center"/>
          </w:tcPr>
          <w:p>
            <w:pPr>
              <w:spacing w:line="600" w:lineRule="exact"/>
              <w:ind w:firstLine="280" w:firstLineChars="100"/>
              <w:rPr>
                <w:rFonts w:ascii="仿宋_GB2312" w:hAnsi="仿宋_GB2312" w:eastAsia="仿宋_GB2312" w:cs="仿宋_GB2312"/>
                <w:sz w:val="28"/>
                <w:szCs w:val="28"/>
              </w:rPr>
            </w:pPr>
            <w:r>
              <w:rPr>
                <w:rFonts w:hint="eastAsia" w:ascii="仿宋_GB2312" w:hAnsi="仿宋_GB2312" w:eastAsia="仿宋_GB2312" w:cs="仿宋_GB2312"/>
                <w:sz w:val="28"/>
                <w:szCs w:val="28"/>
              </w:rPr>
              <w:t>上年结转</w:t>
            </w:r>
          </w:p>
        </w:tc>
        <w:tc>
          <w:tcPr>
            <w:tcW w:w="2696" w:type="dxa"/>
            <w:vAlign w:val="center"/>
          </w:tcPr>
          <w:p>
            <w:pPr>
              <w:tabs>
                <w:tab w:val="left" w:pos="4053"/>
                <w:tab w:val="left" w:pos="4161"/>
              </w:tabs>
              <w:spacing w:line="600" w:lineRule="exact"/>
              <w:ind w:right="3"/>
              <w:jc w:val="right"/>
              <w:rPr>
                <w:rFonts w:hint="default" w:ascii="仿宋_GB2312" w:hAnsi="仿宋_GB2312" w:eastAsia="仿宋_GB2312" w:cs="仿宋_GB2312"/>
                <w:sz w:val="28"/>
                <w:szCs w:val="28"/>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PrEx>
        <w:trPr>
          <w:trHeight w:val="540" w:hRule="atLeast"/>
        </w:trPr>
        <w:tc>
          <w:tcPr>
            <w:tcW w:w="6498" w:type="dxa"/>
            <w:vAlign w:val="center"/>
          </w:tcPr>
          <w:p>
            <w:pPr>
              <w:spacing w:line="600" w:lineRule="exact"/>
              <w:rPr>
                <w:rFonts w:ascii="仿宋_GB2312" w:hAnsi="仿宋_GB2312" w:eastAsia="仿宋_GB2312" w:cs="仿宋_GB2312"/>
                <w:sz w:val="28"/>
                <w:szCs w:val="28"/>
              </w:rPr>
            </w:pPr>
            <w:r>
              <w:rPr>
                <w:rFonts w:ascii="仿宋_GB2312" w:hAnsi="仿宋_GB2312" w:eastAsia="仿宋_GB2312" w:cs="仿宋_GB2312"/>
                <w:sz w:val="28"/>
                <w:szCs w:val="28"/>
              </w:rPr>
              <w:t>2</w:t>
            </w:r>
            <w:r>
              <w:rPr>
                <w:rFonts w:hint="eastAsia" w:ascii="仿宋_GB2312" w:hAnsi="仿宋_GB2312" w:eastAsia="仿宋_GB2312" w:cs="仿宋_GB2312"/>
                <w:sz w:val="28"/>
                <w:szCs w:val="28"/>
              </w:rPr>
              <w:t>、商品和服务支出</w:t>
            </w:r>
            <w:r>
              <w:rPr>
                <w:rFonts w:hint="eastAsia" w:ascii="仿宋_GB2312" w:hAnsi="仿宋_GB2312" w:eastAsia="仿宋_GB2312" w:cs="仿宋_GB2312"/>
                <w:sz w:val="28"/>
                <w:szCs w:val="28"/>
                <w:lang w:eastAsia="zh-CN"/>
              </w:rPr>
              <w:t>：</w:t>
            </w:r>
          </w:p>
        </w:tc>
        <w:tc>
          <w:tcPr>
            <w:tcW w:w="2696" w:type="dxa"/>
            <w:vAlign w:val="center"/>
          </w:tcPr>
          <w:p>
            <w:pPr>
              <w:tabs>
                <w:tab w:val="left" w:pos="4053"/>
                <w:tab w:val="left" w:pos="4161"/>
              </w:tabs>
              <w:spacing w:line="600" w:lineRule="exact"/>
              <w:ind w:right="3"/>
              <w:jc w:val="righ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52.94</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2" w:hRule="atLeast"/>
        </w:trPr>
        <w:tc>
          <w:tcPr>
            <w:tcW w:w="6498" w:type="dxa"/>
            <w:vAlign w:val="center"/>
          </w:tcPr>
          <w:p>
            <w:pPr>
              <w:spacing w:line="600" w:lineRule="exact"/>
              <w:ind w:firstLine="420" w:firstLineChars="150"/>
              <w:rPr>
                <w:rFonts w:ascii="仿宋_GB2312" w:hAnsi="仿宋_GB2312" w:eastAsia="仿宋_GB2312" w:cs="仿宋_GB2312"/>
                <w:sz w:val="28"/>
                <w:szCs w:val="28"/>
              </w:rPr>
            </w:pPr>
            <w:r>
              <w:rPr>
                <w:rFonts w:hint="eastAsia" w:ascii="仿宋_GB2312" w:hAnsi="仿宋_GB2312" w:eastAsia="仿宋_GB2312" w:cs="仿宋_GB2312"/>
                <w:sz w:val="28"/>
                <w:szCs w:val="28"/>
              </w:rPr>
              <w:t>年初预算安排</w:t>
            </w:r>
          </w:p>
        </w:tc>
        <w:tc>
          <w:tcPr>
            <w:tcW w:w="2696" w:type="dxa"/>
            <w:vAlign w:val="center"/>
          </w:tcPr>
          <w:p>
            <w:pPr>
              <w:tabs>
                <w:tab w:val="left" w:pos="4053"/>
                <w:tab w:val="left" w:pos="4161"/>
              </w:tabs>
              <w:spacing w:line="600" w:lineRule="exact"/>
              <w:ind w:right="3"/>
              <w:jc w:val="righ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52.17</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trPr>
        <w:tc>
          <w:tcPr>
            <w:tcW w:w="6498" w:type="dxa"/>
            <w:vAlign w:val="center"/>
          </w:tcPr>
          <w:p>
            <w:pPr>
              <w:spacing w:line="600" w:lineRule="exact"/>
              <w:ind w:firstLine="420" w:firstLineChars="150"/>
              <w:rPr>
                <w:rFonts w:ascii="仿宋_GB2312" w:hAnsi="仿宋_GB2312" w:eastAsia="仿宋_GB2312" w:cs="仿宋_GB2312"/>
                <w:sz w:val="28"/>
                <w:szCs w:val="28"/>
              </w:rPr>
            </w:pPr>
            <w:r>
              <w:rPr>
                <w:rFonts w:hint="eastAsia" w:ascii="仿宋_GB2312" w:hAnsi="仿宋_GB2312" w:eastAsia="仿宋_GB2312" w:cs="仿宋_GB2312"/>
                <w:sz w:val="28"/>
                <w:szCs w:val="28"/>
              </w:rPr>
              <w:t>预算追加安排</w:t>
            </w:r>
          </w:p>
        </w:tc>
        <w:tc>
          <w:tcPr>
            <w:tcW w:w="2696" w:type="dxa"/>
            <w:vAlign w:val="center"/>
          </w:tcPr>
          <w:p>
            <w:pPr>
              <w:tabs>
                <w:tab w:val="left" w:pos="4053"/>
                <w:tab w:val="left" w:pos="4161"/>
              </w:tabs>
              <w:spacing w:line="600" w:lineRule="exact"/>
              <w:ind w:right="3"/>
              <w:jc w:val="righ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0.77</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trPr>
        <w:tc>
          <w:tcPr>
            <w:tcW w:w="6498" w:type="dxa"/>
            <w:vAlign w:val="center"/>
          </w:tcPr>
          <w:p>
            <w:pPr>
              <w:spacing w:line="600" w:lineRule="exact"/>
              <w:rPr>
                <w:rFonts w:ascii="仿宋_GB2312" w:hAnsi="仿宋_GB2312" w:eastAsia="仿宋_GB2312" w:cs="仿宋_GB2312"/>
                <w:sz w:val="28"/>
                <w:szCs w:val="28"/>
              </w:rPr>
            </w:pPr>
            <w:r>
              <w:rPr>
                <w:rFonts w:ascii="仿宋_GB2312" w:hAnsi="仿宋_GB2312" w:eastAsia="仿宋_GB2312" w:cs="仿宋_GB2312"/>
                <w:sz w:val="28"/>
                <w:szCs w:val="28"/>
              </w:rPr>
              <w:t>3</w:t>
            </w:r>
            <w:r>
              <w:rPr>
                <w:rFonts w:hint="eastAsia" w:ascii="仿宋_GB2312" w:hAnsi="仿宋_GB2312" w:eastAsia="仿宋_GB2312" w:cs="仿宋_GB2312"/>
                <w:sz w:val="28"/>
                <w:szCs w:val="28"/>
              </w:rPr>
              <w:t>、对个人和家庭的补助</w:t>
            </w:r>
            <w:r>
              <w:rPr>
                <w:rFonts w:hint="eastAsia" w:ascii="仿宋_GB2312" w:hAnsi="仿宋_GB2312" w:eastAsia="仿宋_GB2312" w:cs="仿宋_GB2312"/>
                <w:sz w:val="28"/>
                <w:szCs w:val="28"/>
                <w:lang w:eastAsia="zh-CN"/>
              </w:rPr>
              <w:t>：</w:t>
            </w:r>
          </w:p>
        </w:tc>
        <w:tc>
          <w:tcPr>
            <w:tcW w:w="2696" w:type="dxa"/>
            <w:vAlign w:val="center"/>
          </w:tcPr>
          <w:p>
            <w:pPr>
              <w:tabs>
                <w:tab w:val="left" w:pos="4053"/>
                <w:tab w:val="left" w:pos="4161"/>
              </w:tabs>
              <w:spacing w:line="600" w:lineRule="exact"/>
              <w:ind w:right="3"/>
              <w:jc w:val="righ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3.8</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trPr>
        <w:tc>
          <w:tcPr>
            <w:tcW w:w="6498" w:type="dxa"/>
            <w:vAlign w:val="center"/>
          </w:tcPr>
          <w:p>
            <w:pPr>
              <w:spacing w:line="600" w:lineRule="exact"/>
              <w:ind w:firstLine="420" w:firstLineChars="150"/>
              <w:rPr>
                <w:rFonts w:ascii="仿宋_GB2312" w:hAnsi="仿宋_GB2312" w:eastAsia="仿宋_GB2312" w:cs="仿宋_GB2312"/>
                <w:sz w:val="28"/>
                <w:szCs w:val="28"/>
              </w:rPr>
            </w:pPr>
            <w:r>
              <w:rPr>
                <w:rFonts w:hint="eastAsia" w:ascii="仿宋_GB2312" w:hAnsi="仿宋_GB2312" w:eastAsia="仿宋_GB2312" w:cs="仿宋_GB2312"/>
                <w:sz w:val="28"/>
                <w:szCs w:val="28"/>
              </w:rPr>
              <w:t>年初预算安排</w:t>
            </w:r>
          </w:p>
        </w:tc>
        <w:tc>
          <w:tcPr>
            <w:tcW w:w="2696" w:type="dxa"/>
            <w:vAlign w:val="center"/>
          </w:tcPr>
          <w:p>
            <w:pPr>
              <w:tabs>
                <w:tab w:val="left" w:pos="4053"/>
                <w:tab w:val="left" w:pos="4161"/>
              </w:tabs>
              <w:spacing w:line="600" w:lineRule="exact"/>
              <w:ind w:right="3"/>
              <w:jc w:val="righ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1.8</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trPr>
        <w:tc>
          <w:tcPr>
            <w:tcW w:w="6498" w:type="dxa"/>
            <w:vAlign w:val="center"/>
          </w:tcPr>
          <w:p>
            <w:pPr>
              <w:spacing w:line="60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预算追加安排</w:t>
            </w:r>
          </w:p>
        </w:tc>
        <w:tc>
          <w:tcPr>
            <w:tcW w:w="2696" w:type="dxa"/>
            <w:vAlign w:val="center"/>
          </w:tcPr>
          <w:p>
            <w:pPr>
              <w:tabs>
                <w:tab w:val="left" w:pos="4053"/>
                <w:tab w:val="left" w:pos="4161"/>
              </w:tabs>
              <w:spacing w:line="600" w:lineRule="exact"/>
              <w:ind w:right="3"/>
              <w:jc w:val="righ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trPr>
        <w:tc>
          <w:tcPr>
            <w:tcW w:w="6498" w:type="dxa"/>
            <w:vAlign w:val="center"/>
          </w:tcPr>
          <w:p>
            <w:pPr>
              <w:spacing w:line="6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基本支出小计</w:t>
            </w:r>
          </w:p>
        </w:tc>
        <w:tc>
          <w:tcPr>
            <w:tcW w:w="2696" w:type="dxa"/>
            <w:vAlign w:val="center"/>
          </w:tcPr>
          <w:p>
            <w:pPr>
              <w:tabs>
                <w:tab w:val="left" w:pos="4053"/>
                <w:tab w:val="left" w:pos="4161"/>
              </w:tabs>
              <w:spacing w:line="600" w:lineRule="exact"/>
              <w:ind w:right="3"/>
              <w:jc w:val="righ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kern w:val="2"/>
                <w:sz w:val="24"/>
                <w:szCs w:val="24"/>
                <w:lang w:val="en-US" w:eastAsia="zh-CN" w:bidi="ar-SA"/>
              </w:rPr>
              <w:t>401.39</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trPr>
        <w:tc>
          <w:tcPr>
            <w:tcW w:w="6498" w:type="dxa"/>
          </w:tcPr>
          <w:p>
            <w:pPr>
              <w:spacing w:line="600" w:lineRule="exact"/>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二、项目支出</w:t>
            </w:r>
          </w:p>
        </w:tc>
        <w:tc>
          <w:tcPr>
            <w:tcW w:w="2696" w:type="dxa"/>
            <w:vAlign w:val="center"/>
          </w:tcPr>
          <w:p>
            <w:pPr>
              <w:spacing w:line="600" w:lineRule="exact"/>
              <w:jc w:val="righ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34.6</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trPr>
        <w:tc>
          <w:tcPr>
            <w:tcW w:w="6498" w:type="dxa"/>
            <w:vAlign w:val="center"/>
          </w:tcPr>
          <w:p>
            <w:pPr>
              <w:spacing w:line="600" w:lineRule="exact"/>
              <w:ind w:firstLine="280" w:firstLineChars="100"/>
              <w:rPr>
                <w:rFonts w:ascii="仿宋_GB2312" w:hAnsi="仿宋_GB2312" w:eastAsia="仿宋_GB2312" w:cs="仿宋_GB2312"/>
                <w:sz w:val="28"/>
                <w:szCs w:val="28"/>
              </w:rPr>
            </w:pPr>
            <w:r>
              <w:rPr>
                <w:rFonts w:hint="eastAsia" w:ascii="仿宋_GB2312" w:hAnsi="仿宋_GB2312" w:eastAsia="仿宋_GB2312" w:cs="仿宋_GB2312"/>
                <w:sz w:val="28"/>
                <w:szCs w:val="28"/>
              </w:rPr>
              <w:t>年初安排</w:t>
            </w:r>
          </w:p>
        </w:tc>
        <w:tc>
          <w:tcPr>
            <w:tcW w:w="2696" w:type="dxa"/>
            <w:vAlign w:val="center"/>
          </w:tcPr>
          <w:p>
            <w:pPr>
              <w:tabs>
                <w:tab w:val="left" w:pos="4053"/>
                <w:tab w:val="left" w:pos="4161"/>
              </w:tabs>
              <w:spacing w:line="600" w:lineRule="exact"/>
              <w:ind w:right="3"/>
              <w:jc w:val="righ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14.6</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trPr>
        <w:tc>
          <w:tcPr>
            <w:tcW w:w="6498" w:type="dxa"/>
            <w:vAlign w:val="center"/>
          </w:tcPr>
          <w:p>
            <w:pPr>
              <w:spacing w:line="600" w:lineRule="exact"/>
              <w:ind w:firstLine="280" w:firstLineChars="100"/>
              <w:rPr>
                <w:rFonts w:ascii="仿宋_GB2312" w:hAnsi="仿宋_GB2312" w:eastAsia="仿宋_GB2312" w:cs="仿宋_GB2312"/>
                <w:sz w:val="28"/>
                <w:szCs w:val="28"/>
              </w:rPr>
            </w:pPr>
            <w:r>
              <w:rPr>
                <w:rFonts w:hint="eastAsia" w:ascii="仿宋_GB2312" w:hAnsi="仿宋_GB2312" w:eastAsia="仿宋_GB2312" w:cs="仿宋_GB2312"/>
                <w:sz w:val="28"/>
                <w:szCs w:val="28"/>
              </w:rPr>
              <w:t>预算追加安排</w:t>
            </w:r>
          </w:p>
        </w:tc>
        <w:tc>
          <w:tcPr>
            <w:tcW w:w="2696" w:type="dxa"/>
            <w:vAlign w:val="center"/>
          </w:tcPr>
          <w:p>
            <w:pPr>
              <w:tabs>
                <w:tab w:val="left" w:pos="4053"/>
                <w:tab w:val="left" w:pos="4161"/>
              </w:tabs>
              <w:spacing w:line="600" w:lineRule="exact"/>
              <w:ind w:right="3"/>
              <w:jc w:val="righ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trPr>
        <w:tc>
          <w:tcPr>
            <w:tcW w:w="6498" w:type="dxa"/>
            <w:vAlign w:val="center"/>
          </w:tcPr>
          <w:p>
            <w:pPr>
              <w:spacing w:line="600" w:lineRule="exact"/>
              <w:ind w:firstLine="280" w:firstLineChars="1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预算压减支出</w:t>
            </w:r>
          </w:p>
        </w:tc>
        <w:tc>
          <w:tcPr>
            <w:tcW w:w="2696" w:type="dxa"/>
            <w:vAlign w:val="center"/>
          </w:tcPr>
          <w:p>
            <w:pPr>
              <w:tabs>
                <w:tab w:val="left" w:pos="4053"/>
                <w:tab w:val="left" w:pos="4161"/>
              </w:tabs>
              <w:spacing w:line="600" w:lineRule="exact"/>
              <w:ind w:right="3"/>
              <w:jc w:val="right"/>
              <w:rPr>
                <w:rFonts w:ascii="仿宋_GB2312" w:hAnsi="仿宋_GB2312" w:eastAsia="仿宋_GB2312" w:cs="仿宋_GB2312"/>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40" w:hRule="atLeast"/>
        </w:trPr>
        <w:tc>
          <w:tcPr>
            <w:tcW w:w="6498" w:type="dxa"/>
            <w:vAlign w:val="center"/>
          </w:tcPr>
          <w:p>
            <w:pPr>
              <w:spacing w:line="6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项目支出小计</w:t>
            </w:r>
          </w:p>
        </w:tc>
        <w:tc>
          <w:tcPr>
            <w:tcW w:w="2696" w:type="dxa"/>
            <w:vAlign w:val="center"/>
          </w:tcPr>
          <w:p>
            <w:pPr>
              <w:tabs>
                <w:tab w:val="left" w:pos="4053"/>
                <w:tab w:val="left" w:pos="4161"/>
              </w:tabs>
              <w:spacing w:line="600" w:lineRule="exact"/>
              <w:ind w:right="3"/>
              <w:jc w:val="righ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34.6</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6" w:hRule="atLeast"/>
        </w:trPr>
        <w:tc>
          <w:tcPr>
            <w:tcW w:w="6498" w:type="dxa"/>
            <w:tcBorders>
              <w:bottom w:val="single" w:color="auto" w:sz="12" w:space="0"/>
            </w:tcBorders>
            <w:vAlign w:val="center"/>
          </w:tcPr>
          <w:p>
            <w:pPr>
              <w:spacing w:line="6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总</w:t>
            </w: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计</w:t>
            </w:r>
          </w:p>
        </w:tc>
        <w:tc>
          <w:tcPr>
            <w:tcW w:w="2696" w:type="dxa"/>
            <w:tcBorders>
              <w:bottom w:val="single" w:color="auto" w:sz="12" w:space="0"/>
            </w:tcBorders>
            <w:vAlign w:val="center"/>
          </w:tcPr>
          <w:p>
            <w:pPr>
              <w:tabs>
                <w:tab w:val="left" w:pos="4053"/>
                <w:tab w:val="left" w:pos="4161"/>
              </w:tabs>
              <w:spacing w:line="600" w:lineRule="exact"/>
              <w:ind w:right="3"/>
              <w:jc w:val="righ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435.99</w:t>
            </w:r>
          </w:p>
        </w:tc>
      </w:tr>
    </w:tbl>
    <w:p>
      <w:pPr>
        <w:pStyle w:val="17"/>
        <w:spacing w:line="600" w:lineRule="exact"/>
        <w:rPr>
          <w:rFonts w:ascii="仿宋_GB2312" w:hAnsi="仿宋_GB2312" w:eastAsia="仿宋_GB2312" w:cs="仿宋_GB2312"/>
          <w:kern w:val="0"/>
          <w:sz w:val="28"/>
          <w:szCs w:val="28"/>
        </w:rPr>
      </w:pPr>
      <w:r>
        <w:rPr>
          <w:rFonts w:ascii="仿宋_GB2312" w:hAnsi="仿宋_GB2312" w:eastAsia="仿宋_GB2312" w:cs="仿宋_GB2312"/>
          <w:sz w:val="28"/>
          <w:szCs w:val="28"/>
        </w:rPr>
        <w:t>3</w:t>
      </w:r>
      <w:r>
        <w:rPr>
          <w:rFonts w:hint="eastAsia" w:ascii="仿宋_GB2312" w:hAnsi="仿宋_GB2312" w:eastAsia="仿宋_GB2312" w:cs="仿宋_GB2312"/>
          <w:sz w:val="28"/>
          <w:szCs w:val="28"/>
        </w:rPr>
        <w:t>、基本支出预算执行情况</w:t>
      </w:r>
    </w:p>
    <w:tbl>
      <w:tblPr>
        <w:tblStyle w:val="10"/>
        <w:tblW w:w="9236" w:type="dxa"/>
        <w:tblInd w:w="-396"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2764"/>
        <w:gridCol w:w="1779"/>
        <w:gridCol w:w="1693"/>
        <w:gridCol w:w="1585"/>
        <w:gridCol w:w="1415"/>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22" w:hRule="exact"/>
        </w:trPr>
        <w:tc>
          <w:tcPr>
            <w:tcW w:w="2764" w:type="dxa"/>
            <w:tcBorders>
              <w:top w:val="single" w:color="auto" w:sz="12" w:space="0"/>
            </w:tcBorders>
            <w:vAlign w:val="center"/>
          </w:tcPr>
          <w:p>
            <w:pPr>
              <w:spacing w:line="60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科</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目</w:t>
            </w:r>
          </w:p>
        </w:tc>
        <w:tc>
          <w:tcPr>
            <w:tcW w:w="1779" w:type="dxa"/>
            <w:tcBorders>
              <w:top w:val="single" w:color="auto" w:sz="12" w:space="0"/>
            </w:tcBorders>
            <w:vAlign w:val="center"/>
          </w:tcPr>
          <w:p>
            <w:pPr>
              <w:spacing w:line="240" w:lineRule="exact"/>
              <w:ind w:right="174" w:rightChars="83"/>
              <w:jc w:val="center"/>
              <w:rPr>
                <w:rFonts w:ascii="仿宋_GB2312" w:hAnsi="仿宋_GB2312" w:eastAsia="仿宋_GB2312" w:cs="仿宋_GB2312"/>
                <w:b w:val="0"/>
                <w:bCs/>
                <w:kern w:val="0"/>
                <w:sz w:val="24"/>
              </w:rPr>
            </w:pPr>
            <w:r>
              <w:rPr>
                <w:rFonts w:hint="eastAsia" w:ascii="仿宋" w:hAnsi="仿宋" w:eastAsia="仿宋" w:cs="宋体"/>
                <w:b w:val="0"/>
                <w:bCs/>
                <w:color w:val="000000"/>
                <w:kern w:val="0"/>
                <w:sz w:val="24"/>
              </w:rPr>
              <w:t>预算支出（万元）</w:t>
            </w:r>
          </w:p>
        </w:tc>
        <w:tc>
          <w:tcPr>
            <w:tcW w:w="1693" w:type="dxa"/>
            <w:tcBorders>
              <w:top w:val="single" w:color="auto" w:sz="12" w:space="0"/>
            </w:tcBorders>
            <w:vAlign w:val="center"/>
          </w:tcPr>
          <w:p>
            <w:pPr>
              <w:spacing w:line="240" w:lineRule="exact"/>
              <w:ind w:right="174" w:rightChars="83"/>
              <w:jc w:val="center"/>
              <w:rPr>
                <w:rFonts w:ascii="仿宋_GB2312" w:hAnsi="仿宋_GB2312" w:eastAsia="仿宋_GB2312" w:cs="仿宋_GB2312"/>
                <w:b w:val="0"/>
                <w:bCs/>
                <w:kern w:val="0"/>
                <w:sz w:val="24"/>
              </w:rPr>
            </w:pPr>
            <w:r>
              <w:rPr>
                <w:rFonts w:hint="eastAsia" w:ascii="仿宋" w:hAnsi="仿宋" w:eastAsia="仿宋" w:cs="宋体"/>
                <w:b w:val="0"/>
                <w:bCs/>
                <w:color w:val="000000"/>
                <w:kern w:val="0"/>
                <w:sz w:val="24"/>
              </w:rPr>
              <w:t>实际支出（万元）</w:t>
            </w:r>
          </w:p>
        </w:tc>
        <w:tc>
          <w:tcPr>
            <w:tcW w:w="1585" w:type="dxa"/>
            <w:tcBorders>
              <w:top w:val="single" w:color="auto" w:sz="12" w:space="0"/>
            </w:tcBorders>
            <w:vAlign w:val="center"/>
          </w:tcPr>
          <w:p>
            <w:pPr>
              <w:spacing w:line="240" w:lineRule="exact"/>
              <w:ind w:right="174" w:rightChars="83"/>
              <w:jc w:val="center"/>
              <w:rPr>
                <w:rFonts w:ascii="仿宋_GB2312" w:hAnsi="仿宋_GB2312" w:eastAsia="仿宋_GB2312" w:cs="仿宋_GB2312"/>
                <w:b w:val="0"/>
                <w:bCs/>
                <w:kern w:val="0"/>
                <w:sz w:val="24"/>
              </w:rPr>
            </w:pPr>
            <w:r>
              <w:rPr>
                <w:rFonts w:hint="eastAsia" w:ascii="仿宋" w:hAnsi="仿宋" w:eastAsia="仿宋" w:cs="宋体"/>
                <w:b w:val="0"/>
                <w:bCs/>
                <w:color w:val="000000"/>
                <w:kern w:val="0"/>
                <w:sz w:val="24"/>
              </w:rPr>
              <w:t>超 支（万元）</w:t>
            </w:r>
          </w:p>
        </w:tc>
        <w:tc>
          <w:tcPr>
            <w:tcW w:w="1415" w:type="dxa"/>
            <w:tcBorders>
              <w:top w:val="single" w:color="auto" w:sz="12" w:space="0"/>
            </w:tcBorders>
          </w:tcPr>
          <w:p>
            <w:pPr>
              <w:pStyle w:val="17"/>
              <w:spacing w:line="600" w:lineRule="exact"/>
              <w:jc w:val="left"/>
              <w:rPr>
                <w:rFonts w:ascii="仿宋_GB2312" w:hAnsi="仿宋_GB2312" w:eastAsia="仿宋_GB2312" w:cs="仿宋_GB2312"/>
                <w:b w:val="0"/>
                <w:bCs/>
                <w:kern w:val="0"/>
                <w:sz w:val="24"/>
                <w:szCs w:val="24"/>
              </w:rPr>
            </w:pPr>
            <w:r>
              <w:rPr>
                <w:rFonts w:hint="eastAsia" w:ascii="仿宋_GB2312" w:hAnsi="仿宋_GB2312" w:eastAsia="仿宋_GB2312" w:cs="仿宋_GB2312"/>
                <w:b w:val="0"/>
                <w:bCs/>
                <w:kern w:val="0"/>
                <w:sz w:val="24"/>
                <w:szCs w:val="24"/>
              </w:rPr>
              <w:t>预算执行</w:t>
            </w:r>
          </w:p>
          <w:p>
            <w:pPr>
              <w:widowControl/>
              <w:spacing w:line="600" w:lineRule="exact"/>
              <w:jc w:val="center"/>
              <w:textAlignment w:val="center"/>
              <w:rPr>
                <w:rFonts w:ascii="仿宋_GB2312" w:hAnsi="仿宋_GB2312" w:eastAsia="仿宋_GB2312" w:cs="仿宋_GB2312"/>
                <w:b w:val="0"/>
                <w:bCs/>
                <w:kern w:val="0"/>
                <w:sz w:val="24"/>
              </w:rPr>
            </w:pPr>
          </w:p>
          <w:p>
            <w:pPr>
              <w:spacing w:line="600" w:lineRule="exact"/>
              <w:ind w:right="174" w:rightChars="83"/>
              <w:jc w:val="center"/>
              <w:rPr>
                <w:rFonts w:ascii="仿宋_GB2312" w:hAnsi="仿宋_GB2312" w:eastAsia="仿宋_GB2312" w:cs="仿宋_GB2312"/>
                <w:b w:val="0"/>
                <w:bCs/>
                <w:kern w:val="0"/>
                <w:sz w:val="24"/>
              </w:rPr>
            </w:pPr>
            <w:r>
              <w:rPr>
                <w:rFonts w:hint="eastAsia" w:ascii="仿宋_GB2312" w:hAnsi="仿宋_GB2312" w:eastAsia="仿宋_GB2312" w:cs="仿宋_GB2312"/>
                <w:b w:val="0"/>
                <w:bCs/>
                <w:kern w:val="0"/>
                <w:sz w:val="24"/>
              </w:rPr>
              <w:t>预算执行</w:t>
            </w:r>
          </w:p>
          <w:p>
            <w:pPr>
              <w:spacing w:line="600" w:lineRule="exact"/>
              <w:ind w:right="174" w:rightChars="83"/>
              <w:jc w:val="center"/>
              <w:rPr>
                <w:rFonts w:ascii="仿宋_GB2312" w:hAnsi="仿宋_GB2312" w:eastAsia="仿宋_GB2312" w:cs="仿宋_GB2312"/>
                <w:b w:val="0"/>
                <w:bCs/>
                <w:kern w:val="0"/>
                <w:sz w:val="24"/>
              </w:rPr>
            </w:pPr>
            <w:r>
              <w:rPr>
                <w:rFonts w:hint="eastAsia" w:ascii="仿宋_GB2312" w:hAnsi="仿宋_GB2312" w:eastAsia="仿宋_GB2312" w:cs="仿宋_GB2312"/>
                <w:b w:val="0"/>
                <w:bCs/>
                <w:kern w:val="0"/>
                <w:sz w:val="24"/>
              </w:rPr>
              <w:t>完成率</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0" w:hRule="exact"/>
        </w:trPr>
        <w:tc>
          <w:tcPr>
            <w:tcW w:w="2764" w:type="dxa"/>
            <w:vAlign w:val="center"/>
          </w:tcPr>
          <w:p>
            <w:pPr>
              <w:spacing w:line="60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工资福利支出</w:t>
            </w:r>
          </w:p>
        </w:tc>
        <w:tc>
          <w:tcPr>
            <w:tcW w:w="1779" w:type="dxa"/>
            <w:vAlign w:val="center"/>
          </w:tcPr>
          <w:p>
            <w:pPr>
              <w:jc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351.87</w:t>
            </w:r>
          </w:p>
        </w:tc>
        <w:tc>
          <w:tcPr>
            <w:tcW w:w="1693" w:type="dxa"/>
            <w:vAlign w:val="center"/>
          </w:tcPr>
          <w:p>
            <w:pPr>
              <w:keepNext w:val="0"/>
              <w:keepLines w:val="0"/>
              <w:widowControl/>
              <w:suppressLineNumbers w:val="0"/>
              <w:jc w:val="center"/>
              <w:textAlignment w:val="center"/>
              <w:rPr>
                <w:rFonts w:hint="default" w:ascii="仿宋_GB2312" w:hAnsi="仿宋_GB2312" w:eastAsia="仿宋_GB2312" w:cs="仿宋_GB2312"/>
                <w:kern w:val="0"/>
                <w:sz w:val="24"/>
                <w:lang w:val="en-US" w:eastAsia="zh-CN"/>
              </w:rPr>
            </w:pPr>
            <w:r>
              <w:rPr>
                <w:rFonts w:hint="eastAsia" w:ascii="仿宋" w:hAnsi="仿宋" w:eastAsia="仿宋" w:cs="仿宋"/>
                <w:i w:val="0"/>
                <w:iCs w:val="0"/>
                <w:color w:val="000000"/>
                <w:kern w:val="0"/>
                <w:sz w:val="21"/>
                <w:szCs w:val="21"/>
                <w:u w:val="none"/>
                <w:lang w:val="en-US" w:eastAsia="zh-CN" w:bidi="ar"/>
              </w:rPr>
              <w:t>380.45</w:t>
            </w:r>
          </w:p>
        </w:tc>
        <w:tc>
          <w:tcPr>
            <w:tcW w:w="1585" w:type="dxa"/>
            <w:vAlign w:val="center"/>
          </w:tcPr>
          <w:p>
            <w:pPr>
              <w:jc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28.58</w:t>
            </w:r>
          </w:p>
        </w:tc>
        <w:tc>
          <w:tcPr>
            <w:tcW w:w="1415" w:type="dxa"/>
            <w:vAlign w:val="center"/>
          </w:tcPr>
          <w:p>
            <w:pPr>
              <w:jc w:val="center"/>
              <w:rPr>
                <w:rFonts w:hint="eastAsia"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108.12%</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80" w:hRule="exact"/>
        </w:trPr>
        <w:tc>
          <w:tcPr>
            <w:tcW w:w="2764" w:type="dxa"/>
            <w:vAlign w:val="center"/>
          </w:tcPr>
          <w:p>
            <w:pPr>
              <w:spacing w:line="60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商品和服务支出</w:t>
            </w:r>
          </w:p>
        </w:tc>
        <w:tc>
          <w:tcPr>
            <w:tcW w:w="1779" w:type="dxa"/>
            <w:vAlign w:val="center"/>
          </w:tcPr>
          <w:p>
            <w:pPr>
              <w:jc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52.94</w:t>
            </w:r>
          </w:p>
        </w:tc>
        <w:tc>
          <w:tcPr>
            <w:tcW w:w="1693" w:type="dxa"/>
            <w:vAlign w:val="center"/>
          </w:tcPr>
          <w:p>
            <w:pPr>
              <w:keepNext w:val="0"/>
              <w:keepLines w:val="0"/>
              <w:widowControl/>
              <w:suppressLineNumbers w:val="0"/>
              <w:jc w:val="center"/>
              <w:textAlignment w:val="center"/>
              <w:rPr>
                <w:rFonts w:hint="default" w:ascii="仿宋_GB2312" w:hAnsi="仿宋_GB2312" w:eastAsia="仿宋_GB2312" w:cs="仿宋_GB2312"/>
                <w:kern w:val="0"/>
                <w:sz w:val="24"/>
                <w:lang w:val="en-US" w:eastAsia="zh-CN"/>
              </w:rPr>
            </w:pPr>
            <w:r>
              <w:rPr>
                <w:rFonts w:hint="eastAsia" w:ascii="仿宋" w:hAnsi="仿宋" w:eastAsia="仿宋" w:cs="仿宋"/>
                <w:i w:val="0"/>
                <w:iCs w:val="0"/>
                <w:color w:val="000000"/>
                <w:kern w:val="0"/>
                <w:sz w:val="21"/>
                <w:szCs w:val="21"/>
                <w:u w:val="none"/>
                <w:lang w:val="en-US" w:eastAsia="zh-CN" w:bidi="ar"/>
              </w:rPr>
              <w:t>77.4</w:t>
            </w:r>
          </w:p>
        </w:tc>
        <w:tc>
          <w:tcPr>
            <w:tcW w:w="1585" w:type="dxa"/>
            <w:vAlign w:val="center"/>
          </w:tcPr>
          <w:p>
            <w:pPr>
              <w:jc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24.46</w:t>
            </w:r>
          </w:p>
        </w:tc>
        <w:tc>
          <w:tcPr>
            <w:tcW w:w="1415" w:type="dxa"/>
            <w:vAlign w:val="center"/>
          </w:tcPr>
          <w:p>
            <w:pPr>
              <w:jc w:val="center"/>
              <w:rPr>
                <w:rFonts w:hint="eastAsia"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146%</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25" w:hRule="exact"/>
        </w:trPr>
        <w:tc>
          <w:tcPr>
            <w:tcW w:w="2764" w:type="dxa"/>
            <w:vAlign w:val="center"/>
          </w:tcPr>
          <w:p>
            <w:pPr>
              <w:spacing w:line="60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对个人和家庭补助</w:t>
            </w:r>
          </w:p>
        </w:tc>
        <w:tc>
          <w:tcPr>
            <w:tcW w:w="1779" w:type="dxa"/>
            <w:vAlign w:val="center"/>
          </w:tcPr>
          <w:p>
            <w:pPr>
              <w:jc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3.8</w:t>
            </w:r>
          </w:p>
        </w:tc>
        <w:tc>
          <w:tcPr>
            <w:tcW w:w="1693" w:type="dxa"/>
            <w:vAlign w:val="center"/>
          </w:tcPr>
          <w:p>
            <w:pPr>
              <w:keepNext w:val="0"/>
              <w:keepLines w:val="0"/>
              <w:widowControl/>
              <w:suppressLineNumbers w:val="0"/>
              <w:jc w:val="center"/>
              <w:textAlignment w:val="center"/>
              <w:rPr>
                <w:rFonts w:hint="default" w:ascii="仿宋_GB2312" w:hAnsi="仿宋_GB2312" w:eastAsia="仿宋_GB2312" w:cs="仿宋_GB2312"/>
                <w:kern w:val="0"/>
                <w:sz w:val="24"/>
                <w:lang w:val="en-US" w:eastAsia="zh-CN"/>
              </w:rPr>
            </w:pPr>
            <w:r>
              <w:rPr>
                <w:rFonts w:hint="eastAsia" w:ascii="仿宋" w:hAnsi="仿宋" w:eastAsia="仿宋" w:cs="仿宋"/>
                <w:i w:val="0"/>
                <w:iCs w:val="0"/>
                <w:color w:val="000000"/>
                <w:kern w:val="0"/>
                <w:sz w:val="21"/>
                <w:szCs w:val="21"/>
                <w:u w:val="none"/>
                <w:lang w:val="en-US" w:eastAsia="zh-CN" w:bidi="ar"/>
              </w:rPr>
              <w:t>4.3</w:t>
            </w:r>
          </w:p>
        </w:tc>
        <w:tc>
          <w:tcPr>
            <w:tcW w:w="1585" w:type="dxa"/>
            <w:vAlign w:val="center"/>
          </w:tcPr>
          <w:p>
            <w:pPr>
              <w:jc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0.5</w:t>
            </w:r>
          </w:p>
        </w:tc>
        <w:tc>
          <w:tcPr>
            <w:tcW w:w="1415" w:type="dxa"/>
            <w:vAlign w:val="center"/>
          </w:tcPr>
          <w:p>
            <w:pPr>
              <w:jc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113%</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10" w:hRule="exact"/>
        </w:trPr>
        <w:tc>
          <w:tcPr>
            <w:tcW w:w="2764" w:type="dxa"/>
            <w:tcBorders>
              <w:bottom w:val="single" w:color="auto" w:sz="12" w:space="0"/>
            </w:tcBorders>
            <w:vAlign w:val="center"/>
          </w:tcPr>
          <w:p>
            <w:pPr>
              <w:spacing w:line="600" w:lineRule="exact"/>
              <w:jc w:val="center"/>
              <w:rPr>
                <w:rFonts w:hint="eastAsia" w:ascii="仿宋_GB2312" w:hAnsi="仿宋_GB2312" w:eastAsia="仿宋_GB2312" w:cs="仿宋_GB2312"/>
                <w:b w:val="0"/>
                <w:bCs w:val="0"/>
                <w:kern w:val="0"/>
                <w:sz w:val="24"/>
                <w:lang w:eastAsia="zh-CN"/>
              </w:rPr>
            </w:pPr>
            <w:r>
              <w:rPr>
                <w:rFonts w:hint="eastAsia" w:ascii="仿宋_GB2312" w:hAnsi="仿宋_GB2312" w:eastAsia="仿宋_GB2312" w:cs="仿宋_GB2312"/>
                <w:b w:val="0"/>
                <w:bCs w:val="0"/>
                <w:kern w:val="0"/>
                <w:sz w:val="24"/>
                <w:lang w:eastAsia="zh-CN"/>
              </w:rPr>
              <w:t>合计</w:t>
            </w:r>
          </w:p>
        </w:tc>
        <w:tc>
          <w:tcPr>
            <w:tcW w:w="1779" w:type="dxa"/>
            <w:tcBorders>
              <w:bottom w:val="single" w:color="auto" w:sz="12" w:space="0"/>
            </w:tcBorders>
            <w:vAlign w:val="center"/>
          </w:tcPr>
          <w:p>
            <w:pPr>
              <w:jc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408.61</w:t>
            </w:r>
          </w:p>
        </w:tc>
        <w:tc>
          <w:tcPr>
            <w:tcW w:w="1693" w:type="dxa"/>
            <w:tcBorders>
              <w:bottom w:val="single" w:color="auto" w:sz="12" w:space="0"/>
            </w:tcBorders>
            <w:vAlign w:val="center"/>
          </w:tcPr>
          <w:p>
            <w:pPr>
              <w:jc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462.15</w:t>
            </w:r>
          </w:p>
        </w:tc>
        <w:tc>
          <w:tcPr>
            <w:tcW w:w="1585" w:type="dxa"/>
            <w:tcBorders>
              <w:bottom w:val="single" w:color="auto" w:sz="12" w:space="0"/>
            </w:tcBorders>
            <w:vAlign w:val="center"/>
          </w:tcPr>
          <w:p>
            <w:pPr>
              <w:jc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53.56</w:t>
            </w:r>
          </w:p>
        </w:tc>
        <w:tc>
          <w:tcPr>
            <w:tcW w:w="1415" w:type="dxa"/>
            <w:tcBorders>
              <w:bottom w:val="single" w:color="auto" w:sz="12" w:space="0"/>
            </w:tcBorders>
            <w:vAlign w:val="center"/>
          </w:tcPr>
          <w:p>
            <w:pPr>
              <w:jc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113%</w:t>
            </w:r>
          </w:p>
        </w:tc>
      </w:tr>
    </w:tbl>
    <w:p>
      <w:pPr>
        <w:pStyle w:val="17"/>
        <w:spacing w:line="600" w:lineRule="exact"/>
        <w:rPr>
          <w:rFonts w:ascii="仿宋_GB2312" w:hAnsi="仿宋_GB2312" w:eastAsia="仿宋_GB2312" w:cs="仿宋_GB2312"/>
          <w:kern w:val="0"/>
          <w:sz w:val="28"/>
          <w:szCs w:val="28"/>
        </w:rPr>
      </w:pPr>
      <w:r>
        <w:rPr>
          <w:rFonts w:ascii="仿宋_GB2312" w:hAnsi="仿宋_GB2312" w:eastAsia="仿宋_GB2312" w:cs="仿宋_GB2312"/>
          <w:kern w:val="0"/>
          <w:sz w:val="28"/>
          <w:szCs w:val="28"/>
        </w:rPr>
        <w:t>4</w:t>
      </w:r>
      <w:r>
        <w:rPr>
          <w:rFonts w:hint="eastAsia" w:ascii="仿宋_GB2312" w:hAnsi="仿宋_GB2312" w:eastAsia="仿宋_GB2312" w:cs="仿宋_GB2312"/>
          <w:kern w:val="0"/>
          <w:sz w:val="28"/>
          <w:szCs w:val="28"/>
        </w:rPr>
        <w:t>、项目支出预算执行情况：</w:t>
      </w:r>
    </w:p>
    <w:tbl>
      <w:tblPr>
        <w:tblStyle w:val="10"/>
        <w:tblW w:w="9212" w:type="dxa"/>
        <w:tblInd w:w="-381"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2762"/>
        <w:gridCol w:w="1740"/>
        <w:gridCol w:w="1725"/>
        <w:gridCol w:w="1575"/>
        <w:gridCol w:w="1410"/>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52" w:hRule="exact"/>
        </w:trPr>
        <w:tc>
          <w:tcPr>
            <w:tcW w:w="2762" w:type="dxa"/>
            <w:tcBorders>
              <w:top w:val="single" w:color="auto" w:sz="12" w:space="0"/>
            </w:tcBorders>
            <w:vAlign w:val="center"/>
          </w:tcPr>
          <w:p>
            <w:pPr>
              <w:pStyle w:val="17"/>
              <w:spacing w:line="600" w:lineRule="exact"/>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项  目</w:t>
            </w:r>
          </w:p>
        </w:tc>
        <w:tc>
          <w:tcPr>
            <w:tcW w:w="1740" w:type="dxa"/>
            <w:tcBorders>
              <w:top w:val="single" w:color="auto" w:sz="12" w:space="0"/>
            </w:tcBorders>
            <w:vAlign w:val="center"/>
          </w:tcPr>
          <w:p>
            <w:pPr>
              <w:widowControl/>
              <w:spacing w:line="240" w:lineRule="exact"/>
              <w:jc w:val="center"/>
              <w:textAlignment w:val="center"/>
              <w:rPr>
                <w:rFonts w:ascii="仿宋_GB2312" w:hAnsi="仿宋_GB2312" w:eastAsia="仿宋_GB2312" w:cs="仿宋_GB2312"/>
                <w:b w:val="0"/>
                <w:bCs/>
                <w:kern w:val="0"/>
                <w:sz w:val="24"/>
                <w:szCs w:val="24"/>
              </w:rPr>
            </w:pPr>
            <w:r>
              <w:rPr>
                <w:rFonts w:hint="eastAsia" w:hAnsi="仿宋" w:cs="仿宋"/>
                <w:b w:val="0"/>
                <w:bCs/>
                <w:color w:val="000000"/>
                <w:kern w:val="0"/>
                <w:szCs w:val="21"/>
              </w:rPr>
              <w:t>预算支出（</w:t>
            </w:r>
            <w:r>
              <w:rPr>
                <w:rFonts w:hint="eastAsia" w:hAnsi="仿宋" w:cs="仿宋"/>
                <w:b w:val="0"/>
                <w:bCs/>
                <w:color w:val="000000"/>
                <w:kern w:val="0"/>
                <w:szCs w:val="21"/>
                <w:lang w:eastAsia="zh-CN"/>
              </w:rPr>
              <w:t>万</w:t>
            </w:r>
            <w:r>
              <w:rPr>
                <w:rFonts w:hint="eastAsia" w:hAnsi="仿宋" w:cs="仿宋"/>
                <w:b w:val="0"/>
                <w:bCs/>
                <w:color w:val="000000"/>
                <w:kern w:val="0"/>
                <w:szCs w:val="21"/>
              </w:rPr>
              <w:t>元）</w:t>
            </w:r>
          </w:p>
        </w:tc>
        <w:tc>
          <w:tcPr>
            <w:tcW w:w="1725" w:type="dxa"/>
            <w:tcBorders>
              <w:top w:val="single" w:color="auto" w:sz="12" w:space="0"/>
            </w:tcBorders>
            <w:vAlign w:val="center"/>
          </w:tcPr>
          <w:p>
            <w:pPr>
              <w:widowControl/>
              <w:spacing w:line="240" w:lineRule="exact"/>
              <w:jc w:val="center"/>
              <w:textAlignment w:val="center"/>
              <w:rPr>
                <w:rFonts w:ascii="仿宋_GB2312" w:hAnsi="仿宋_GB2312" w:eastAsia="仿宋_GB2312" w:cs="仿宋_GB2312"/>
                <w:b w:val="0"/>
                <w:bCs/>
                <w:kern w:val="0"/>
                <w:sz w:val="24"/>
                <w:szCs w:val="24"/>
              </w:rPr>
            </w:pPr>
            <w:r>
              <w:rPr>
                <w:rFonts w:hint="eastAsia" w:hAnsi="仿宋" w:cs="仿宋"/>
                <w:b w:val="0"/>
                <w:bCs/>
                <w:color w:val="000000"/>
                <w:kern w:val="0"/>
                <w:szCs w:val="21"/>
                <w:lang w:val="en-US" w:eastAsia="zh-CN"/>
              </w:rPr>
              <w:t>本年</w:t>
            </w:r>
            <w:r>
              <w:rPr>
                <w:rFonts w:hint="eastAsia" w:hAnsi="仿宋" w:cs="仿宋"/>
                <w:b w:val="0"/>
                <w:bCs/>
                <w:color w:val="000000"/>
                <w:kern w:val="0"/>
                <w:szCs w:val="21"/>
              </w:rPr>
              <w:t>支出（</w:t>
            </w:r>
            <w:r>
              <w:rPr>
                <w:rFonts w:hint="eastAsia" w:hAnsi="仿宋" w:cs="仿宋"/>
                <w:b w:val="0"/>
                <w:bCs/>
                <w:color w:val="000000"/>
                <w:kern w:val="0"/>
                <w:szCs w:val="21"/>
                <w:lang w:eastAsia="zh-CN"/>
              </w:rPr>
              <w:t>万</w:t>
            </w:r>
            <w:r>
              <w:rPr>
                <w:rFonts w:hint="eastAsia" w:hAnsi="仿宋" w:cs="仿宋"/>
                <w:b w:val="0"/>
                <w:bCs/>
                <w:color w:val="000000"/>
                <w:kern w:val="0"/>
                <w:szCs w:val="21"/>
              </w:rPr>
              <w:t>元）</w:t>
            </w:r>
          </w:p>
        </w:tc>
        <w:tc>
          <w:tcPr>
            <w:tcW w:w="1575" w:type="dxa"/>
            <w:tcBorders>
              <w:top w:val="single" w:color="auto" w:sz="12" w:space="0"/>
            </w:tcBorders>
            <w:vAlign w:val="center"/>
          </w:tcPr>
          <w:p>
            <w:pPr>
              <w:widowControl/>
              <w:spacing w:line="240" w:lineRule="exact"/>
              <w:jc w:val="center"/>
              <w:textAlignment w:val="center"/>
              <w:rPr>
                <w:rFonts w:ascii="仿宋_GB2312" w:hAnsi="仿宋_GB2312" w:eastAsia="仿宋_GB2312" w:cs="仿宋_GB2312"/>
                <w:b w:val="0"/>
                <w:bCs/>
                <w:kern w:val="0"/>
                <w:sz w:val="24"/>
                <w:szCs w:val="24"/>
              </w:rPr>
            </w:pPr>
            <w:r>
              <w:rPr>
                <w:rFonts w:hint="eastAsia" w:hAnsi="仿宋" w:cs="仿宋"/>
                <w:b w:val="0"/>
                <w:bCs/>
                <w:color w:val="000000"/>
                <w:kern w:val="0"/>
                <w:szCs w:val="21"/>
              </w:rPr>
              <w:t>超支（</w:t>
            </w:r>
            <w:r>
              <w:rPr>
                <w:rFonts w:hint="eastAsia" w:hAnsi="仿宋" w:cs="仿宋"/>
                <w:b w:val="0"/>
                <w:bCs/>
                <w:color w:val="000000"/>
                <w:kern w:val="0"/>
                <w:szCs w:val="21"/>
                <w:lang w:eastAsia="zh-CN"/>
              </w:rPr>
              <w:t>万</w:t>
            </w:r>
            <w:r>
              <w:rPr>
                <w:rFonts w:hint="eastAsia" w:hAnsi="仿宋" w:cs="仿宋"/>
                <w:b w:val="0"/>
                <w:bCs/>
                <w:color w:val="000000"/>
                <w:kern w:val="0"/>
                <w:szCs w:val="21"/>
              </w:rPr>
              <w:t>元）</w:t>
            </w:r>
          </w:p>
        </w:tc>
        <w:tc>
          <w:tcPr>
            <w:tcW w:w="1410" w:type="dxa"/>
            <w:tcBorders>
              <w:top w:val="single" w:color="auto" w:sz="12" w:space="0"/>
            </w:tcBorders>
            <w:vAlign w:val="center"/>
          </w:tcPr>
          <w:p>
            <w:pPr>
              <w:widowControl/>
              <w:spacing w:line="240" w:lineRule="exact"/>
              <w:jc w:val="center"/>
              <w:textAlignment w:val="center"/>
              <w:rPr>
                <w:rFonts w:cs="仿宋"/>
                <w:b w:val="0"/>
                <w:bCs/>
                <w:color w:val="000000"/>
                <w:kern w:val="0"/>
                <w:szCs w:val="21"/>
              </w:rPr>
            </w:pPr>
            <w:r>
              <w:rPr>
                <w:rFonts w:hint="eastAsia" w:hAnsi="仿宋" w:cs="仿宋"/>
                <w:b w:val="0"/>
                <w:bCs/>
                <w:color w:val="000000"/>
                <w:kern w:val="0"/>
                <w:szCs w:val="21"/>
              </w:rPr>
              <w:t>预算执行</w:t>
            </w:r>
          </w:p>
          <w:p>
            <w:pPr>
              <w:widowControl/>
              <w:spacing w:line="240" w:lineRule="exact"/>
              <w:jc w:val="center"/>
              <w:textAlignment w:val="center"/>
              <w:rPr>
                <w:rFonts w:ascii="仿宋_GB2312" w:hAnsi="仿宋_GB2312" w:eastAsia="仿宋_GB2312" w:cs="仿宋_GB2312"/>
                <w:b w:val="0"/>
                <w:bCs/>
                <w:kern w:val="0"/>
                <w:sz w:val="24"/>
                <w:szCs w:val="24"/>
              </w:rPr>
            </w:pPr>
            <w:r>
              <w:rPr>
                <w:rFonts w:hint="eastAsia" w:hAnsi="仿宋" w:cs="仿宋"/>
                <w:b w:val="0"/>
                <w:bCs/>
                <w:color w:val="000000"/>
                <w:kern w:val="0"/>
                <w:szCs w:val="21"/>
              </w:rPr>
              <w:t>完成率</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705" w:hRule="exact"/>
        </w:trPr>
        <w:tc>
          <w:tcPr>
            <w:tcW w:w="2762" w:type="dxa"/>
            <w:vAlign w:val="center"/>
          </w:tcPr>
          <w:p>
            <w:pPr>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val="en-US" w:eastAsia="zh-CN"/>
              </w:rPr>
              <w:t>农民负担监督专项经费</w:t>
            </w:r>
          </w:p>
        </w:tc>
        <w:tc>
          <w:tcPr>
            <w:tcW w:w="1740" w:type="dxa"/>
            <w:vAlign w:val="center"/>
          </w:tcPr>
          <w:p>
            <w:pPr>
              <w:jc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6.6</w:t>
            </w:r>
          </w:p>
        </w:tc>
        <w:tc>
          <w:tcPr>
            <w:tcW w:w="1725" w:type="dxa"/>
            <w:vAlign w:val="center"/>
          </w:tcPr>
          <w:p>
            <w:pPr>
              <w:widowControl/>
              <w:wordWrap/>
              <w:spacing w:line="600" w:lineRule="exact"/>
              <w:jc w:val="center"/>
              <w:textAlignment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6.6</w:t>
            </w:r>
          </w:p>
        </w:tc>
        <w:tc>
          <w:tcPr>
            <w:tcW w:w="1575" w:type="dxa"/>
            <w:vAlign w:val="center"/>
          </w:tcPr>
          <w:p>
            <w:pPr>
              <w:widowControl/>
              <w:spacing w:line="600" w:lineRule="exact"/>
              <w:jc w:val="center"/>
              <w:textAlignment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0</w:t>
            </w:r>
          </w:p>
        </w:tc>
        <w:tc>
          <w:tcPr>
            <w:tcW w:w="1410" w:type="dxa"/>
            <w:vAlign w:val="center"/>
          </w:tcPr>
          <w:p>
            <w:pPr>
              <w:widowControl/>
              <w:spacing w:line="600" w:lineRule="exact"/>
              <w:jc w:val="center"/>
              <w:textAlignment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100%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705" w:hRule="exact"/>
        </w:trPr>
        <w:tc>
          <w:tcPr>
            <w:tcW w:w="2762" w:type="dxa"/>
            <w:vAlign w:val="center"/>
          </w:tcPr>
          <w:p>
            <w:pPr>
              <w:jc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土地流转与仲裁专项工作经费</w:t>
            </w:r>
          </w:p>
        </w:tc>
        <w:tc>
          <w:tcPr>
            <w:tcW w:w="1740" w:type="dxa"/>
            <w:vAlign w:val="center"/>
          </w:tcPr>
          <w:p>
            <w:pPr>
              <w:jc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10</w:t>
            </w:r>
          </w:p>
        </w:tc>
        <w:tc>
          <w:tcPr>
            <w:tcW w:w="1725" w:type="dxa"/>
            <w:vAlign w:val="center"/>
          </w:tcPr>
          <w:p>
            <w:pPr>
              <w:widowControl/>
              <w:wordWrap/>
              <w:spacing w:line="600" w:lineRule="exact"/>
              <w:jc w:val="center"/>
              <w:textAlignment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10</w:t>
            </w:r>
          </w:p>
        </w:tc>
        <w:tc>
          <w:tcPr>
            <w:tcW w:w="1575" w:type="dxa"/>
            <w:vAlign w:val="center"/>
          </w:tcPr>
          <w:p>
            <w:pPr>
              <w:widowControl/>
              <w:spacing w:line="600" w:lineRule="exact"/>
              <w:jc w:val="center"/>
              <w:textAlignment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0</w:t>
            </w:r>
          </w:p>
        </w:tc>
        <w:tc>
          <w:tcPr>
            <w:tcW w:w="1410" w:type="dxa"/>
            <w:vAlign w:val="center"/>
          </w:tcPr>
          <w:p>
            <w:pPr>
              <w:widowControl/>
              <w:spacing w:line="600" w:lineRule="exact"/>
              <w:jc w:val="center"/>
              <w:textAlignment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100%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705" w:hRule="exact"/>
        </w:trPr>
        <w:tc>
          <w:tcPr>
            <w:tcW w:w="2762" w:type="dxa"/>
            <w:vAlign w:val="center"/>
          </w:tcPr>
          <w:p>
            <w:pPr>
              <w:jc w:val="center"/>
              <w:rPr>
                <w:rFonts w:hint="default"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解决农村集体产权制度改革管理经费（20231220追加）</w:t>
            </w:r>
          </w:p>
        </w:tc>
        <w:tc>
          <w:tcPr>
            <w:tcW w:w="1740" w:type="dxa"/>
            <w:vAlign w:val="center"/>
          </w:tcPr>
          <w:p>
            <w:pPr>
              <w:jc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20</w:t>
            </w:r>
          </w:p>
        </w:tc>
        <w:tc>
          <w:tcPr>
            <w:tcW w:w="1725" w:type="dxa"/>
            <w:vAlign w:val="center"/>
          </w:tcPr>
          <w:p>
            <w:pPr>
              <w:widowControl/>
              <w:wordWrap/>
              <w:spacing w:line="600" w:lineRule="exact"/>
              <w:jc w:val="center"/>
              <w:textAlignment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20</w:t>
            </w:r>
          </w:p>
        </w:tc>
        <w:tc>
          <w:tcPr>
            <w:tcW w:w="1575" w:type="dxa"/>
            <w:vAlign w:val="center"/>
          </w:tcPr>
          <w:p>
            <w:pPr>
              <w:widowControl/>
              <w:spacing w:line="600" w:lineRule="exact"/>
              <w:jc w:val="center"/>
              <w:textAlignment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0</w:t>
            </w:r>
          </w:p>
        </w:tc>
        <w:tc>
          <w:tcPr>
            <w:tcW w:w="1410" w:type="dxa"/>
            <w:vAlign w:val="center"/>
          </w:tcPr>
          <w:p>
            <w:pPr>
              <w:widowControl/>
              <w:spacing w:line="600" w:lineRule="exact"/>
              <w:jc w:val="center"/>
              <w:textAlignment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100%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5" w:hRule="exact"/>
        </w:trPr>
        <w:tc>
          <w:tcPr>
            <w:tcW w:w="2762" w:type="dxa"/>
            <w:vAlign w:val="center"/>
          </w:tcPr>
          <w:p>
            <w:pPr>
              <w:widowControl/>
              <w:spacing w:line="600" w:lineRule="exact"/>
              <w:jc w:val="center"/>
              <w:textAlignment w:val="center"/>
              <w:rPr>
                <w:rFonts w:ascii="仿宋_GB2312" w:hAnsi="仿宋_GB2312" w:eastAsia="仿宋_GB2312" w:cs="仿宋_GB2312"/>
                <w:b/>
                <w:bCs/>
                <w:kern w:val="0"/>
                <w:sz w:val="24"/>
              </w:rPr>
            </w:pPr>
            <w:r>
              <w:rPr>
                <w:rFonts w:hint="eastAsia" w:ascii="仿宋_GB2312" w:hAnsi="仿宋_GB2312" w:eastAsia="仿宋_GB2312" w:cs="仿宋_GB2312"/>
                <w:b/>
                <w:bCs/>
                <w:kern w:val="0"/>
                <w:sz w:val="24"/>
              </w:rPr>
              <w:t>合</w:t>
            </w:r>
            <w:r>
              <w:rPr>
                <w:rFonts w:ascii="仿宋_GB2312" w:hAnsi="仿宋_GB2312" w:eastAsia="仿宋_GB2312" w:cs="仿宋_GB2312"/>
                <w:b/>
                <w:bCs/>
                <w:kern w:val="0"/>
                <w:sz w:val="24"/>
              </w:rPr>
              <w:t xml:space="preserve">   </w:t>
            </w:r>
            <w:r>
              <w:rPr>
                <w:rFonts w:hint="eastAsia" w:ascii="仿宋_GB2312" w:hAnsi="仿宋_GB2312" w:eastAsia="仿宋_GB2312" w:cs="仿宋_GB2312"/>
                <w:b/>
                <w:bCs/>
                <w:kern w:val="0"/>
                <w:sz w:val="24"/>
              </w:rPr>
              <w:t>计</w:t>
            </w:r>
          </w:p>
        </w:tc>
        <w:tc>
          <w:tcPr>
            <w:tcW w:w="1740" w:type="dxa"/>
            <w:vAlign w:val="center"/>
          </w:tcPr>
          <w:p>
            <w:pPr>
              <w:widowControl/>
              <w:spacing w:line="600" w:lineRule="exact"/>
              <w:jc w:val="center"/>
              <w:textAlignment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34.6</w:t>
            </w:r>
          </w:p>
        </w:tc>
        <w:tc>
          <w:tcPr>
            <w:tcW w:w="1725" w:type="dxa"/>
            <w:vAlign w:val="center"/>
          </w:tcPr>
          <w:p>
            <w:pPr>
              <w:widowControl/>
              <w:wordWrap/>
              <w:spacing w:line="600" w:lineRule="exact"/>
              <w:jc w:val="center"/>
              <w:textAlignment w:val="center"/>
              <w:rPr>
                <w:rFonts w:hint="default"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24.6</w:t>
            </w:r>
          </w:p>
        </w:tc>
        <w:tc>
          <w:tcPr>
            <w:tcW w:w="1575" w:type="dxa"/>
            <w:vAlign w:val="center"/>
          </w:tcPr>
          <w:p>
            <w:pPr>
              <w:widowControl/>
              <w:spacing w:line="600" w:lineRule="exact"/>
              <w:jc w:val="center"/>
              <w:textAlignment w:val="center"/>
              <w:rPr>
                <w:rFonts w:hint="default"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lang w:val="en-US" w:eastAsia="zh-CN"/>
              </w:rPr>
              <w:t>0</w:t>
            </w:r>
          </w:p>
        </w:tc>
        <w:tc>
          <w:tcPr>
            <w:tcW w:w="1410" w:type="dxa"/>
            <w:vAlign w:val="center"/>
          </w:tcPr>
          <w:p>
            <w:pPr>
              <w:widowControl/>
              <w:spacing w:line="600" w:lineRule="exact"/>
              <w:jc w:val="center"/>
              <w:textAlignment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100%</w:t>
            </w:r>
          </w:p>
        </w:tc>
      </w:tr>
    </w:tbl>
    <w:p>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snapToGrid/>
        <w:spacing w:line="240" w:lineRule="auto"/>
        <w:ind w:leftChars="0" w:firstLine="0" w:firstLineChars="0"/>
        <w:textAlignment w:val="auto"/>
        <w:rPr>
          <w:rFonts w:hint="default"/>
          <w:lang w:val="en-US" w:eastAsia="zh-CN"/>
        </w:rPr>
      </w:pPr>
      <w:r>
        <w:rPr>
          <w:rFonts w:hint="eastAsia" w:ascii="仿宋" w:hAnsi="仿宋" w:eastAsia="仿宋" w:cs="宋体"/>
          <w:b/>
          <w:bCs w:val="0"/>
          <w:kern w:val="0"/>
          <w:sz w:val="32"/>
          <w:szCs w:val="32"/>
          <w:lang w:val="en-US" w:eastAsia="zh-CN"/>
        </w:rPr>
        <w:t>5.年中追加指标明细</w:t>
      </w:r>
    </w:p>
    <w:tbl>
      <w:tblPr>
        <w:tblStyle w:val="10"/>
        <w:tblW w:w="9322" w:type="dxa"/>
        <w:tblInd w:w="-36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807"/>
        <w:gridCol w:w="15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807" w:type="dxa"/>
            <w:tcBorders>
              <w:top w:val="single" w:color="auto" w:sz="4" w:space="0"/>
              <w:left w:val="single" w:color="auto" w:sz="4" w:space="0"/>
              <w:bottom w:val="single" w:color="000000" w:sz="4" w:space="0"/>
              <w:right w:val="single" w:color="000000" w:sz="4" w:space="0"/>
            </w:tcBorders>
            <w:shd w:val="clear" w:color="auto" w:fill="auto"/>
            <w:noWrap/>
            <w:vAlign w:val="center"/>
          </w:tcPr>
          <w:p>
            <w:pPr>
              <w:widowControl/>
              <w:spacing w:line="600" w:lineRule="exact"/>
              <w:jc w:val="center"/>
              <w:textAlignment w:val="center"/>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lang w:val="en-US" w:eastAsia="zh-CN"/>
              </w:rPr>
              <w:t>追加指标内容</w:t>
            </w:r>
          </w:p>
        </w:tc>
        <w:tc>
          <w:tcPr>
            <w:tcW w:w="1515" w:type="dxa"/>
            <w:tcBorders>
              <w:top w:val="single" w:color="auto" w:sz="4" w:space="0"/>
              <w:left w:val="single" w:color="000000" w:sz="4" w:space="0"/>
              <w:bottom w:val="single" w:color="000000" w:sz="4" w:space="0"/>
              <w:right w:val="single" w:color="auto" w:sz="4" w:space="0"/>
            </w:tcBorders>
            <w:shd w:val="clear" w:color="auto" w:fill="auto"/>
            <w:noWrap/>
            <w:vAlign w:val="center"/>
          </w:tcPr>
          <w:p>
            <w:pPr>
              <w:widowControl/>
              <w:spacing w:line="600" w:lineRule="exact"/>
              <w:jc w:val="center"/>
              <w:textAlignment w:val="center"/>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lang w:val="en-US" w:eastAsia="zh-CN"/>
              </w:rPr>
              <w:t>金额（万元）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807"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spacing w:line="600" w:lineRule="exact"/>
              <w:jc w:val="center"/>
              <w:textAlignment w:val="center"/>
              <w:rPr>
                <w:rFonts w:hint="default" w:ascii="仿宋_GB2312" w:hAnsi="仿宋_GB2312" w:eastAsia="仿宋_GB2312" w:cs="仿宋_GB2312"/>
                <w:b w:val="0"/>
                <w:bCs w:val="0"/>
                <w:kern w:val="0"/>
                <w:sz w:val="24"/>
                <w:lang w:val="en-US"/>
              </w:rPr>
            </w:pPr>
            <w:r>
              <w:rPr>
                <w:rFonts w:hint="eastAsia" w:ascii="仿宋_GB2312" w:hAnsi="仿宋_GB2312" w:eastAsia="仿宋_GB2312" w:cs="仿宋_GB2312"/>
                <w:b w:val="0"/>
                <w:bCs w:val="0"/>
                <w:kern w:val="0"/>
                <w:sz w:val="24"/>
                <w:lang w:val="en-US" w:eastAsia="zh-CN"/>
              </w:rPr>
              <w:t>追加2022年离退休人员规范津补贴</w:t>
            </w:r>
          </w:p>
        </w:tc>
        <w:tc>
          <w:tcPr>
            <w:tcW w:w="1515"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spacing w:line="600" w:lineRule="exact"/>
              <w:jc w:val="center"/>
              <w:textAlignment w:val="center"/>
              <w:rPr>
                <w:rFonts w:hint="default" w:ascii="仿宋_GB2312" w:hAnsi="仿宋_GB2312" w:eastAsia="仿宋_GB2312" w:cs="仿宋_GB2312"/>
                <w:b w:val="0"/>
                <w:bCs w:val="0"/>
                <w:kern w:val="0"/>
                <w:sz w:val="24"/>
                <w:lang w:val="en-US" w:eastAsia="zh-CN"/>
              </w:rPr>
            </w:pPr>
            <w:r>
              <w:rPr>
                <w:rFonts w:hint="eastAsia" w:ascii="仿宋_GB2312" w:hAnsi="仿宋_GB2312" w:eastAsia="仿宋_GB2312" w:cs="仿宋_GB2312"/>
                <w:b w:val="0"/>
                <w:bCs w:val="0"/>
                <w:kern w:val="0"/>
                <w:sz w:val="24"/>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807"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spacing w:line="600" w:lineRule="exact"/>
              <w:jc w:val="center"/>
              <w:textAlignment w:val="center"/>
              <w:rPr>
                <w:rFonts w:hint="default" w:ascii="仿宋_GB2312" w:hAnsi="仿宋_GB2312" w:eastAsia="仿宋_GB2312" w:cs="仿宋_GB2312"/>
                <w:b w:val="0"/>
                <w:bCs w:val="0"/>
                <w:kern w:val="0"/>
                <w:sz w:val="24"/>
                <w:lang w:val="en-US" w:eastAsia="zh-CN"/>
              </w:rPr>
            </w:pPr>
            <w:r>
              <w:rPr>
                <w:rFonts w:hint="eastAsia" w:ascii="仿宋_GB2312" w:hAnsi="仿宋_GB2312" w:eastAsia="仿宋_GB2312" w:cs="仿宋_GB2312"/>
                <w:b w:val="0"/>
                <w:bCs w:val="0"/>
                <w:kern w:val="0"/>
                <w:sz w:val="24"/>
                <w:lang w:val="en-US" w:eastAsia="zh-CN"/>
              </w:rPr>
              <w:t>追加新进人员经费</w:t>
            </w:r>
          </w:p>
        </w:tc>
        <w:tc>
          <w:tcPr>
            <w:tcW w:w="1515"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spacing w:line="600" w:lineRule="exact"/>
              <w:jc w:val="center"/>
              <w:textAlignment w:val="center"/>
              <w:rPr>
                <w:rFonts w:hint="default" w:ascii="仿宋_GB2312" w:hAnsi="仿宋_GB2312" w:eastAsia="仿宋_GB2312" w:cs="仿宋_GB2312"/>
                <w:b w:val="0"/>
                <w:bCs w:val="0"/>
                <w:kern w:val="0"/>
                <w:sz w:val="24"/>
                <w:lang w:val="en-US"/>
              </w:rPr>
            </w:pPr>
            <w:r>
              <w:rPr>
                <w:rFonts w:hint="eastAsia" w:ascii="仿宋_GB2312" w:hAnsi="仿宋_GB2312" w:eastAsia="仿宋_GB2312" w:cs="仿宋_GB2312"/>
                <w:b w:val="0"/>
                <w:bCs w:val="0"/>
                <w:kern w:val="0"/>
                <w:sz w:val="24"/>
                <w:lang w:val="en-US" w:eastAsia="zh-CN"/>
              </w:rPr>
              <w:t>11.01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807"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spacing w:line="600" w:lineRule="exact"/>
              <w:jc w:val="center"/>
              <w:textAlignment w:val="center"/>
              <w:rPr>
                <w:rFonts w:hint="default" w:ascii="仿宋_GB2312" w:hAnsi="仿宋_GB2312" w:eastAsia="仿宋_GB2312" w:cs="仿宋_GB2312"/>
                <w:b w:val="0"/>
                <w:bCs w:val="0"/>
                <w:kern w:val="0"/>
                <w:sz w:val="24"/>
                <w:lang w:val="en-US"/>
              </w:rPr>
            </w:pPr>
            <w:r>
              <w:rPr>
                <w:rFonts w:hint="eastAsia" w:ascii="仿宋_GB2312" w:hAnsi="仿宋_GB2312" w:eastAsia="仿宋_GB2312" w:cs="仿宋_GB2312"/>
                <w:b w:val="0"/>
                <w:bCs w:val="0"/>
                <w:kern w:val="0"/>
                <w:sz w:val="24"/>
                <w:lang w:val="en-US" w:eastAsia="zh-CN"/>
              </w:rPr>
              <w:t>解决国产化年初预算安排预备费</w:t>
            </w:r>
          </w:p>
        </w:tc>
        <w:tc>
          <w:tcPr>
            <w:tcW w:w="1515"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spacing w:line="600" w:lineRule="exact"/>
              <w:jc w:val="center"/>
              <w:textAlignment w:val="center"/>
              <w:rPr>
                <w:rFonts w:hint="default" w:ascii="仿宋_GB2312" w:hAnsi="仿宋_GB2312" w:eastAsia="仿宋_GB2312" w:cs="仿宋_GB2312"/>
                <w:b w:val="0"/>
                <w:bCs w:val="0"/>
                <w:kern w:val="0"/>
                <w:sz w:val="24"/>
                <w:lang w:val="en-US"/>
              </w:rPr>
            </w:pPr>
            <w:r>
              <w:rPr>
                <w:rFonts w:hint="eastAsia" w:ascii="仿宋_GB2312" w:hAnsi="仿宋_GB2312" w:eastAsia="仿宋_GB2312" w:cs="仿宋_GB2312"/>
                <w:b w:val="0"/>
                <w:bCs w:val="0"/>
                <w:kern w:val="0"/>
                <w:sz w:val="24"/>
                <w:lang w:val="en-US" w:eastAsia="zh-CN"/>
              </w:rPr>
              <w:t>0.77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807"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spacing w:line="600" w:lineRule="exact"/>
              <w:jc w:val="center"/>
              <w:textAlignment w:val="center"/>
              <w:rPr>
                <w:rFonts w:hint="default" w:ascii="仿宋_GB2312" w:hAnsi="仿宋_GB2312" w:eastAsia="仿宋_GB2312" w:cs="仿宋_GB2312"/>
                <w:b w:val="0"/>
                <w:bCs w:val="0"/>
                <w:kern w:val="0"/>
                <w:sz w:val="24"/>
                <w:lang w:val="en-US" w:eastAsia="zh-CN"/>
              </w:rPr>
            </w:pPr>
            <w:r>
              <w:rPr>
                <w:rFonts w:hint="eastAsia" w:ascii="仿宋_GB2312" w:hAnsi="仿宋_GB2312" w:eastAsia="仿宋_GB2312" w:cs="仿宋_GB2312"/>
                <w:b w:val="0"/>
                <w:bCs w:val="0"/>
                <w:kern w:val="0"/>
                <w:sz w:val="24"/>
                <w:lang w:val="en-US" w:eastAsia="zh-CN"/>
              </w:rPr>
              <w:t>解决农村集体产权制度改革管理工作经费</w:t>
            </w:r>
          </w:p>
        </w:tc>
        <w:tc>
          <w:tcPr>
            <w:tcW w:w="1515"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spacing w:line="600" w:lineRule="exact"/>
              <w:jc w:val="center"/>
              <w:textAlignment w:val="center"/>
              <w:rPr>
                <w:rFonts w:hint="default" w:ascii="仿宋_GB2312" w:hAnsi="仿宋_GB2312" w:eastAsia="仿宋_GB2312" w:cs="仿宋_GB2312"/>
                <w:b w:val="0"/>
                <w:bCs w:val="0"/>
                <w:kern w:val="0"/>
                <w:sz w:val="24"/>
                <w:lang w:val="en-US" w:eastAsia="zh-CN"/>
              </w:rPr>
            </w:pPr>
            <w:r>
              <w:rPr>
                <w:rFonts w:hint="eastAsia" w:ascii="仿宋_GB2312" w:hAnsi="仿宋_GB2312" w:eastAsia="仿宋_GB2312" w:cs="仿宋_GB2312"/>
                <w:b w:val="0"/>
                <w:bCs w:val="0"/>
                <w:kern w:val="0"/>
                <w:sz w:val="24"/>
                <w:lang w:val="en-US" w:eastAsia="zh-CN"/>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70" w:hRule="atLeast"/>
        </w:trPr>
        <w:tc>
          <w:tcPr>
            <w:tcW w:w="7807" w:type="dxa"/>
            <w:tcBorders>
              <w:top w:val="single" w:color="000000" w:sz="4" w:space="0"/>
              <w:left w:val="single" w:color="auto" w:sz="4" w:space="0"/>
              <w:bottom w:val="single" w:color="auto" w:sz="4" w:space="0"/>
              <w:right w:val="single" w:color="000000" w:sz="4" w:space="0"/>
            </w:tcBorders>
            <w:shd w:val="clear" w:color="auto" w:fill="auto"/>
            <w:noWrap/>
            <w:vAlign w:val="center"/>
          </w:tcPr>
          <w:p>
            <w:pPr>
              <w:widowControl/>
              <w:spacing w:line="600" w:lineRule="exact"/>
              <w:jc w:val="center"/>
              <w:textAlignment w:val="center"/>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lang w:val="en-US" w:eastAsia="zh-CN"/>
              </w:rPr>
              <w:t>合计</w:t>
            </w:r>
          </w:p>
        </w:tc>
        <w:tc>
          <w:tcPr>
            <w:tcW w:w="1515" w:type="dxa"/>
            <w:tcBorders>
              <w:top w:val="single" w:color="000000" w:sz="4" w:space="0"/>
              <w:left w:val="single" w:color="000000" w:sz="4" w:space="0"/>
              <w:bottom w:val="single" w:color="auto" w:sz="4" w:space="0"/>
              <w:right w:val="single" w:color="auto" w:sz="4" w:space="0"/>
            </w:tcBorders>
            <w:shd w:val="clear" w:color="auto" w:fill="auto"/>
            <w:noWrap/>
            <w:vAlign w:val="center"/>
          </w:tcPr>
          <w:p>
            <w:pPr>
              <w:widowControl/>
              <w:spacing w:line="600" w:lineRule="exact"/>
              <w:jc w:val="center"/>
              <w:textAlignment w:val="center"/>
              <w:rPr>
                <w:rFonts w:hint="default" w:ascii="仿宋_GB2312" w:hAnsi="仿宋_GB2312" w:eastAsia="仿宋_GB2312" w:cs="仿宋_GB2312"/>
                <w:b w:val="0"/>
                <w:bCs w:val="0"/>
                <w:kern w:val="0"/>
                <w:sz w:val="24"/>
                <w:lang w:val="en-US"/>
              </w:rPr>
            </w:pPr>
            <w:r>
              <w:rPr>
                <w:rFonts w:hint="eastAsia" w:ascii="仿宋_GB2312" w:hAnsi="仿宋_GB2312" w:eastAsia="仿宋_GB2312" w:cs="仿宋_GB2312"/>
                <w:b w:val="0"/>
                <w:bCs w:val="0"/>
                <w:kern w:val="0"/>
                <w:sz w:val="24"/>
                <w:lang w:val="en-US" w:eastAsia="zh-CN"/>
              </w:rPr>
              <w:t>33.78</w:t>
            </w:r>
          </w:p>
        </w:tc>
      </w:tr>
    </w:tbl>
    <w:p>
      <w:pPr>
        <w:widowControl/>
        <w:spacing w:line="600" w:lineRule="exact"/>
        <w:jc w:val="center"/>
        <w:textAlignment w:val="center"/>
        <w:rPr>
          <w:rFonts w:hint="eastAsia" w:ascii="仿宋_GB2312" w:hAnsi="仿宋_GB2312" w:eastAsia="仿宋_GB2312" w:cs="仿宋_GB2312"/>
          <w:b/>
          <w:bCs/>
          <w:kern w:val="0"/>
          <w:sz w:val="24"/>
        </w:rPr>
      </w:pPr>
    </w:p>
    <w:p>
      <w:pPr>
        <w:pBdr>
          <w:bottom w:val="single" w:color="FFFFFF" w:sz="4" w:space="31"/>
        </w:pBdr>
        <w:tabs>
          <w:tab w:val="left" w:pos="1440"/>
        </w:tabs>
        <w:rPr>
          <w:rFonts w:hint="eastAsia" w:ascii="仿宋" w:hAnsi="仿宋" w:eastAsia="仿宋" w:cs="宋体"/>
          <w:b/>
          <w:bCs/>
          <w:kern w:val="0"/>
          <w:sz w:val="32"/>
          <w:szCs w:val="32"/>
        </w:rPr>
      </w:pPr>
    </w:p>
    <w:p>
      <w:pPr>
        <w:pBdr>
          <w:bottom w:val="single" w:color="FFFFFF" w:sz="4" w:space="31"/>
        </w:pBdr>
        <w:tabs>
          <w:tab w:val="left" w:pos="1440"/>
        </w:tabs>
        <w:rPr>
          <w:rFonts w:hint="eastAsia" w:ascii="仿宋" w:hAnsi="仿宋" w:eastAsia="仿宋" w:cs="宋体"/>
          <w:b/>
          <w:bCs/>
          <w:kern w:val="0"/>
          <w:sz w:val="32"/>
          <w:szCs w:val="32"/>
        </w:rPr>
      </w:pPr>
    </w:p>
    <w:p>
      <w:pPr>
        <w:pBdr>
          <w:bottom w:val="single" w:color="FFFFFF" w:sz="4" w:space="31"/>
        </w:pBdr>
        <w:tabs>
          <w:tab w:val="left" w:pos="1440"/>
        </w:tabs>
        <w:rPr>
          <w:rFonts w:hint="eastAsia" w:ascii="仿宋" w:hAnsi="仿宋" w:eastAsia="仿宋" w:cs="宋体"/>
          <w:b/>
          <w:bCs/>
          <w:kern w:val="0"/>
          <w:sz w:val="32"/>
          <w:szCs w:val="32"/>
        </w:rPr>
      </w:pPr>
    </w:p>
    <w:p>
      <w:pPr>
        <w:pBdr>
          <w:bottom w:val="single" w:color="FFFFFF" w:sz="4" w:space="31"/>
        </w:pBdr>
        <w:tabs>
          <w:tab w:val="left" w:pos="1440"/>
        </w:tabs>
        <w:rPr>
          <w:rFonts w:hint="eastAsia" w:ascii="仿宋" w:hAnsi="仿宋" w:eastAsia="仿宋" w:cs="宋体"/>
          <w:b/>
          <w:bCs/>
          <w:kern w:val="0"/>
          <w:sz w:val="32"/>
          <w:szCs w:val="32"/>
        </w:rPr>
      </w:pPr>
    </w:p>
    <w:p>
      <w:pPr>
        <w:pBdr>
          <w:bottom w:val="single" w:color="FFFFFF" w:sz="4" w:space="31"/>
        </w:pBdr>
        <w:tabs>
          <w:tab w:val="left" w:pos="1440"/>
        </w:tabs>
        <w:rPr>
          <w:rFonts w:hint="eastAsia" w:ascii="仿宋" w:hAnsi="仿宋" w:eastAsia="仿宋" w:cs="宋体"/>
          <w:b/>
          <w:bCs/>
          <w:kern w:val="0"/>
          <w:sz w:val="32"/>
          <w:szCs w:val="32"/>
        </w:rPr>
      </w:pPr>
    </w:p>
    <w:p>
      <w:pPr>
        <w:pBdr>
          <w:bottom w:val="single" w:color="FFFFFF" w:sz="4" w:space="31"/>
        </w:pBdr>
        <w:tabs>
          <w:tab w:val="left" w:pos="1440"/>
        </w:tabs>
        <w:rPr>
          <w:rFonts w:hint="eastAsia" w:ascii="仿宋" w:hAnsi="仿宋" w:eastAsia="仿宋" w:cs="宋体"/>
          <w:b/>
          <w:bCs/>
          <w:kern w:val="0"/>
          <w:sz w:val="32"/>
          <w:szCs w:val="32"/>
        </w:rPr>
      </w:pPr>
    </w:p>
    <w:p>
      <w:pPr>
        <w:pBdr>
          <w:bottom w:val="single" w:color="FFFFFF" w:sz="4" w:space="31"/>
        </w:pBdr>
        <w:tabs>
          <w:tab w:val="left" w:pos="1440"/>
        </w:tabs>
        <w:rPr>
          <w:rFonts w:hint="eastAsia" w:ascii="仿宋" w:hAnsi="仿宋" w:eastAsia="仿宋" w:cs="宋体"/>
          <w:b/>
          <w:bCs/>
          <w:kern w:val="0"/>
          <w:sz w:val="32"/>
          <w:szCs w:val="32"/>
        </w:rPr>
      </w:pPr>
    </w:p>
    <w:p>
      <w:pPr>
        <w:pBdr>
          <w:bottom w:val="single" w:color="FFFFFF" w:sz="4" w:space="31"/>
        </w:pBdr>
        <w:tabs>
          <w:tab w:val="left" w:pos="1440"/>
        </w:tabs>
        <w:rPr>
          <w:rFonts w:hint="eastAsia" w:ascii="仿宋" w:hAnsi="仿宋" w:eastAsia="仿宋" w:cs="宋体"/>
          <w:b/>
          <w:bCs/>
          <w:kern w:val="0"/>
          <w:sz w:val="32"/>
          <w:szCs w:val="32"/>
        </w:rPr>
      </w:pPr>
    </w:p>
    <w:p>
      <w:pPr>
        <w:pBdr>
          <w:bottom w:val="single" w:color="FFFFFF" w:sz="4" w:space="31"/>
        </w:pBdr>
        <w:tabs>
          <w:tab w:val="left" w:pos="1440"/>
        </w:tabs>
        <w:rPr>
          <w:rFonts w:hint="eastAsia" w:ascii="仿宋" w:hAnsi="仿宋" w:eastAsia="仿宋" w:cs="宋体"/>
          <w:b/>
          <w:bCs/>
          <w:kern w:val="0"/>
          <w:sz w:val="32"/>
          <w:szCs w:val="32"/>
          <w:lang w:eastAsia="zh-CN"/>
        </w:rPr>
      </w:pPr>
      <w:r>
        <w:rPr>
          <w:rFonts w:hint="eastAsia" w:ascii="仿宋" w:hAnsi="仿宋" w:eastAsia="仿宋" w:cs="宋体"/>
          <w:b/>
          <w:bCs/>
          <w:kern w:val="0"/>
          <w:sz w:val="32"/>
          <w:szCs w:val="32"/>
        </w:rPr>
        <w:t>附件</w:t>
      </w:r>
      <w:r>
        <w:rPr>
          <w:rFonts w:hint="eastAsia" w:ascii="仿宋" w:hAnsi="仿宋" w:eastAsia="仿宋" w:cs="宋体"/>
          <w:b/>
          <w:bCs/>
          <w:kern w:val="0"/>
          <w:sz w:val="32"/>
          <w:szCs w:val="32"/>
          <w:lang w:val="en-US" w:eastAsia="zh-CN"/>
        </w:rPr>
        <w:t xml:space="preserve">2 </w:t>
      </w:r>
    </w:p>
    <w:p>
      <w:pPr>
        <w:pBdr>
          <w:bottom w:val="single" w:color="FFFFFF" w:sz="4" w:space="31"/>
        </w:pBdr>
        <w:tabs>
          <w:tab w:val="left" w:pos="1440"/>
        </w:tabs>
        <w:spacing w:line="240" w:lineRule="auto"/>
        <w:ind w:leftChars="0" w:right="0" w:rightChars="0" w:firstLine="0"/>
        <w:jc w:val="center"/>
        <w:rPr>
          <w:rFonts w:ascii="宋体" w:hAnsi="宋体" w:cs="方正小标宋_GBK"/>
          <w:b/>
          <w:kern w:val="0"/>
          <w:sz w:val="36"/>
          <w:szCs w:val="36"/>
        </w:rPr>
      </w:pPr>
      <w:r>
        <w:rPr>
          <w:rFonts w:hint="eastAsia" w:ascii="宋体" w:hAnsi="宋体" w:cs="方正小标宋_GBK"/>
          <w:b/>
          <w:kern w:val="0"/>
          <w:sz w:val="36"/>
          <w:szCs w:val="36"/>
          <w:lang w:val="en-US" w:eastAsia="zh-CN"/>
        </w:rPr>
        <w:t>2023年</w:t>
      </w:r>
      <w:r>
        <w:rPr>
          <w:rFonts w:hint="eastAsia" w:ascii="宋体" w:hAnsi="宋体" w:cs="方正小标宋_GBK"/>
          <w:b/>
          <w:kern w:val="0"/>
          <w:sz w:val="36"/>
          <w:szCs w:val="36"/>
        </w:rPr>
        <w:t>部门整体支出绩效评价指标完成情况评分表</w:t>
      </w:r>
    </w:p>
    <w:tbl>
      <w:tblPr>
        <w:tblStyle w:val="10"/>
        <w:tblW w:w="92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39"/>
        <w:gridCol w:w="600"/>
        <w:gridCol w:w="885"/>
        <w:gridCol w:w="2700"/>
        <w:gridCol w:w="3150"/>
        <w:gridCol w:w="705"/>
        <w:gridCol w:w="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61" w:hRule="atLeast"/>
          <w:tblHeader/>
          <w:jc w:val="center"/>
        </w:trPr>
        <w:tc>
          <w:tcPr>
            <w:tcW w:w="539" w:type="dxa"/>
            <w:shd w:val="clear" w:color="auto" w:fill="auto"/>
            <w:noWrap w:val="0"/>
            <w:tcMar>
              <w:top w:w="10" w:type="dxa"/>
              <w:left w:w="10" w:type="dxa"/>
              <w:bottom w:w="0" w:type="dxa"/>
              <w:right w:w="10" w:type="dxa"/>
            </w:tcMar>
            <w:vAlign w:val="center"/>
          </w:tcPr>
          <w:p>
            <w:pPr>
              <w:spacing w:line="240" w:lineRule="auto"/>
              <w:ind w:leftChars="0" w:right="0" w:rightChars="0"/>
              <w:jc w:val="center"/>
              <w:rPr>
                <w:rFonts w:hint="eastAsia" w:ascii="仿宋_GB2312" w:eastAsia="仿宋_GB2312"/>
                <w:b/>
                <w:bCs/>
                <w:szCs w:val="21"/>
              </w:rPr>
            </w:pPr>
            <w:r>
              <w:rPr>
                <w:rFonts w:hint="eastAsia" w:ascii="仿宋_GB2312" w:eastAsia="仿宋_GB2312"/>
                <w:b/>
                <w:bCs/>
                <w:szCs w:val="21"/>
              </w:rPr>
              <w:t>一级</w:t>
            </w:r>
            <w:r>
              <w:rPr>
                <w:rFonts w:hint="eastAsia" w:ascii="仿宋_GB2312" w:eastAsia="仿宋_GB2312"/>
                <w:b/>
                <w:bCs/>
                <w:szCs w:val="21"/>
              </w:rPr>
              <w:br w:type="textWrapping"/>
            </w:r>
            <w:r>
              <w:rPr>
                <w:rFonts w:hint="eastAsia" w:ascii="仿宋_GB2312" w:eastAsia="仿宋_GB2312"/>
                <w:b/>
                <w:bCs/>
                <w:szCs w:val="21"/>
              </w:rPr>
              <w:t>指标</w:t>
            </w:r>
          </w:p>
        </w:tc>
        <w:tc>
          <w:tcPr>
            <w:tcW w:w="600" w:type="dxa"/>
            <w:shd w:val="clear" w:color="auto" w:fill="auto"/>
            <w:noWrap w:val="0"/>
            <w:tcMar>
              <w:top w:w="10" w:type="dxa"/>
              <w:left w:w="10" w:type="dxa"/>
              <w:bottom w:w="0" w:type="dxa"/>
              <w:right w:w="10" w:type="dxa"/>
            </w:tcMar>
            <w:vAlign w:val="center"/>
          </w:tcPr>
          <w:p>
            <w:pPr>
              <w:spacing w:line="240" w:lineRule="auto"/>
              <w:ind w:leftChars="0" w:right="0" w:rightChars="0"/>
              <w:jc w:val="center"/>
              <w:rPr>
                <w:rFonts w:hint="eastAsia" w:ascii="仿宋_GB2312" w:eastAsia="仿宋_GB2312"/>
                <w:b/>
                <w:bCs/>
                <w:szCs w:val="21"/>
              </w:rPr>
            </w:pPr>
            <w:r>
              <w:rPr>
                <w:rFonts w:hint="eastAsia" w:ascii="仿宋_GB2312" w:eastAsia="仿宋_GB2312"/>
                <w:b/>
                <w:bCs/>
                <w:szCs w:val="21"/>
              </w:rPr>
              <w:t>二级</w:t>
            </w:r>
          </w:p>
          <w:p>
            <w:pPr>
              <w:spacing w:line="240" w:lineRule="auto"/>
              <w:ind w:leftChars="0" w:right="0" w:rightChars="0"/>
              <w:jc w:val="center"/>
              <w:rPr>
                <w:rFonts w:hint="eastAsia" w:ascii="仿宋_GB2312" w:eastAsia="仿宋_GB2312"/>
                <w:b/>
                <w:bCs/>
                <w:szCs w:val="21"/>
              </w:rPr>
            </w:pPr>
            <w:r>
              <w:rPr>
                <w:rFonts w:hint="eastAsia" w:ascii="仿宋_GB2312" w:eastAsia="仿宋_GB2312"/>
                <w:b/>
                <w:bCs/>
                <w:szCs w:val="21"/>
              </w:rPr>
              <w:t>指标</w:t>
            </w:r>
          </w:p>
        </w:tc>
        <w:tc>
          <w:tcPr>
            <w:tcW w:w="885" w:type="dxa"/>
            <w:shd w:val="clear" w:color="auto" w:fill="auto"/>
            <w:noWrap w:val="0"/>
            <w:tcMar>
              <w:top w:w="10" w:type="dxa"/>
              <w:left w:w="10" w:type="dxa"/>
              <w:bottom w:w="0" w:type="dxa"/>
              <w:right w:w="10" w:type="dxa"/>
            </w:tcMar>
            <w:vAlign w:val="center"/>
          </w:tcPr>
          <w:p>
            <w:pPr>
              <w:spacing w:line="240" w:lineRule="auto"/>
              <w:ind w:leftChars="0" w:right="0" w:rightChars="0"/>
              <w:jc w:val="center"/>
              <w:rPr>
                <w:rFonts w:hint="eastAsia" w:ascii="仿宋_GB2312" w:eastAsia="仿宋_GB2312"/>
                <w:b/>
                <w:bCs/>
                <w:szCs w:val="21"/>
              </w:rPr>
            </w:pPr>
            <w:r>
              <w:rPr>
                <w:rFonts w:hint="eastAsia" w:ascii="仿宋_GB2312" w:eastAsia="仿宋_GB2312"/>
                <w:b/>
                <w:bCs/>
                <w:szCs w:val="21"/>
              </w:rPr>
              <w:t>三级</w:t>
            </w:r>
          </w:p>
          <w:p>
            <w:pPr>
              <w:spacing w:line="240" w:lineRule="auto"/>
              <w:ind w:leftChars="0" w:right="0" w:rightChars="0"/>
              <w:jc w:val="center"/>
              <w:rPr>
                <w:rFonts w:hint="eastAsia" w:ascii="仿宋_GB2312" w:eastAsia="仿宋_GB2312"/>
                <w:b/>
                <w:bCs/>
                <w:szCs w:val="21"/>
              </w:rPr>
            </w:pPr>
            <w:r>
              <w:rPr>
                <w:rFonts w:hint="eastAsia" w:ascii="仿宋_GB2312" w:eastAsia="仿宋_GB2312"/>
                <w:b/>
                <w:bCs/>
                <w:szCs w:val="21"/>
              </w:rPr>
              <w:t>指标</w:t>
            </w:r>
          </w:p>
        </w:tc>
        <w:tc>
          <w:tcPr>
            <w:tcW w:w="2700" w:type="dxa"/>
            <w:shd w:val="clear" w:color="auto" w:fill="auto"/>
            <w:noWrap w:val="0"/>
            <w:tcMar>
              <w:top w:w="10" w:type="dxa"/>
              <w:left w:w="10" w:type="dxa"/>
              <w:bottom w:w="0" w:type="dxa"/>
              <w:right w:w="10" w:type="dxa"/>
            </w:tcMar>
            <w:vAlign w:val="center"/>
          </w:tcPr>
          <w:p>
            <w:pPr>
              <w:spacing w:line="240" w:lineRule="auto"/>
              <w:ind w:left="105" w:leftChars="0" w:right="0" w:rightChars="0"/>
              <w:jc w:val="center"/>
              <w:rPr>
                <w:rFonts w:hint="eastAsia" w:ascii="仿宋_GB2312" w:eastAsia="仿宋_GB2312"/>
                <w:b/>
                <w:bCs/>
                <w:szCs w:val="21"/>
              </w:rPr>
            </w:pPr>
            <w:r>
              <w:rPr>
                <w:rFonts w:hint="eastAsia" w:ascii="仿宋_GB2312" w:eastAsia="仿宋_GB2312"/>
                <w:b/>
                <w:bCs/>
                <w:szCs w:val="21"/>
              </w:rPr>
              <w:t>指标解释</w:t>
            </w:r>
          </w:p>
        </w:tc>
        <w:tc>
          <w:tcPr>
            <w:tcW w:w="3150" w:type="dxa"/>
            <w:shd w:val="clear" w:color="auto" w:fill="auto"/>
            <w:noWrap w:val="0"/>
            <w:tcMar>
              <w:top w:w="10" w:type="dxa"/>
              <w:left w:w="10" w:type="dxa"/>
              <w:bottom w:w="0" w:type="dxa"/>
              <w:right w:w="10" w:type="dxa"/>
            </w:tcMar>
            <w:vAlign w:val="center"/>
          </w:tcPr>
          <w:p>
            <w:pPr>
              <w:spacing w:line="240" w:lineRule="auto"/>
              <w:ind w:left="105" w:leftChars="0" w:right="0" w:rightChars="0"/>
              <w:jc w:val="center"/>
              <w:rPr>
                <w:rFonts w:hint="eastAsia" w:ascii="仿宋_GB2312" w:eastAsia="仿宋_GB2312"/>
                <w:b/>
                <w:bCs/>
                <w:szCs w:val="21"/>
              </w:rPr>
            </w:pPr>
            <w:r>
              <w:rPr>
                <w:rFonts w:hint="eastAsia" w:ascii="仿宋_GB2312" w:eastAsia="仿宋_GB2312"/>
                <w:b/>
                <w:bCs/>
                <w:szCs w:val="21"/>
              </w:rPr>
              <w:t>指标说明</w:t>
            </w:r>
          </w:p>
        </w:tc>
        <w:tc>
          <w:tcPr>
            <w:tcW w:w="705" w:type="dxa"/>
            <w:shd w:val="clear" w:color="auto" w:fill="auto"/>
            <w:noWrap w:val="0"/>
            <w:tcMar>
              <w:top w:w="10" w:type="dxa"/>
              <w:left w:w="10" w:type="dxa"/>
              <w:bottom w:w="0" w:type="dxa"/>
              <w:right w:w="10" w:type="dxa"/>
            </w:tcMar>
            <w:vAlign w:val="center"/>
          </w:tcPr>
          <w:p>
            <w:pPr>
              <w:spacing w:line="240" w:lineRule="auto"/>
              <w:ind w:left="105" w:leftChars="0" w:right="0" w:rightChars="0"/>
              <w:jc w:val="both"/>
              <w:rPr>
                <w:rFonts w:hint="eastAsia" w:ascii="仿宋_GB2312" w:eastAsia="仿宋_GB2312"/>
                <w:b/>
                <w:bCs/>
                <w:szCs w:val="21"/>
                <w:lang w:val="en-US" w:eastAsia="zh-CN"/>
              </w:rPr>
            </w:pPr>
            <w:r>
              <w:rPr>
                <w:rFonts w:hint="eastAsia" w:ascii="仿宋_GB2312" w:eastAsia="仿宋_GB2312"/>
                <w:b/>
                <w:bCs/>
                <w:szCs w:val="21"/>
                <w:lang w:val="en-US" w:eastAsia="zh-CN"/>
              </w:rPr>
              <w:t>分值</w:t>
            </w:r>
          </w:p>
        </w:tc>
        <w:tc>
          <w:tcPr>
            <w:tcW w:w="713" w:type="dxa"/>
            <w:shd w:val="clear" w:color="auto" w:fill="auto"/>
            <w:noWrap w:val="0"/>
            <w:tcMar>
              <w:top w:w="10" w:type="dxa"/>
              <w:left w:w="10" w:type="dxa"/>
              <w:bottom w:w="0" w:type="dxa"/>
              <w:right w:w="10" w:type="dxa"/>
            </w:tcMar>
            <w:vAlign w:val="center"/>
          </w:tcPr>
          <w:p>
            <w:pPr>
              <w:spacing w:line="240" w:lineRule="auto"/>
              <w:ind w:left="105" w:leftChars="0" w:right="0" w:rightChars="0"/>
              <w:jc w:val="center"/>
              <w:rPr>
                <w:rFonts w:hint="eastAsia" w:ascii="仿宋_GB2312" w:eastAsia="仿宋_GB2312"/>
                <w:b/>
                <w:bCs/>
                <w:szCs w:val="21"/>
                <w:lang w:eastAsia="zh-CN"/>
              </w:rPr>
            </w:pPr>
            <w:r>
              <w:rPr>
                <w:rFonts w:hint="eastAsia" w:ascii="仿宋_GB2312" w:eastAsia="仿宋_GB2312"/>
                <w:b/>
                <w:bCs/>
                <w:szCs w:val="21"/>
                <w:lang w:eastAsia="zh-CN"/>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67" w:hRule="atLeast"/>
          <w:jc w:val="center"/>
        </w:trPr>
        <w:tc>
          <w:tcPr>
            <w:tcW w:w="539" w:type="dxa"/>
            <w:vMerge w:val="restart"/>
            <w:shd w:val="clear" w:color="auto" w:fill="auto"/>
            <w:noWrap/>
            <w:tcMar>
              <w:top w:w="10" w:type="dxa"/>
              <w:left w:w="10" w:type="dxa"/>
              <w:bottom w:w="0" w:type="dxa"/>
              <w:right w:w="10" w:type="dxa"/>
            </w:tcMar>
            <w:textDirection w:val="tbRlV"/>
            <w:vAlign w:val="center"/>
          </w:tcPr>
          <w:p>
            <w:pPr>
              <w:spacing w:line="240" w:lineRule="auto"/>
              <w:ind w:leftChars="0" w:right="0" w:rightChars="0"/>
              <w:jc w:val="center"/>
              <w:rPr>
                <w:rFonts w:hint="eastAsia" w:ascii="仿宋_GB2312" w:eastAsia="仿宋_GB2312"/>
                <w:szCs w:val="21"/>
              </w:rPr>
            </w:pPr>
            <w:r>
              <w:rPr>
                <w:rFonts w:hint="eastAsia" w:ascii="仿宋_GB2312" w:eastAsia="仿宋_GB2312"/>
                <w:szCs w:val="21"/>
              </w:rPr>
              <w:t>投   入</w:t>
            </w:r>
          </w:p>
        </w:tc>
        <w:tc>
          <w:tcPr>
            <w:tcW w:w="600" w:type="dxa"/>
            <w:vMerge w:val="restart"/>
            <w:shd w:val="clear" w:color="auto" w:fill="auto"/>
            <w:noWrap w:val="0"/>
            <w:tcMar>
              <w:top w:w="10" w:type="dxa"/>
              <w:left w:w="10" w:type="dxa"/>
              <w:bottom w:w="0" w:type="dxa"/>
              <w:right w:w="10" w:type="dxa"/>
            </w:tcMar>
            <w:vAlign w:val="center"/>
          </w:tcPr>
          <w:p>
            <w:pPr>
              <w:spacing w:line="240" w:lineRule="auto"/>
              <w:ind w:leftChars="0" w:right="0" w:rightChars="0"/>
              <w:jc w:val="center"/>
              <w:rPr>
                <w:rFonts w:hint="eastAsia" w:ascii="仿宋_GB2312" w:eastAsia="仿宋_GB2312"/>
                <w:szCs w:val="21"/>
              </w:rPr>
            </w:pPr>
            <w:r>
              <w:rPr>
                <w:rFonts w:hint="eastAsia" w:ascii="仿宋_GB2312" w:eastAsia="仿宋_GB2312"/>
                <w:szCs w:val="21"/>
              </w:rPr>
              <w:t>目标</w:t>
            </w:r>
            <w:r>
              <w:rPr>
                <w:rFonts w:hint="eastAsia" w:ascii="仿宋_GB2312" w:eastAsia="仿宋_GB2312"/>
                <w:szCs w:val="21"/>
              </w:rPr>
              <w:br w:type="textWrapping"/>
            </w:r>
            <w:r>
              <w:rPr>
                <w:rFonts w:hint="eastAsia" w:ascii="仿宋_GB2312" w:eastAsia="仿宋_GB2312"/>
                <w:szCs w:val="21"/>
              </w:rPr>
              <w:t>设定</w:t>
            </w:r>
          </w:p>
        </w:tc>
        <w:tc>
          <w:tcPr>
            <w:tcW w:w="885" w:type="dxa"/>
            <w:shd w:val="clear" w:color="auto" w:fill="auto"/>
            <w:noWrap w:val="0"/>
            <w:tcMar>
              <w:top w:w="10" w:type="dxa"/>
              <w:left w:w="10" w:type="dxa"/>
              <w:bottom w:w="0" w:type="dxa"/>
              <w:right w:w="10" w:type="dxa"/>
            </w:tcMar>
            <w:vAlign w:val="center"/>
          </w:tcPr>
          <w:p>
            <w:pPr>
              <w:spacing w:line="240" w:lineRule="auto"/>
              <w:ind w:leftChars="0" w:right="0" w:rightChars="0"/>
              <w:jc w:val="center"/>
              <w:rPr>
                <w:rFonts w:hint="eastAsia" w:ascii="仿宋_GB2312" w:eastAsia="仿宋_GB2312"/>
                <w:szCs w:val="21"/>
              </w:rPr>
            </w:pPr>
            <w:r>
              <w:rPr>
                <w:rFonts w:hint="eastAsia" w:ascii="仿宋_GB2312" w:eastAsia="仿宋_GB2312"/>
                <w:szCs w:val="21"/>
              </w:rPr>
              <w:t>绩效目标</w:t>
            </w:r>
          </w:p>
          <w:p>
            <w:pPr>
              <w:spacing w:line="240" w:lineRule="auto"/>
              <w:ind w:leftChars="0" w:right="0" w:rightChars="0"/>
              <w:jc w:val="center"/>
              <w:rPr>
                <w:rFonts w:hint="eastAsia" w:ascii="仿宋_GB2312" w:eastAsia="仿宋_GB2312"/>
                <w:szCs w:val="21"/>
              </w:rPr>
            </w:pPr>
            <w:r>
              <w:rPr>
                <w:rFonts w:hint="eastAsia" w:ascii="仿宋_GB2312" w:eastAsia="仿宋_GB2312"/>
                <w:szCs w:val="21"/>
              </w:rPr>
              <w:t>合理性</w:t>
            </w:r>
          </w:p>
        </w:tc>
        <w:tc>
          <w:tcPr>
            <w:tcW w:w="2700" w:type="dxa"/>
            <w:shd w:val="clear" w:color="auto" w:fill="auto"/>
            <w:noWrap w:val="0"/>
            <w:tcMar>
              <w:top w:w="10" w:type="dxa"/>
              <w:left w:w="10" w:type="dxa"/>
              <w:bottom w:w="0" w:type="dxa"/>
              <w:right w:w="10" w:type="dxa"/>
            </w:tcMar>
            <w:vAlign w:val="center"/>
          </w:tcPr>
          <w:p>
            <w:pPr>
              <w:spacing w:line="240" w:lineRule="auto"/>
              <w:ind w:left="105" w:leftChars="0" w:right="0" w:rightChars="0"/>
              <w:rPr>
                <w:rFonts w:hint="eastAsia" w:ascii="仿宋_GB2312" w:eastAsia="仿宋_GB2312"/>
                <w:szCs w:val="21"/>
              </w:rPr>
            </w:pPr>
            <w:r>
              <w:rPr>
                <w:rFonts w:hint="eastAsia" w:ascii="仿宋_GB2312" w:hAnsi="宋体" w:eastAsia="仿宋_GB2312" w:cs="宋体"/>
                <w:szCs w:val="21"/>
              </w:rPr>
              <w:t>①</w:t>
            </w:r>
            <w:r>
              <w:rPr>
                <w:rFonts w:hint="eastAsia" w:ascii="仿宋_GB2312" w:eastAsia="仿宋_GB2312"/>
                <w:szCs w:val="21"/>
              </w:rPr>
              <w:t>是否符合国家法律法规、国民经济和社会发展总体规划；</w:t>
            </w:r>
            <w:r>
              <w:rPr>
                <w:rFonts w:hint="eastAsia"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是否符合部门“三定”方案确定的职责；</w:t>
            </w:r>
            <w:r>
              <w:rPr>
                <w:rFonts w:hint="eastAsia"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是否符合部门制定的中长期实施规划。</w:t>
            </w:r>
          </w:p>
        </w:tc>
        <w:tc>
          <w:tcPr>
            <w:tcW w:w="3150" w:type="dxa"/>
            <w:shd w:val="clear" w:color="auto" w:fill="auto"/>
            <w:noWrap w:val="0"/>
            <w:tcMar>
              <w:top w:w="10" w:type="dxa"/>
              <w:left w:w="10" w:type="dxa"/>
              <w:bottom w:w="0" w:type="dxa"/>
              <w:right w:w="10" w:type="dxa"/>
            </w:tcMar>
            <w:vAlign w:val="center"/>
          </w:tcPr>
          <w:p>
            <w:pPr>
              <w:spacing w:line="240" w:lineRule="auto"/>
              <w:ind w:left="105" w:leftChars="0" w:right="0" w:rightChars="0"/>
              <w:rPr>
                <w:rFonts w:hint="eastAsia" w:ascii="仿宋_GB2312" w:eastAsia="仿宋_GB2312"/>
                <w:szCs w:val="21"/>
              </w:rPr>
            </w:pPr>
            <w:r>
              <w:rPr>
                <w:rFonts w:hint="eastAsia" w:ascii="仿宋_GB2312" w:eastAsia="仿宋_GB2312"/>
                <w:szCs w:val="21"/>
                <w:lang w:eastAsia="zh-CN"/>
              </w:rPr>
              <w:t>符合要求计</w:t>
            </w:r>
            <w:r>
              <w:rPr>
                <w:rFonts w:hint="eastAsia" w:ascii="仿宋_GB2312" w:eastAsia="仿宋_GB2312"/>
                <w:szCs w:val="21"/>
                <w:lang w:val="en-US" w:eastAsia="zh-CN"/>
              </w:rPr>
              <w:t>3分，</w:t>
            </w:r>
            <w:r>
              <w:rPr>
                <w:rFonts w:hint="eastAsia" w:ascii="仿宋_GB2312" w:hAnsi="宋体" w:eastAsia="仿宋_GB2312" w:cs="宋体"/>
                <w:kern w:val="0"/>
                <w:szCs w:val="21"/>
                <w:lang w:val="en-US" w:eastAsia="zh-CN"/>
              </w:rPr>
              <w:t>不符合按比例扣分，扣完为止。</w:t>
            </w:r>
          </w:p>
        </w:tc>
        <w:tc>
          <w:tcPr>
            <w:tcW w:w="705" w:type="dxa"/>
            <w:shd w:val="clear" w:color="auto" w:fill="auto"/>
            <w:noWrap w:val="0"/>
            <w:tcMar>
              <w:top w:w="10" w:type="dxa"/>
              <w:left w:w="10" w:type="dxa"/>
              <w:bottom w:w="0" w:type="dxa"/>
              <w:right w:w="10" w:type="dxa"/>
            </w:tcMar>
            <w:vAlign w:val="center"/>
          </w:tcPr>
          <w:p>
            <w:pPr>
              <w:spacing w:line="240" w:lineRule="auto"/>
              <w:ind w:left="105" w:leftChars="0" w:right="0" w:rightChars="0"/>
              <w:jc w:val="center"/>
              <w:rPr>
                <w:rFonts w:hint="default" w:ascii="仿宋_GB2312" w:eastAsia="仿宋_GB2312"/>
                <w:szCs w:val="21"/>
                <w:lang w:val="en-US" w:eastAsia="zh-CN"/>
              </w:rPr>
            </w:pPr>
            <w:r>
              <w:rPr>
                <w:rFonts w:hint="eastAsia" w:ascii="仿宋_GB2312" w:eastAsia="仿宋_GB2312"/>
                <w:szCs w:val="21"/>
                <w:lang w:val="en-US" w:eastAsia="zh-CN"/>
              </w:rPr>
              <w:t>3</w:t>
            </w:r>
          </w:p>
        </w:tc>
        <w:tc>
          <w:tcPr>
            <w:tcW w:w="713" w:type="dxa"/>
            <w:shd w:val="clear" w:color="auto" w:fill="auto"/>
            <w:noWrap w:val="0"/>
            <w:tcMar>
              <w:top w:w="10" w:type="dxa"/>
              <w:left w:w="10" w:type="dxa"/>
              <w:bottom w:w="0" w:type="dxa"/>
              <w:right w:w="10" w:type="dxa"/>
            </w:tcMar>
            <w:vAlign w:val="center"/>
          </w:tcPr>
          <w:p>
            <w:pPr>
              <w:spacing w:line="240" w:lineRule="auto"/>
              <w:ind w:left="105" w:leftChars="0" w:right="0" w:rightChars="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87" w:hRule="atLeast"/>
          <w:jc w:val="center"/>
        </w:trPr>
        <w:tc>
          <w:tcPr>
            <w:tcW w:w="539" w:type="dxa"/>
            <w:vMerge w:val="continue"/>
            <w:shd w:val="clear" w:color="auto" w:fill="auto"/>
            <w:noWrap w:val="0"/>
            <w:vAlign w:val="center"/>
          </w:tcPr>
          <w:p>
            <w:pPr>
              <w:spacing w:line="320" w:lineRule="exact"/>
              <w:rPr>
                <w:rFonts w:hint="eastAsia" w:ascii="仿宋_GB2312" w:eastAsia="仿宋_GB2312"/>
                <w:szCs w:val="21"/>
              </w:rPr>
            </w:pPr>
          </w:p>
        </w:tc>
        <w:tc>
          <w:tcPr>
            <w:tcW w:w="600" w:type="dxa"/>
            <w:vMerge w:val="continue"/>
            <w:shd w:val="clear" w:color="auto" w:fill="auto"/>
            <w:noWrap w:val="0"/>
            <w:vAlign w:val="center"/>
          </w:tcPr>
          <w:p>
            <w:pPr>
              <w:spacing w:line="320" w:lineRule="exact"/>
              <w:rPr>
                <w:rFonts w:hint="eastAsia" w:ascii="仿宋_GB2312" w:eastAsia="仿宋_GB2312"/>
                <w:szCs w:val="21"/>
              </w:rPr>
            </w:pP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绩效指标</w:t>
            </w:r>
          </w:p>
          <w:p>
            <w:pPr>
              <w:spacing w:line="320" w:lineRule="exact"/>
              <w:jc w:val="center"/>
              <w:rPr>
                <w:rFonts w:hint="eastAsia" w:ascii="仿宋_GB2312" w:eastAsia="仿宋_GB2312"/>
                <w:szCs w:val="21"/>
              </w:rPr>
            </w:pPr>
            <w:r>
              <w:rPr>
                <w:rFonts w:hint="eastAsia" w:ascii="仿宋_GB2312" w:eastAsia="仿宋_GB2312"/>
                <w:szCs w:val="21"/>
              </w:rPr>
              <w:t>明确性</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hAnsi="宋体" w:eastAsia="仿宋_GB2312" w:cs="宋体"/>
                <w:szCs w:val="21"/>
              </w:rPr>
              <w:t>①</w:t>
            </w:r>
            <w:r>
              <w:rPr>
                <w:rFonts w:hint="eastAsia" w:ascii="仿宋_GB2312" w:eastAsia="仿宋_GB2312"/>
                <w:szCs w:val="21"/>
              </w:rPr>
              <w:t>是否将部门整体的绩效目标细化分解为具体的工作任务；</w:t>
            </w:r>
            <w:r>
              <w:rPr>
                <w:rFonts w:hint="eastAsia"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是否通过清晰、可衡量的指标值予以体现。</w:t>
            </w:r>
          </w:p>
          <w:p>
            <w:pPr>
              <w:spacing w:line="320" w:lineRule="exact"/>
              <w:ind w:left="105" w:leftChars="50" w:right="105" w:rightChars="50"/>
              <w:rPr>
                <w:rFonts w:hint="eastAsia"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是否与部门年度的任务数或计划数相对应；</w:t>
            </w:r>
            <w:r>
              <w:rPr>
                <w:rFonts w:hint="eastAsia"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是否与本年度部门预算资金相匹配。</w:t>
            </w:r>
          </w:p>
        </w:tc>
        <w:tc>
          <w:tcPr>
            <w:tcW w:w="315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lang w:eastAsia="zh-CN"/>
              </w:rPr>
              <w:t>符合要求计</w:t>
            </w:r>
            <w:r>
              <w:rPr>
                <w:rFonts w:hint="eastAsia" w:ascii="仿宋_GB2312" w:eastAsia="仿宋_GB2312"/>
                <w:szCs w:val="21"/>
                <w:lang w:val="en-US" w:eastAsia="zh-CN"/>
              </w:rPr>
              <w:t>3分，</w:t>
            </w:r>
            <w:r>
              <w:rPr>
                <w:rFonts w:hint="eastAsia" w:ascii="仿宋_GB2312" w:hAnsi="宋体" w:eastAsia="仿宋_GB2312" w:cs="宋体"/>
                <w:kern w:val="0"/>
                <w:szCs w:val="21"/>
                <w:lang w:val="en-US" w:eastAsia="zh-CN"/>
              </w:rPr>
              <w:t>不符合按比例扣分，扣完为止。</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3</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539" w:type="dxa"/>
            <w:vMerge w:val="continue"/>
            <w:shd w:val="clear" w:color="auto" w:fill="auto"/>
            <w:noWrap w:val="0"/>
            <w:vAlign w:val="center"/>
          </w:tcPr>
          <w:p>
            <w:pPr>
              <w:spacing w:line="320" w:lineRule="exact"/>
              <w:rPr>
                <w:rFonts w:hint="eastAsia" w:ascii="仿宋_GB2312" w:eastAsia="仿宋_GB2312"/>
                <w:szCs w:val="21"/>
              </w:rPr>
            </w:pPr>
          </w:p>
        </w:tc>
        <w:tc>
          <w:tcPr>
            <w:tcW w:w="600" w:type="dxa"/>
            <w:vMerge w:val="restart"/>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预算</w:t>
            </w:r>
            <w:r>
              <w:rPr>
                <w:rFonts w:hint="eastAsia" w:ascii="仿宋_GB2312" w:eastAsia="仿宋_GB2312"/>
                <w:szCs w:val="21"/>
              </w:rPr>
              <w:br w:type="textWrapping"/>
            </w:r>
            <w:r>
              <w:rPr>
                <w:rFonts w:hint="eastAsia" w:ascii="仿宋_GB2312" w:eastAsia="仿宋_GB2312"/>
                <w:szCs w:val="21"/>
              </w:rPr>
              <w:t>配置</w:t>
            </w: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在职人员</w:t>
            </w:r>
          </w:p>
          <w:p>
            <w:pPr>
              <w:spacing w:line="320" w:lineRule="exact"/>
              <w:jc w:val="center"/>
              <w:rPr>
                <w:rFonts w:hint="eastAsia" w:ascii="仿宋_GB2312" w:eastAsia="仿宋_GB2312"/>
                <w:szCs w:val="21"/>
              </w:rPr>
            </w:pPr>
            <w:r>
              <w:rPr>
                <w:rFonts w:hint="eastAsia" w:ascii="仿宋_GB2312" w:eastAsia="仿宋_GB2312"/>
                <w:szCs w:val="21"/>
              </w:rPr>
              <w:t>控制率</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rPr>
              <w:t>在职人员控制率=（在职人员数/编制数）×100%。</w:t>
            </w:r>
          </w:p>
        </w:tc>
        <w:tc>
          <w:tcPr>
            <w:tcW w:w="315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default" w:ascii="仿宋_GB2312" w:eastAsia="仿宋_GB2312"/>
                <w:szCs w:val="21"/>
                <w:lang w:val="en-US" w:eastAsia="zh-CN"/>
              </w:rPr>
            </w:pPr>
            <w:r>
              <w:rPr>
                <w:rFonts w:hint="eastAsia" w:ascii="仿宋_GB2312" w:eastAsia="仿宋_GB2312"/>
                <w:szCs w:val="21"/>
                <w:lang w:eastAsia="zh-CN"/>
              </w:rPr>
              <w:t>控制率</w:t>
            </w:r>
            <w:r>
              <w:rPr>
                <w:rFonts w:hint="eastAsia" w:ascii="仿宋_GB2312" w:eastAsia="仿宋_GB2312"/>
                <w:szCs w:val="21"/>
                <w:lang w:val="en-US" w:eastAsia="zh-CN"/>
              </w:rPr>
              <w:t>100%以内计3分，101%-110%计2分，110%以上计1分。</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3</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19" w:hRule="atLeast"/>
          <w:jc w:val="center"/>
        </w:trPr>
        <w:tc>
          <w:tcPr>
            <w:tcW w:w="539" w:type="dxa"/>
            <w:vMerge w:val="continue"/>
            <w:shd w:val="clear" w:color="auto" w:fill="auto"/>
            <w:noWrap w:val="0"/>
            <w:vAlign w:val="center"/>
          </w:tcPr>
          <w:p>
            <w:pPr>
              <w:spacing w:line="320" w:lineRule="exact"/>
              <w:rPr>
                <w:rFonts w:hint="eastAsia" w:ascii="仿宋_GB2312" w:eastAsia="仿宋_GB2312"/>
                <w:szCs w:val="21"/>
              </w:rPr>
            </w:pPr>
          </w:p>
        </w:tc>
        <w:tc>
          <w:tcPr>
            <w:tcW w:w="600" w:type="dxa"/>
            <w:vMerge w:val="continue"/>
            <w:shd w:val="clear" w:color="auto" w:fill="auto"/>
            <w:noWrap w:val="0"/>
            <w:vAlign w:val="center"/>
          </w:tcPr>
          <w:p>
            <w:pPr>
              <w:spacing w:line="320" w:lineRule="exact"/>
              <w:rPr>
                <w:rFonts w:hint="eastAsia" w:ascii="仿宋_GB2312" w:eastAsia="仿宋_GB2312"/>
                <w:szCs w:val="21"/>
              </w:rPr>
            </w:pP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“三公经费”</w:t>
            </w:r>
          </w:p>
          <w:p>
            <w:pPr>
              <w:spacing w:line="320" w:lineRule="exact"/>
              <w:jc w:val="center"/>
              <w:rPr>
                <w:rFonts w:hint="eastAsia" w:ascii="仿宋_GB2312" w:eastAsia="仿宋_GB2312"/>
                <w:szCs w:val="21"/>
              </w:rPr>
            </w:pPr>
            <w:r>
              <w:rPr>
                <w:rFonts w:hint="eastAsia" w:ascii="仿宋_GB2312" w:eastAsia="仿宋_GB2312"/>
                <w:szCs w:val="21"/>
              </w:rPr>
              <w:t>变动率</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rPr>
              <w:t>“三公经费”变动率=[（本年度“三公经费”总额-上年度“三公经费”总额）/上年度“三公经费”总额]×100%。</w:t>
            </w:r>
          </w:p>
        </w:tc>
        <w:tc>
          <w:tcPr>
            <w:tcW w:w="315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lang w:eastAsia="zh-CN"/>
              </w:rPr>
              <w:t>三公</w:t>
            </w:r>
            <w:r>
              <w:rPr>
                <w:rFonts w:hint="eastAsia" w:ascii="仿宋_GB2312" w:eastAsia="仿宋_GB2312"/>
                <w:szCs w:val="21"/>
              </w:rPr>
              <w:t>经费</w:t>
            </w:r>
            <w:r>
              <w:rPr>
                <w:rFonts w:hint="eastAsia" w:ascii="仿宋_GB2312" w:eastAsia="仿宋_GB2312"/>
                <w:szCs w:val="21"/>
                <w:lang w:eastAsia="zh-CN"/>
              </w:rPr>
              <w:t>变动</w:t>
            </w:r>
            <w:r>
              <w:rPr>
                <w:rFonts w:hint="eastAsia" w:ascii="仿宋_GB2312" w:eastAsia="仿宋_GB2312"/>
                <w:szCs w:val="21"/>
              </w:rPr>
              <w:t>率</w:t>
            </w:r>
            <w:r>
              <w:rPr>
                <w:rFonts w:hint="eastAsia" w:ascii="仿宋_GB2312" w:eastAsia="仿宋_GB2312"/>
                <w:szCs w:val="21"/>
                <w:lang w:val="en-US" w:eastAsia="zh-CN"/>
              </w:rPr>
              <w:t>1%-5</w:t>
            </w:r>
            <w:r>
              <w:rPr>
                <w:rFonts w:hint="eastAsia" w:ascii="仿宋_GB2312" w:hAnsi="宋体" w:eastAsia="仿宋_GB2312" w:cs="宋体"/>
                <w:kern w:val="0"/>
                <w:szCs w:val="21"/>
                <w:lang w:val="en-US" w:eastAsia="zh-CN"/>
              </w:rPr>
              <w:t>%（含）</w:t>
            </w:r>
            <w:r>
              <w:rPr>
                <w:rFonts w:hint="eastAsia" w:ascii="仿宋_GB2312" w:hAnsi="宋体" w:eastAsia="仿宋_GB2312" w:cs="宋体"/>
                <w:kern w:val="0"/>
                <w:szCs w:val="21"/>
              </w:rPr>
              <w:t>，计</w:t>
            </w:r>
            <w:r>
              <w:rPr>
                <w:rFonts w:hint="eastAsia" w:ascii="仿宋_GB2312" w:hAnsi="宋体" w:eastAsia="仿宋_GB2312" w:cs="宋体"/>
                <w:kern w:val="0"/>
                <w:szCs w:val="21"/>
                <w:lang w:val="en-US" w:eastAsia="zh-CN"/>
              </w:rPr>
              <w:t>3</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5%</w:t>
            </w:r>
            <w:r>
              <w:rPr>
                <w:rFonts w:hint="eastAsia" w:ascii="仿宋_GB2312" w:hAnsi="宋体" w:eastAsia="仿宋_GB2312" w:cs="宋体"/>
                <w:kern w:val="0"/>
                <w:szCs w:val="21"/>
              </w:rPr>
              <w:t>-</w:t>
            </w:r>
            <w:r>
              <w:rPr>
                <w:rFonts w:hint="eastAsia" w:ascii="仿宋_GB2312" w:hAnsi="宋体" w:eastAsia="仿宋_GB2312" w:cs="宋体"/>
                <w:kern w:val="0"/>
                <w:szCs w:val="21"/>
                <w:lang w:val="en-US" w:eastAsia="zh-CN"/>
              </w:rPr>
              <w:t>10</w:t>
            </w:r>
            <w:r>
              <w:rPr>
                <w:rFonts w:hint="eastAsia" w:ascii="仿宋_GB2312" w:hAnsi="宋体" w:eastAsia="仿宋_GB2312" w:cs="宋体"/>
                <w:kern w:val="0"/>
                <w:szCs w:val="21"/>
              </w:rPr>
              <w:t>%（含），计</w:t>
            </w:r>
            <w:r>
              <w:rPr>
                <w:rFonts w:hint="eastAsia" w:ascii="仿宋_GB2312" w:hAnsi="宋体" w:eastAsia="仿宋_GB2312" w:cs="宋体"/>
                <w:kern w:val="0"/>
                <w:szCs w:val="21"/>
                <w:lang w:val="en-US" w:eastAsia="zh-CN"/>
              </w:rPr>
              <w:t>2</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10%</w:t>
            </w:r>
            <w:r>
              <w:rPr>
                <w:rFonts w:hint="eastAsia" w:ascii="仿宋_GB2312" w:hAnsi="宋体" w:eastAsia="仿宋_GB2312" w:cs="宋体"/>
                <w:kern w:val="0"/>
                <w:szCs w:val="21"/>
                <w:lang w:eastAsia="zh-CN"/>
              </w:rPr>
              <w:t>以下，计</w:t>
            </w:r>
            <w:r>
              <w:rPr>
                <w:rFonts w:hint="eastAsia" w:ascii="仿宋_GB2312" w:hAnsi="宋体" w:eastAsia="仿宋_GB2312" w:cs="宋体"/>
                <w:kern w:val="0"/>
                <w:szCs w:val="21"/>
                <w:lang w:val="en-US" w:eastAsia="zh-CN"/>
              </w:rPr>
              <w:t>1分</w:t>
            </w:r>
            <w:r>
              <w:rPr>
                <w:rFonts w:hint="eastAsia" w:ascii="仿宋_GB2312" w:hAnsi="宋体" w:eastAsia="仿宋_GB2312" w:cs="宋体"/>
                <w:kern w:val="0"/>
                <w:szCs w:val="21"/>
              </w:rPr>
              <w:t>。</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3</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539" w:type="dxa"/>
            <w:vMerge w:val="continue"/>
            <w:shd w:val="clear" w:color="auto" w:fill="auto"/>
            <w:noWrap w:val="0"/>
            <w:vAlign w:val="center"/>
          </w:tcPr>
          <w:p>
            <w:pPr>
              <w:spacing w:line="320" w:lineRule="exact"/>
              <w:rPr>
                <w:rFonts w:hint="eastAsia" w:ascii="仿宋_GB2312" w:eastAsia="仿宋_GB2312"/>
                <w:szCs w:val="21"/>
              </w:rPr>
            </w:pPr>
          </w:p>
        </w:tc>
        <w:tc>
          <w:tcPr>
            <w:tcW w:w="600" w:type="dxa"/>
            <w:vMerge w:val="continue"/>
            <w:shd w:val="clear" w:color="auto" w:fill="auto"/>
            <w:noWrap w:val="0"/>
            <w:vAlign w:val="center"/>
          </w:tcPr>
          <w:p>
            <w:pPr>
              <w:spacing w:line="320" w:lineRule="exact"/>
              <w:rPr>
                <w:rFonts w:hint="eastAsia" w:ascii="仿宋_GB2312" w:eastAsia="仿宋_GB2312"/>
                <w:szCs w:val="21"/>
              </w:rPr>
            </w:pP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重点支出</w:t>
            </w:r>
          </w:p>
          <w:p>
            <w:pPr>
              <w:spacing w:line="320" w:lineRule="exact"/>
              <w:jc w:val="center"/>
              <w:rPr>
                <w:rFonts w:hint="eastAsia" w:ascii="仿宋_GB2312" w:eastAsia="仿宋_GB2312"/>
                <w:szCs w:val="21"/>
              </w:rPr>
            </w:pPr>
            <w:r>
              <w:rPr>
                <w:rFonts w:hint="eastAsia" w:ascii="仿宋_GB2312" w:eastAsia="仿宋_GB2312"/>
                <w:szCs w:val="21"/>
              </w:rPr>
              <w:t>安排率</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rPr>
              <w:t>重点支出安排率=（重点预算支出/预算总支出）×100%。</w:t>
            </w:r>
          </w:p>
        </w:tc>
        <w:tc>
          <w:tcPr>
            <w:tcW w:w="315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rPr>
              <w:t>重点支出安排率</w:t>
            </w:r>
            <w:r>
              <w:rPr>
                <w:rFonts w:hint="eastAsia" w:ascii="仿宋_GB2312" w:eastAsia="仿宋_GB2312"/>
                <w:szCs w:val="21"/>
                <w:lang w:val="en-US" w:eastAsia="zh-CN"/>
              </w:rPr>
              <w:t>50</w:t>
            </w:r>
            <w:r>
              <w:rPr>
                <w:rFonts w:hint="eastAsia" w:ascii="仿宋_GB2312" w:hAnsi="宋体" w:eastAsia="仿宋_GB2312" w:cs="宋体"/>
                <w:kern w:val="0"/>
                <w:szCs w:val="21"/>
              </w:rPr>
              <w:t>%</w:t>
            </w:r>
            <w:r>
              <w:rPr>
                <w:rFonts w:hint="eastAsia" w:ascii="仿宋_GB2312" w:hAnsi="宋体" w:eastAsia="仿宋_GB2312" w:cs="宋体"/>
                <w:kern w:val="0"/>
                <w:szCs w:val="21"/>
                <w:lang w:eastAsia="zh-CN"/>
              </w:rPr>
              <w:t>以上</w:t>
            </w:r>
            <w:r>
              <w:rPr>
                <w:rFonts w:hint="eastAsia" w:ascii="仿宋_GB2312" w:hAnsi="宋体" w:eastAsia="仿宋_GB2312" w:cs="宋体"/>
                <w:kern w:val="0"/>
                <w:szCs w:val="21"/>
              </w:rPr>
              <w:t>，计</w:t>
            </w:r>
            <w:r>
              <w:rPr>
                <w:rFonts w:hint="eastAsia" w:ascii="仿宋_GB2312" w:hAnsi="宋体" w:eastAsia="仿宋_GB2312" w:cs="宋体"/>
                <w:kern w:val="0"/>
                <w:szCs w:val="21"/>
                <w:lang w:val="en-US" w:eastAsia="zh-CN"/>
              </w:rPr>
              <w:t>3</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50</w:t>
            </w:r>
            <w:r>
              <w:rPr>
                <w:rFonts w:hint="eastAsia" w:ascii="仿宋_GB2312" w:hAnsi="宋体" w:eastAsia="仿宋_GB2312" w:cs="宋体"/>
                <w:kern w:val="0"/>
                <w:szCs w:val="21"/>
              </w:rPr>
              <w:t>%</w:t>
            </w:r>
            <w:r>
              <w:rPr>
                <w:rFonts w:hint="eastAsia" w:ascii="仿宋_GB2312" w:hAnsi="宋体" w:eastAsia="仿宋_GB2312" w:cs="宋体"/>
                <w:kern w:val="0"/>
                <w:szCs w:val="21"/>
                <w:lang w:val="en-US" w:eastAsia="zh-CN"/>
              </w:rPr>
              <w:t>-30%</w:t>
            </w:r>
            <w:r>
              <w:rPr>
                <w:rFonts w:hint="eastAsia" w:ascii="仿宋_GB2312" w:hAnsi="宋体" w:eastAsia="仿宋_GB2312" w:cs="宋体"/>
                <w:kern w:val="0"/>
                <w:szCs w:val="21"/>
              </w:rPr>
              <w:t>，计</w:t>
            </w:r>
            <w:r>
              <w:rPr>
                <w:rFonts w:hint="eastAsia" w:ascii="仿宋_GB2312" w:hAnsi="宋体" w:eastAsia="仿宋_GB2312" w:cs="宋体"/>
                <w:kern w:val="0"/>
                <w:szCs w:val="21"/>
                <w:lang w:val="en-US" w:eastAsia="zh-CN"/>
              </w:rPr>
              <w:t>2</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3</w:t>
            </w:r>
            <w:r>
              <w:rPr>
                <w:rFonts w:hint="eastAsia" w:ascii="仿宋_GB2312" w:hAnsi="宋体" w:eastAsia="仿宋_GB2312" w:cs="宋体"/>
                <w:kern w:val="0"/>
                <w:szCs w:val="21"/>
              </w:rPr>
              <w:t>0%</w:t>
            </w:r>
            <w:r>
              <w:rPr>
                <w:rFonts w:hint="eastAsia" w:ascii="仿宋_GB2312" w:hAnsi="宋体" w:eastAsia="仿宋_GB2312" w:cs="宋体"/>
                <w:kern w:val="0"/>
                <w:szCs w:val="21"/>
                <w:lang w:eastAsia="zh-CN"/>
              </w:rPr>
              <w:t>以上，计</w:t>
            </w:r>
            <w:r>
              <w:rPr>
                <w:rFonts w:hint="eastAsia" w:ascii="仿宋_GB2312" w:hAnsi="宋体" w:eastAsia="仿宋_GB2312" w:cs="宋体"/>
                <w:kern w:val="0"/>
                <w:szCs w:val="21"/>
                <w:lang w:val="en-US" w:eastAsia="zh-CN"/>
              </w:rPr>
              <w:t>1分</w:t>
            </w:r>
            <w:r>
              <w:rPr>
                <w:rFonts w:hint="eastAsia" w:ascii="仿宋_GB2312" w:hAnsi="宋体" w:eastAsia="仿宋_GB2312" w:cs="宋体"/>
                <w:kern w:val="0"/>
                <w:szCs w:val="21"/>
              </w:rPr>
              <w:t>。</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3</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70" w:hRule="atLeast"/>
          <w:jc w:val="center"/>
        </w:trPr>
        <w:tc>
          <w:tcPr>
            <w:tcW w:w="539" w:type="dxa"/>
            <w:vMerge w:val="restart"/>
            <w:shd w:val="clear" w:color="auto" w:fill="auto"/>
            <w:noWrap/>
            <w:tcMar>
              <w:top w:w="10" w:type="dxa"/>
              <w:left w:w="10" w:type="dxa"/>
              <w:bottom w:w="0" w:type="dxa"/>
              <w:right w:w="10" w:type="dxa"/>
            </w:tcMar>
            <w:textDirection w:val="tbRlV"/>
            <w:vAlign w:val="center"/>
          </w:tcPr>
          <w:p>
            <w:pPr>
              <w:spacing w:line="320" w:lineRule="exact"/>
              <w:jc w:val="center"/>
              <w:rPr>
                <w:rFonts w:hint="eastAsia" w:ascii="仿宋_GB2312" w:eastAsia="仿宋_GB2312"/>
                <w:szCs w:val="21"/>
              </w:rPr>
            </w:pPr>
            <w:r>
              <w:rPr>
                <w:rFonts w:hint="eastAsia" w:ascii="仿宋_GB2312" w:eastAsia="仿宋_GB2312"/>
                <w:szCs w:val="21"/>
              </w:rPr>
              <w:t>过   程</w:t>
            </w:r>
          </w:p>
        </w:tc>
        <w:tc>
          <w:tcPr>
            <w:tcW w:w="600" w:type="dxa"/>
            <w:vMerge w:val="restart"/>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预算</w:t>
            </w:r>
            <w:r>
              <w:rPr>
                <w:rFonts w:hint="eastAsia" w:ascii="仿宋_GB2312" w:eastAsia="仿宋_GB2312"/>
                <w:szCs w:val="21"/>
              </w:rPr>
              <w:br w:type="textWrapping"/>
            </w:r>
            <w:r>
              <w:rPr>
                <w:rFonts w:hint="eastAsia" w:ascii="仿宋_GB2312" w:eastAsia="仿宋_GB2312"/>
                <w:szCs w:val="21"/>
              </w:rPr>
              <w:t>执行</w:t>
            </w: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预算</w:t>
            </w:r>
          </w:p>
          <w:p>
            <w:pPr>
              <w:spacing w:line="320" w:lineRule="exact"/>
              <w:jc w:val="center"/>
              <w:rPr>
                <w:rFonts w:hint="eastAsia" w:ascii="仿宋_GB2312" w:eastAsia="仿宋_GB2312"/>
                <w:szCs w:val="21"/>
              </w:rPr>
            </w:pPr>
            <w:r>
              <w:rPr>
                <w:rFonts w:hint="eastAsia" w:ascii="仿宋_GB2312" w:eastAsia="仿宋_GB2312"/>
                <w:szCs w:val="21"/>
              </w:rPr>
              <w:t>执行率</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rPr>
              <w:t>预算执行率=（预算执行数/预算数）×100%。</w:t>
            </w:r>
          </w:p>
        </w:tc>
        <w:tc>
          <w:tcPr>
            <w:tcW w:w="315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hAnsi="宋体" w:eastAsia="仿宋_GB2312" w:cs="宋体"/>
                <w:kern w:val="0"/>
                <w:szCs w:val="21"/>
              </w:rPr>
              <w:t>预算</w:t>
            </w:r>
            <w:r>
              <w:rPr>
                <w:rFonts w:hint="eastAsia" w:ascii="仿宋_GB2312" w:hAnsi="宋体" w:eastAsia="仿宋_GB2312" w:cs="宋体"/>
                <w:kern w:val="0"/>
                <w:szCs w:val="21"/>
                <w:lang w:eastAsia="zh-CN"/>
              </w:rPr>
              <w:t>执行</w:t>
            </w:r>
            <w:r>
              <w:rPr>
                <w:rFonts w:hint="eastAsia" w:ascii="仿宋_GB2312" w:hAnsi="宋体" w:eastAsia="仿宋_GB2312" w:cs="宋体"/>
                <w:kern w:val="0"/>
                <w:szCs w:val="21"/>
              </w:rPr>
              <w:t>率</w:t>
            </w:r>
            <w:r>
              <w:rPr>
                <w:rFonts w:hint="eastAsia" w:ascii="仿宋_GB2312" w:hAnsi="宋体" w:eastAsia="仿宋_GB2312" w:cs="宋体"/>
                <w:kern w:val="0"/>
                <w:szCs w:val="21"/>
                <w:lang w:val="en-US" w:eastAsia="zh-CN"/>
              </w:rPr>
              <w:t>=</w:t>
            </w:r>
            <w:r>
              <w:rPr>
                <w:rFonts w:hint="eastAsia" w:ascii="仿宋_GB2312" w:hAnsi="宋体" w:eastAsia="仿宋_GB2312" w:cs="宋体"/>
                <w:kern w:val="0"/>
                <w:szCs w:val="21"/>
              </w:rPr>
              <w:t>100%，计</w:t>
            </w:r>
            <w:r>
              <w:rPr>
                <w:rFonts w:hint="eastAsia" w:ascii="仿宋_GB2312" w:hAnsi="宋体" w:eastAsia="仿宋_GB2312" w:cs="宋体"/>
                <w:kern w:val="0"/>
                <w:szCs w:val="21"/>
                <w:lang w:val="en-US" w:eastAsia="zh-CN"/>
              </w:rPr>
              <w:t>3</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99</w:t>
            </w:r>
            <w:r>
              <w:rPr>
                <w:rFonts w:hint="eastAsia" w:ascii="仿宋_GB2312" w:hAnsi="宋体" w:eastAsia="仿宋_GB2312" w:cs="宋体"/>
                <w:kern w:val="0"/>
                <w:szCs w:val="21"/>
              </w:rPr>
              <w:t>-</w:t>
            </w:r>
            <w:r>
              <w:rPr>
                <w:rFonts w:hint="eastAsia" w:ascii="仿宋_GB2312" w:hAnsi="宋体" w:eastAsia="仿宋_GB2312" w:cs="宋体"/>
                <w:kern w:val="0"/>
                <w:szCs w:val="21"/>
                <w:lang w:val="en-US" w:eastAsia="zh-CN"/>
              </w:rPr>
              <w:t>8</w:t>
            </w:r>
            <w:r>
              <w:rPr>
                <w:rFonts w:hint="eastAsia" w:ascii="仿宋_GB2312" w:hAnsi="宋体" w:eastAsia="仿宋_GB2312" w:cs="宋体"/>
                <w:kern w:val="0"/>
                <w:szCs w:val="21"/>
              </w:rPr>
              <w:t>0%（含），计</w:t>
            </w:r>
            <w:r>
              <w:rPr>
                <w:rFonts w:hint="eastAsia" w:ascii="仿宋_GB2312" w:hAnsi="宋体" w:eastAsia="仿宋_GB2312" w:cs="宋体"/>
                <w:kern w:val="0"/>
                <w:szCs w:val="21"/>
                <w:lang w:val="en-US" w:eastAsia="zh-CN"/>
              </w:rPr>
              <w:t>2</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8</w:t>
            </w:r>
            <w:r>
              <w:rPr>
                <w:rFonts w:hint="eastAsia" w:ascii="仿宋_GB2312" w:hAnsi="宋体" w:eastAsia="仿宋_GB2312" w:cs="宋体"/>
                <w:kern w:val="0"/>
                <w:szCs w:val="21"/>
              </w:rPr>
              <w:t>0%</w:t>
            </w:r>
            <w:r>
              <w:rPr>
                <w:rFonts w:hint="eastAsia" w:ascii="仿宋_GB2312" w:hAnsi="宋体" w:eastAsia="仿宋_GB2312" w:cs="宋体"/>
                <w:kern w:val="0"/>
                <w:szCs w:val="21"/>
                <w:lang w:eastAsia="zh-CN"/>
              </w:rPr>
              <w:t>以下，计</w:t>
            </w:r>
            <w:r>
              <w:rPr>
                <w:rFonts w:hint="eastAsia" w:ascii="仿宋_GB2312" w:hAnsi="宋体" w:eastAsia="仿宋_GB2312" w:cs="宋体"/>
                <w:kern w:val="0"/>
                <w:szCs w:val="21"/>
                <w:lang w:val="en-US" w:eastAsia="zh-CN"/>
              </w:rPr>
              <w:t>1分</w:t>
            </w:r>
            <w:r>
              <w:rPr>
                <w:rFonts w:hint="eastAsia" w:ascii="仿宋_GB2312" w:hAnsi="宋体" w:eastAsia="仿宋_GB2312" w:cs="宋体"/>
                <w:kern w:val="0"/>
                <w:szCs w:val="21"/>
              </w:rPr>
              <w:t>。</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3</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03" w:hRule="atLeast"/>
          <w:jc w:val="center"/>
        </w:trPr>
        <w:tc>
          <w:tcPr>
            <w:tcW w:w="539" w:type="dxa"/>
            <w:vMerge w:val="continue"/>
            <w:shd w:val="clear" w:color="auto" w:fill="auto"/>
            <w:noWrap w:val="0"/>
            <w:vAlign w:val="center"/>
          </w:tcPr>
          <w:p>
            <w:pPr>
              <w:spacing w:line="320" w:lineRule="exact"/>
              <w:jc w:val="center"/>
              <w:rPr>
                <w:rFonts w:hint="eastAsia" w:ascii="仿宋_GB2312" w:eastAsia="仿宋_GB2312"/>
                <w:szCs w:val="21"/>
              </w:rPr>
            </w:pPr>
          </w:p>
        </w:tc>
        <w:tc>
          <w:tcPr>
            <w:tcW w:w="600" w:type="dxa"/>
            <w:vMerge w:val="continue"/>
            <w:shd w:val="clear" w:color="auto" w:fill="auto"/>
            <w:noWrap w:val="0"/>
            <w:vAlign w:val="center"/>
          </w:tcPr>
          <w:p>
            <w:pPr>
              <w:spacing w:line="320" w:lineRule="exact"/>
              <w:jc w:val="center"/>
              <w:rPr>
                <w:rFonts w:hint="eastAsia" w:ascii="仿宋_GB2312" w:eastAsia="仿宋_GB2312"/>
                <w:szCs w:val="21"/>
              </w:rPr>
            </w:pP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预算</w:t>
            </w:r>
          </w:p>
          <w:p>
            <w:pPr>
              <w:spacing w:line="320" w:lineRule="exact"/>
              <w:jc w:val="center"/>
              <w:rPr>
                <w:rFonts w:hint="eastAsia" w:ascii="仿宋_GB2312" w:eastAsia="仿宋_GB2312"/>
                <w:szCs w:val="21"/>
              </w:rPr>
            </w:pPr>
            <w:r>
              <w:rPr>
                <w:rFonts w:hint="eastAsia" w:ascii="仿宋_GB2312" w:eastAsia="仿宋_GB2312"/>
                <w:szCs w:val="21"/>
              </w:rPr>
              <w:t>调整率</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rPr>
              <w:t>预算调整率=（预算调整数/预算数）×100%。</w:t>
            </w:r>
          </w:p>
        </w:tc>
        <w:tc>
          <w:tcPr>
            <w:tcW w:w="315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hAnsi="宋体" w:eastAsia="仿宋_GB2312" w:cs="宋体"/>
                <w:kern w:val="0"/>
                <w:szCs w:val="21"/>
              </w:rPr>
              <w:t>预算调整率10%（含）</w:t>
            </w:r>
            <w:r>
              <w:rPr>
                <w:rFonts w:hint="eastAsia" w:ascii="仿宋_GB2312" w:hAnsi="宋体" w:eastAsia="仿宋_GB2312" w:cs="宋体"/>
                <w:kern w:val="0"/>
                <w:szCs w:val="21"/>
                <w:lang w:eastAsia="zh-CN"/>
              </w:rPr>
              <w:t>以内</w:t>
            </w:r>
            <w:r>
              <w:rPr>
                <w:rFonts w:hint="eastAsia" w:ascii="仿宋_GB2312" w:hAnsi="宋体" w:eastAsia="仿宋_GB2312" w:cs="宋体"/>
                <w:kern w:val="0"/>
                <w:szCs w:val="21"/>
              </w:rPr>
              <w:t>，计</w:t>
            </w:r>
            <w:r>
              <w:rPr>
                <w:rFonts w:hint="eastAsia" w:ascii="仿宋_GB2312" w:hAnsi="宋体" w:eastAsia="仿宋_GB2312" w:cs="宋体"/>
                <w:kern w:val="0"/>
                <w:szCs w:val="21"/>
                <w:lang w:val="en-US" w:eastAsia="zh-CN"/>
              </w:rPr>
              <w:t>3</w:t>
            </w:r>
            <w:r>
              <w:rPr>
                <w:rFonts w:hint="eastAsia" w:ascii="仿宋_GB2312" w:hAnsi="宋体" w:eastAsia="仿宋_GB2312" w:cs="宋体"/>
                <w:kern w:val="0"/>
                <w:szCs w:val="21"/>
              </w:rPr>
              <w:t>分；1</w:t>
            </w:r>
            <w:r>
              <w:rPr>
                <w:rFonts w:hint="eastAsia" w:ascii="仿宋_GB2312" w:hAnsi="宋体" w:eastAsia="仿宋_GB2312" w:cs="宋体"/>
                <w:kern w:val="0"/>
                <w:szCs w:val="21"/>
                <w:lang w:val="en-US" w:eastAsia="zh-CN"/>
              </w:rPr>
              <w:t>1</w:t>
            </w:r>
            <w:r>
              <w:rPr>
                <w:rFonts w:hint="eastAsia" w:ascii="仿宋_GB2312" w:hAnsi="宋体" w:eastAsia="仿宋_GB2312" w:cs="宋体"/>
                <w:kern w:val="0"/>
                <w:szCs w:val="21"/>
              </w:rPr>
              <w:t>-20%（含）计</w:t>
            </w:r>
            <w:r>
              <w:rPr>
                <w:rFonts w:hint="eastAsia" w:ascii="仿宋_GB2312" w:hAnsi="宋体" w:eastAsia="仿宋_GB2312" w:cs="宋体"/>
                <w:kern w:val="0"/>
                <w:szCs w:val="21"/>
                <w:lang w:val="en-US" w:eastAsia="zh-CN"/>
              </w:rPr>
              <w:t>2</w:t>
            </w:r>
            <w:r>
              <w:rPr>
                <w:rFonts w:hint="eastAsia" w:ascii="仿宋_GB2312" w:hAnsi="宋体" w:eastAsia="仿宋_GB2312" w:cs="宋体"/>
                <w:kern w:val="0"/>
                <w:szCs w:val="21"/>
              </w:rPr>
              <w:t>分；20%</w:t>
            </w:r>
            <w:r>
              <w:rPr>
                <w:rFonts w:hint="eastAsia" w:ascii="仿宋_GB2312" w:hAnsi="宋体" w:eastAsia="仿宋_GB2312" w:cs="宋体"/>
                <w:kern w:val="0"/>
                <w:szCs w:val="21"/>
                <w:lang w:eastAsia="zh-CN"/>
              </w:rPr>
              <w:t>以上</w:t>
            </w:r>
            <w:r>
              <w:rPr>
                <w:rFonts w:hint="eastAsia" w:ascii="仿宋_GB2312" w:hAnsi="宋体" w:eastAsia="仿宋_GB2312" w:cs="宋体"/>
                <w:kern w:val="0"/>
                <w:szCs w:val="21"/>
              </w:rPr>
              <w:t>计</w:t>
            </w:r>
            <w:r>
              <w:rPr>
                <w:rFonts w:hint="eastAsia" w:ascii="仿宋_GB2312" w:hAnsi="宋体" w:eastAsia="仿宋_GB2312" w:cs="宋体"/>
                <w:kern w:val="0"/>
                <w:szCs w:val="21"/>
                <w:lang w:val="en-US" w:eastAsia="zh-CN"/>
              </w:rPr>
              <w:t>1</w:t>
            </w:r>
            <w:r>
              <w:rPr>
                <w:rFonts w:hint="eastAsia" w:ascii="仿宋_GB2312" w:hAnsi="宋体" w:eastAsia="仿宋_GB2312" w:cs="宋体"/>
                <w:kern w:val="0"/>
                <w:szCs w:val="21"/>
              </w:rPr>
              <w:t>分。</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3</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29" w:hRule="atLeast"/>
          <w:jc w:val="center"/>
        </w:trPr>
        <w:tc>
          <w:tcPr>
            <w:tcW w:w="539" w:type="dxa"/>
            <w:vMerge w:val="continue"/>
            <w:shd w:val="clear" w:color="auto" w:fill="auto"/>
            <w:noWrap w:val="0"/>
            <w:vAlign w:val="center"/>
          </w:tcPr>
          <w:p>
            <w:pPr>
              <w:spacing w:line="320" w:lineRule="exact"/>
              <w:jc w:val="center"/>
              <w:rPr>
                <w:rFonts w:hint="eastAsia" w:ascii="仿宋_GB2312" w:eastAsia="仿宋_GB2312"/>
                <w:szCs w:val="21"/>
              </w:rPr>
            </w:pPr>
          </w:p>
        </w:tc>
        <w:tc>
          <w:tcPr>
            <w:tcW w:w="600" w:type="dxa"/>
            <w:vMerge w:val="continue"/>
            <w:shd w:val="clear" w:color="auto" w:fill="auto"/>
            <w:noWrap w:val="0"/>
            <w:vAlign w:val="center"/>
          </w:tcPr>
          <w:p>
            <w:pPr>
              <w:spacing w:line="320" w:lineRule="exact"/>
              <w:jc w:val="center"/>
              <w:rPr>
                <w:rFonts w:hint="eastAsia" w:ascii="仿宋_GB2312" w:eastAsia="仿宋_GB2312"/>
                <w:szCs w:val="21"/>
              </w:rPr>
            </w:pP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支付</w:t>
            </w:r>
          </w:p>
          <w:p>
            <w:pPr>
              <w:spacing w:line="320" w:lineRule="exact"/>
              <w:jc w:val="center"/>
              <w:rPr>
                <w:rFonts w:hint="eastAsia" w:ascii="仿宋_GB2312" w:eastAsia="仿宋_GB2312"/>
                <w:szCs w:val="21"/>
              </w:rPr>
            </w:pPr>
            <w:r>
              <w:rPr>
                <w:rFonts w:hint="eastAsia" w:ascii="仿宋_GB2312" w:eastAsia="仿宋_GB2312"/>
                <w:szCs w:val="21"/>
              </w:rPr>
              <w:t>进度率</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rPr>
              <w:t>支付进度率=（实际支付进度/既定支付进度）×100%。</w:t>
            </w:r>
          </w:p>
        </w:tc>
        <w:tc>
          <w:tcPr>
            <w:tcW w:w="315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hAnsi="宋体" w:eastAsia="仿宋_GB2312" w:cs="宋体"/>
                <w:kern w:val="0"/>
                <w:szCs w:val="21"/>
                <w:lang w:eastAsia="zh-CN"/>
              </w:rPr>
              <w:t>支付进度</w:t>
            </w:r>
            <w:r>
              <w:rPr>
                <w:rFonts w:hint="eastAsia" w:ascii="仿宋_GB2312" w:hAnsi="宋体" w:eastAsia="仿宋_GB2312" w:cs="宋体"/>
                <w:kern w:val="0"/>
                <w:szCs w:val="21"/>
              </w:rPr>
              <w:t>率100%</w:t>
            </w:r>
            <w:r>
              <w:rPr>
                <w:rFonts w:hint="eastAsia" w:ascii="仿宋_GB2312" w:hAnsi="宋体" w:eastAsia="仿宋_GB2312" w:cs="宋体"/>
                <w:kern w:val="0"/>
                <w:szCs w:val="21"/>
                <w:lang w:val="en-US" w:eastAsia="zh-CN"/>
              </w:rPr>
              <w:t>-90%（含）</w:t>
            </w:r>
            <w:r>
              <w:rPr>
                <w:rFonts w:hint="eastAsia" w:ascii="仿宋_GB2312" w:hAnsi="宋体" w:eastAsia="仿宋_GB2312" w:cs="宋体"/>
                <w:kern w:val="0"/>
                <w:szCs w:val="21"/>
              </w:rPr>
              <w:t>，计</w:t>
            </w:r>
            <w:r>
              <w:rPr>
                <w:rFonts w:hint="eastAsia" w:ascii="仿宋_GB2312" w:hAnsi="宋体" w:eastAsia="仿宋_GB2312" w:cs="宋体"/>
                <w:kern w:val="0"/>
                <w:szCs w:val="21"/>
                <w:lang w:val="en-US" w:eastAsia="zh-CN"/>
              </w:rPr>
              <w:t>3</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89</w:t>
            </w:r>
            <w:r>
              <w:rPr>
                <w:rFonts w:hint="eastAsia" w:ascii="仿宋_GB2312" w:hAnsi="宋体" w:eastAsia="仿宋_GB2312" w:cs="宋体"/>
                <w:kern w:val="0"/>
                <w:szCs w:val="21"/>
              </w:rPr>
              <w:t>-</w:t>
            </w:r>
            <w:r>
              <w:rPr>
                <w:rFonts w:hint="eastAsia" w:ascii="仿宋_GB2312" w:hAnsi="宋体" w:eastAsia="仿宋_GB2312" w:cs="宋体"/>
                <w:kern w:val="0"/>
                <w:szCs w:val="21"/>
                <w:lang w:val="en-US" w:eastAsia="zh-CN"/>
              </w:rPr>
              <w:t>60</w:t>
            </w:r>
            <w:r>
              <w:rPr>
                <w:rFonts w:hint="eastAsia" w:ascii="仿宋_GB2312" w:hAnsi="宋体" w:eastAsia="仿宋_GB2312" w:cs="宋体"/>
                <w:kern w:val="0"/>
                <w:szCs w:val="21"/>
              </w:rPr>
              <w:t>%（含），计</w:t>
            </w:r>
            <w:r>
              <w:rPr>
                <w:rFonts w:hint="eastAsia" w:ascii="仿宋_GB2312" w:hAnsi="宋体" w:eastAsia="仿宋_GB2312" w:cs="宋体"/>
                <w:kern w:val="0"/>
                <w:szCs w:val="21"/>
                <w:lang w:val="en-US" w:eastAsia="zh-CN"/>
              </w:rPr>
              <w:t>2</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60%</w:t>
            </w:r>
            <w:r>
              <w:rPr>
                <w:rFonts w:hint="eastAsia" w:ascii="仿宋_GB2312" w:hAnsi="宋体" w:eastAsia="仿宋_GB2312" w:cs="宋体"/>
                <w:kern w:val="0"/>
                <w:szCs w:val="21"/>
                <w:lang w:eastAsia="zh-CN"/>
              </w:rPr>
              <w:t>以下，计</w:t>
            </w:r>
            <w:r>
              <w:rPr>
                <w:rFonts w:hint="eastAsia" w:ascii="仿宋_GB2312" w:hAnsi="宋体" w:eastAsia="仿宋_GB2312" w:cs="宋体"/>
                <w:kern w:val="0"/>
                <w:szCs w:val="21"/>
                <w:lang w:val="en-US" w:eastAsia="zh-CN"/>
              </w:rPr>
              <w:t>1分</w:t>
            </w:r>
            <w:r>
              <w:rPr>
                <w:rFonts w:hint="eastAsia" w:ascii="仿宋_GB2312" w:hAnsi="宋体" w:eastAsia="仿宋_GB2312" w:cs="宋体"/>
                <w:kern w:val="0"/>
                <w:szCs w:val="21"/>
              </w:rPr>
              <w:t>。</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3</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539" w:type="dxa"/>
            <w:vMerge w:val="continue"/>
            <w:shd w:val="clear" w:color="auto" w:fill="auto"/>
            <w:noWrap/>
            <w:tcMar>
              <w:top w:w="10" w:type="dxa"/>
              <w:left w:w="10" w:type="dxa"/>
              <w:bottom w:w="0" w:type="dxa"/>
              <w:right w:w="10" w:type="dxa"/>
            </w:tcMar>
            <w:textDirection w:val="tbRlV"/>
            <w:vAlign w:val="center"/>
          </w:tcPr>
          <w:p>
            <w:pPr>
              <w:spacing w:line="320" w:lineRule="exact"/>
              <w:jc w:val="center"/>
              <w:rPr>
                <w:rFonts w:hint="eastAsia" w:ascii="仿宋_GB2312" w:eastAsia="仿宋_GB2312"/>
                <w:szCs w:val="21"/>
              </w:rPr>
            </w:pPr>
          </w:p>
        </w:tc>
        <w:tc>
          <w:tcPr>
            <w:tcW w:w="600" w:type="dxa"/>
            <w:vMerge w:val="continue"/>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结转</w:t>
            </w:r>
          </w:p>
          <w:p>
            <w:pPr>
              <w:spacing w:line="320" w:lineRule="exact"/>
              <w:jc w:val="center"/>
              <w:rPr>
                <w:rFonts w:hint="eastAsia" w:ascii="仿宋_GB2312" w:eastAsia="仿宋_GB2312"/>
                <w:szCs w:val="21"/>
              </w:rPr>
            </w:pPr>
            <w:r>
              <w:rPr>
                <w:rFonts w:hint="eastAsia" w:ascii="仿宋_GB2312" w:eastAsia="仿宋_GB2312"/>
                <w:szCs w:val="21"/>
              </w:rPr>
              <w:t>结余率</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rPr>
              <w:t>结转结余率=结转结余总额/支出预算数×100%。</w:t>
            </w:r>
          </w:p>
        </w:tc>
        <w:tc>
          <w:tcPr>
            <w:tcW w:w="315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hAnsi="宋体" w:eastAsia="仿宋_GB2312" w:cs="宋体"/>
                <w:kern w:val="0"/>
                <w:szCs w:val="21"/>
                <w:lang w:eastAsia="zh-CN"/>
              </w:rPr>
              <w:t>结转结余</w:t>
            </w:r>
            <w:r>
              <w:rPr>
                <w:rFonts w:hint="eastAsia" w:ascii="仿宋_GB2312" w:hAnsi="宋体" w:eastAsia="仿宋_GB2312" w:cs="宋体"/>
                <w:kern w:val="0"/>
                <w:szCs w:val="21"/>
              </w:rPr>
              <w:t>率</w:t>
            </w:r>
            <w:r>
              <w:rPr>
                <w:rFonts w:hint="eastAsia" w:ascii="仿宋_GB2312" w:hAnsi="宋体" w:eastAsia="仿宋_GB2312" w:cs="宋体"/>
                <w:kern w:val="0"/>
                <w:szCs w:val="21"/>
                <w:lang w:val="en-US" w:eastAsia="zh-CN"/>
              </w:rPr>
              <w:t>20%（含）以内</w:t>
            </w:r>
            <w:r>
              <w:rPr>
                <w:rFonts w:hint="eastAsia" w:ascii="仿宋_GB2312" w:hAnsi="宋体" w:eastAsia="仿宋_GB2312" w:cs="宋体"/>
                <w:kern w:val="0"/>
                <w:szCs w:val="21"/>
              </w:rPr>
              <w:t>，计</w:t>
            </w:r>
            <w:r>
              <w:rPr>
                <w:rFonts w:hint="eastAsia" w:ascii="仿宋_GB2312" w:hAnsi="宋体" w:eastAsia="仿宋_GB2312" w:cs="宋体"/>
                <w:kern w:val="0"/>
                <w:szCs w:val="21"/>
                <w:lang w:val="en-US" w:eastAsia="zh-CN"/>
              </w:rPr>
              <w:t>3</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20-30</w:t>
            </w:r>
            <w:r>
              <w:rPr>
                <w:rFonts w:hint="eastAsia" w:ascii="仿宋_GB2312" w:hAnsi="宋体" w:eastAsia="仿宋_GB2312" w:cs="宋体"/>
                <w:kern w:val="0"/>
                <w:szCs w:val="21"/>
              </w:rPr>
              <w:t>%（含），计</w:t>
            </w:r>
            <w:r>
              <w:rPr>
                <w:rFonts w:hint="eastAsia" w:ascii="仿宋_GB2312" w:hAnsi="宋体" w:eastAsia="仿宋_GB2312" w:cs="宋体"/>
                <w:kern w:val="0"/>
                <w:szCs w:val="21"/>
                <w:lang w:val="en-US" w:eastAsia="zh-CN"/>
              </w:rPr>
              <w:t>2</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30%</w:t>
            </w:r>
            <w:r>
              <w:rPr>
                <w:rFonts w:hint="eastAsia" w:ascii="仿宋_GB2312" w:hAnsi="宋体" w:eastAsia="仿宋_GB2312" w:cs="宋体"/>
                <w:kern w:val="0"/>
                <w:szCs w:val="21"/>
                <w:lang w:eastAsia="zh-CN"/>
              </w:rPr>
              <w:t>以上，计</w:t>
            </w:r>
            <w:r>
              <w:rPr>
                <w:rFonts w:hint="eastAsia" w:ascii="仿宋_GB2312" w:hAnsi="宋体" w:eastAsia="仿宋_GB2312" w:cs="宋体"/>
                <w:kern w:val="0"/>
                <w:szCs w:val="21"/>
                <w:lang w:val="en-US" w:eastAsia="zh-CN"/>
              </w:rPr>
              <w:t>1分</w:t>
            </w:r>
            <w:r>
              <w:rPr>
                <w:rFonts w:hint="eastAsia" w:ascii="仿宋_GB2312" w:hAnsi="宋体" w:eastAsia="仿宋_GB2312" w:cs="宋体"/>
                <w:kern w:val="0"/>
                <w:szCs w:val="21"/>
              </w:rPr>
              <w:t>。</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3</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17" w:hRule="atLeast"/>
          <w:jc w:val="center"/>
        </w:trPr>
        <w:tc>
          <w:tcPr>
            <w:tcW w:w="539" w:type="dxa"/>
            <w:vMerge w:val="continue"/>
            <w:shd w:val="clear" w:color="auto" w:fill="auto"/>
            <w:noWrap w:val="0"/>
            <w:vAlign w:val="center"/>
          </w:tcPr>
          <w:p>
            <w:pPr>
              <w:spacing w:line="320" w:lineRule="exact"/>
              <w:jc w:val="center"/>
              <w:rPr>
                <w:rFonts w:hint="eastAsia" w:ascii="仿宋_GB2312" w:eastAsia="仿宋_GB2312"/>
                <w:szCs w:val="21"/>
              </w:rPr>
            </w:pPr>
          </w:p>
        </w:tc>
        <w:tc>
          <w:tcPr>
            <w:tcW w:w="600" w:type="dxa"/>
            <w:vMerge w:val="continue"/>
            <w:shd w:val="clear" w:color="auto" w:fill="auto"/>
            <w:noWrap w:val="0"/>
            <w:vAlign w:val="center"/>
          </w:tcPr>
          <w:p>
            <w:pPr>
              <w:spacing w:line="320" w:lineRule="exact"/>
              <w:rPr>
                <w:rFonts w:hint="eastAsia" w:ascii="仿宋_GB2312" w:eastAsia="仿宋_GB2312"/>
                <w:szCs w:val="21"/>
              </w:rPr>
            </w:pP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结转结余</w:t>
            </w:r>
          </w:p>
          <w:p>
            <w:pPr>
              <w:spacing w:line="320" w:lineRule="exact"/>
              <w:jc w:val="center"/>
              <w:rPr>
                <w:rFonts w:hint="eastAsia" w:ascii="仿宋_GB2312" w:eastAsia="仿宋_GB2312"/>
                <w:szCs w:val="21"/>
              </w:rPr>
            </w:pPr>
            <w:r>
              <w:rPr>
                <w:rFonts w:hint="eastAsia" w:ascii="仿宋_GB2312" w:eastAsia="仿宋_GB2312"/>
                <w:szCs w:val="21"/>
              </w:rPr>
              <w:t>变动率</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rPr>
              <w:t>结转结余变动率=[（本年度累计结转结余资金总额-上年度累计结转结余资金总额）/上年度累计结转结余资金总额]×100%。</w:t>
            </w:r>
          </w:p>
        </w:tc>
        <w:tc>
          <w:tcPr>
            <w:tcW w:w="315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rPr>
              <w:t>结转结余变动率</w:t>
            </w:r>
            <w:r>
              <w:rPr>
                <w:rFonts w:hint="eastAsia" w:ascii="仿宋_GB2312" w:hAnsi="宋体" w:eastAsia="仿宋_GB2312" w:cs="宋体"/>
                <w:kern w:val="0"/>
                <w:szCs w:val="21"/>
                <w:lang w:val="en-US" w:eastAsia="zh-CN"/>
              </w:rPr>
              <w:t>20%（含）以内</w:t>
            </w:r>
            <w:r>
              <w:rPr>
                <w:rFonts w:hint="eastAsia" w:ascii="仿宋_GB2312" w:hAnsi="宋体" w:eastAsia="仿宋_GB2312" w:cs="宋体"/>
                <w:kern w:val="0"/>
                <w:szCs w:val="21"/>
              </w:rPr>
              <w:t>，计</w:t>
            </w:r>
            <w:r>
              <w:rPr>
                <w:rFonts w:hint="eastAsia" w:ascii="仿宋_GB2312" w:hAnsi="宋体" w:eastAsia="仿宋_GB2312" w:cs="宋体"/>
                <w:kern w:val="0"/>
                <w:szCs w:val="21"/>
                <w:lang w:val="en-US" w:eastAsia="zh-CN"/>
              </w:rPr>
              <w:t>3</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20-30</w:t>
            </w:r>
            <w:r>
              <w:rPr>
                <w:rFonts w:hint="eastAsia" w:ascii="仿宋_GB2312" w:hAnsi="宋体" w:eastAsia="仿宋_GB2312" w:cs="宋体"/>
                <w:kern w:val="0"/>
                <w:szCs w:val="21"/>
              </w:rPr>
              <w:t>%（含），计</w:t>
            </w:r>
            <w:r>
              <w:rPr>
                <w:rFonts w:hint="eastAsia" w:ascii="仿宋_GB2312" w:hAnsi="宋体" w:eastAsia="仿宋_GB2312" w:cs="宋体"/>
                <w:kern w:val="0"/>
                <w:szCs w:val="21"/>
                <w:lang w:val="en-US" w:eastAsia="zh-CN"/>
              </w:rPr>
              <w:t>2</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30%</w:t>
            </w:r>
            <w:r>
              <w:rPr>
                <w:rFonts w:hint="eastAsia" w:ascii="仿宋_GB2312" w:hAnsi="宋体" w:eastAsia="仿宋_GB2312" w:cs="宋体"/>
                <w:kern w:val="0"/>
                <w:szCs w:val="21"/>
                <w:lang w:eastAsia="zh-CN"/>
              </w:rPr>
              <w:t>以上，计</w:t>
            </w:r>
            <w:r>
              <w:rPr>
                <w:rFonts w:hint="eastAsia" w:ascii="仿宋_GB2312" w:hAnsi="宋体" w:eastAsia="仿宋_GB2312" w:cs="宋体"/>
                <w:kern w:val="0"/>
                <w:szCs w:val="21"/>
                <w:lang w:val="en-US" w:eastAsia="zh-CN"/>
              </w:rPr>
              <w:t>1分</w:t>
            </w:r>
            <w:r>
              <w:rPr>
                <w:rFonts w:hint="eastAsia" w:ascii="仿宋_GB2312" w:hAnsi="宋体" w:eastAsia="仿宋_GB2312" w:cs="宋体"/>
                <w:kern w:val="0"/>
                <w:szCs w:val="21"/>
              </w:rPr>
              <w:t>。</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3</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94" w:hRule="atLeast"/>
          <w:jc w:val="center"/>
        </w:trPr>
        <w:tc>
          <w:tcPr>
            <w:tcW w:w="539" w:type="dxa"/>
            <w:vMerge w:val="continue"/>
            <w:shd w:val="clear" w:color="auto" w:fill="auto"/>
            <w:noWrap w:val="0"/>
            <w:vAlign w:val="center"/>
          </w:tcPr>
          <w:p>
            <w:pPr>
              <w:spacing w:line="320" w:lineRule="exact"/>
              <w:jc w:val="center"/>
              <w:rPr>
                <w:rFonts w:hint="eastAsia" w:ascii="仿宋_GB2312" w:eastAsia="仿宋_GB2312"/>
                <w:szCs w:val="21"/>
              </w:rPr>
            </w:pPr>
          </w:p>
        </w:tc>
        <w:tc>
          <w:tcPr>
            <w:tcW w:w="600" w:type="dxa"/>
            <w:vMerge w:val="continue"/>
            <w:shd w:val="clear" w:color="auto" w:fill="auto"/>
            <w:noWrap w:val="0"/>
            <w:vAlign w:val="center"/>
          </w:tcPr>
          <w:p>
            <w:pPr>
              <w:spacing w:line="320" w:lineRule="exact"/>
              <w:rPr>
                <w:rFonts w:hint="eastAsia" w:ascii="仿宋_GB2312" w:eastAsia="仿宋_GB2312"/>
                <w:szCs w:val="21"/>
              </w:rPr>
            </w:pP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公用经费</w:t>
            </w:r>
          </w:p>
          <w:p>
            <w:pPr>
              <w:spacing w:line="320" w:lineRule="exact"/>
              <w:jc w:val="center"/>
              <w:rPr>
                <w:rFonts w:hint="eastAsia" w:ascii="仿宋_GB2312" w:eastAsia="仿宋_GB2312"/>
                <w:szCs w:val="21"/>
              </w:rPr>
            </w:pPr>
            <w:r>
              <w:rPr>
                <w:rFonts w:hint="eastAsia" w:ascii="仿宋_GB2312" w:eastAsia="仿宋_GB2312"/>
                <w:szCs w:val="21"/>
              </w:rPr>
              <w:t>控制率</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lang w:eastAsia="zh-CN"/>
              </w:rPr>
              <w:t>三公</w:t>
            </w:r>
            <w:r>
              <w:rPr>
                <w:rFonts w:hint="eastAsia" w:ascii="仿宋_GB2312" w:eastAsia="仿宋_GB2312"/>
                <w:szCs w:val="21"/>
              </w:rPr>
              <w:t>经费控制率=（实际支出公用经费总额/预算安排公用经费总额）×100%。</w:t>
            </w:r>
          </w:p>
        </w:tc>
        <w:tc>
          <w:tcPr>
            <w:tcW w:w="315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rPr>
              <w:t>公用经费控制率</w:t>
            </w:r>
            <w:r>
              <w:rPr>
                <w:rFonts w:hint="eastAsia" w:ascii="仿宋_GB2312" w:hAnsi="宋体" w:eastAsia="仿宋_GB2312" w:cs="宋体"/>
                <w:kern w:val="0"/>
                <w:szCs w:val="21"/>
              </w:rPr>
              <w:t>100%</w:t>
            </w:r>
            <w:r>
              <w:rPr>
                <w:rFonts w:hint="eastAsia" w:ascii="仿宋_GB2312" w:hAnsi="宋体" w:eastAsia="仿宋_GB2312" w:cs="宋体"/>
                <w:kern w:val="0"/>
                <w:szCs w:val="21"/>
                <w:lang w:val="en-US" w:eastAsia="zh-CN"/>
              </w:rPr>
              <w:t>-90%（含）</w:t>
            </w:r>
            <w:r>
              <w:rPr>
                <w:rFonts w:hint="eastAsia" w:ascii="仿宋_GB2312" w:hAnsi="宋体" w:eastAsia="仿宋_GB2312" w:cs="宋体"/>
                <w:kern w:val="0"/>
                <w:szCs w:val="21"/>
              </w:rPr>
              <w:t>，计</w:t>
            </w:r>
            <w:r>
              <w:rPr>
                <w:rFonts w:hint="eastAsia" w:ascii="仿宋_GB2312" w:hAnsi="宋体" w:eastAsia="仿宋_GB2312" w:cs="宋体"/>
                <w:kern w:val="0"/>
                <w:szCs w:val="21"/>
                <w:lang w:val="en-US" w:eastAsia="zh-CN"/>
              </w:rPr>
              <w:t>3</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89</w:t>
            </w:r>
            <w:r>
              <w:rPr>
                <w:rFonts w:hint="eastAsia" w:ascii="仿宋_GB2312" w:hAnsi="宋体" w:eastAsia="仿宋_GB2312" w:cs="宋体"/>
                <w:kern w:val="0"/>
                <w:szCs w:val="21"/>
              </w:rPr>
              <w:t>-</w:t>
            </w:r>
            <w:r>
              <w:rPr>
                <w:rFonts w:hint="eastAsia" w:ascii="仿宋_GB2312" w:hAnsi="宋体" w:eastAsia="仿宋_GB2312" w:cs="宋体"/>
                <w:kern w:val="0"/>
                <w:szCs w:val="21"/>
                <w:lang w:val="en-US" w:eastAsia="zh-CN"/>
              </w:rPr>
              <w:t>60</w:t>
            </w:r>
            <w:r>
              <w:rPr>
                <w:rFonts w:hint="eastAsia" w:ascii="仿宋_GB2312" w:hAnsi="宋体" w:eastAsia="仿宋_GB2312" w:cs="宋体"/>
                <w:kern w:val="0"/>
                <w:szCs w:val="21"/>
              </w:rPr>
              <w:t>%（含），计</w:t>
            </w:r>
            <w:r>
              <w:rPr>
                <w:rFonts w:hint="eastAsia" w:ascii="仿宋_GB2312" w:hAnsi="宋体" w:eastAsia="仿宋_GB2312" w:cs="宋体"/>
                <w:kern w:val="0"/>
                <w:szCs w:val="21"/>
                <w:lang w:val="en-US" w:eastAsia="zh-CN"/>
              </w:rPr>
              <w:t>2</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60%</w:t>
            </w:r>
            <w:r>
              <w:rPr>
                <w:rFonts w:hint="eastAsia" w:ascii="仿宋_GB2312" w:hAnsi="宋体" w:eastAsia="仿宋_GB2312" w:cs="宋体"/>
                <w:kern w:val="0"/>
                <w:szCs w:val="21"/>
                <w:lang w:eastAsia="zh-CN"/>
              </w:rPr>
              <w:t>以下，计</w:t>
            </w:r>
            <w:r>
              <w:rPr>
                <w:rFonts w:hint="eastAsia" w:ascii="仿宋_GB2312" w:hAnsi="宋体" w:eastAsia="仿宋_GB2312" w:cs="宋体"/>
                <w:kern w:val="0"/>
                <w:szCs w:val="21"/>
                <w:lang w:val="en-US" w:eastAsia="zh-CN"/>
              </w:rPr>
              <w:t>1分</w:t>
            </w:r>
            <w:r>
              <w:rPr>
                <w:rFonts w:hint="eastAsia" w:ascii="仿宋_GB2312" w:hAnsi="宋体" w:eastAsia="仿宋_GB2312" w:cs="宋体"/>
                <w:kern w:val="0"/>
                <w:szCs w:val="21"/>
              </w:rPr>
              <w:t>。</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3</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59" w:hRule="atLeast"/>
          <w:jc w:val="center"/>
        </w:trPr>
        <w:tc>
          <w:tcPr>
            <w:tcW w:w="539" w:type="dxa"/>
            <w:vMerge w:val="restart"/>
            <w:shd w:val="clear" w:color="auto" w:fill="auto"/>
            <w:noWrap w:val="0"/>
            <w:vAlign w:val="center"/>
          </w:tcPr>
          <w:p>
            <w:pPr>
              <w:spacing w:line="320" w:lineRule="exact"/>
              <w:jc w:val="center"/>
              <w:rPr>
                <w:rFonts w:hint="eastAsia" w:ascii="仿宋_GB2312" w:eastAsia="仿宋_GB2312"/>
                <w:szCs w:val="21"/>
              </w:rPr>
            </w:pPr>
            <w:r>
              <w:rPr>
                <w:rFonts w:hint="eastAsia" w:ascii="仿宋_GB2312" w:eastAsia="仿宋_GB2312"/>
                <w:szCs w:val="21"/>
              </w:rPr>
              <w:t>过</w:t>
            </w:r>
          </w:p>
          <w:p>
            <w:pPr>
              <w:spacing w:line="320" w:lineRule="exact"/>
              <w:jc w:val="center"/>
              <w:rPr>
                <w:rFonts w:hint="eastAsia" w:ascii="仿宋_GB2312" w:eastAsia="仿宋_GB2312"/>
                <w:szCs w:val="21"/>
              </w:rPr>
            </w:pPr>
            <w:r>
              <w:rPr>
                <w:rFonts w:hint="eastAsia" w:ascii="仿宋_GB2312" w:eastAsia="仿宋_GB2312"/>
                <w:szCs w:val="21"/>
              </w:rPr>
              <w:t>程</w:t>
            </w:r>
          </w:p>
        </w:tc>
        <w:tc>
          <w:tcPr>
            <w:tcW w:w="600" w:type="dxa"/>
            <w:vMerge w:val="restart"/>
            <w:shd w:val="clear" w:color="auto" w:fill="auto"/>
            <w:noWrap w:val="0"/>
            <w:vAlign w:val="center"/>
          </w:tcPr>
          <w:p>
            <w:pPr>
              <w:spacing w:line="320" w:lineRule="exact"/>
              <w:jc w:val="center"/>
              <w:rPr>
                <w:rFonts w:hint="eastAsia" w:ascii="仿宋_GB2312" w:eastAsia="仿宋_GB2312"/>
                <w:szCs w:val="21"/>
              </w:rPr>
            </w:pPr>
            <w:r>
              <w:rPr>
                <w:rFonts w:hint="eastAsia" w:ascii="仿宋_GB2312" w:eastAsia="仿宋_GB2312"/>
                <w:szCs w:val="21"/>
              </w:rPr>
              <w:t>预算</w:t>
            </w:r>
            <w:r>
              <w:rPr>
                <w:rFonts w:hint="eastAsia" w:ascii="仿宋_GB2312" w:eastAsia="仿宋_GB2312"/>
                <w:szCs w:val="21"/>
              </w:rPr>
              <w:br w:type="textWrapping"/>
            </w:r>
            <w:r>
              <w:rPr>
                <w:rFonts w:hint="eastAsia" w:ascii="仿宋_GB2312" w:eastAsia="仿宋_GB2312"/>
                <w:szCs w:val="21"/>
              </w:rPr>
              <w:t>执行</w:t>
            </w: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“三公经费”控制率</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rPr>
              <w:t>“三公经费”控制率=（“三公经费”实际支出数/“三公经费”预算安排数）×100%。</w:t>
            </w:r>
          </w:p>
        </w:tc>
        <w:tc>
          <w:tcPr>
            <w:tcW w:w="315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lang w:eastAsia="zh-CN"/>
              </w:rPr>
              <w:t>三公</w:t>
            </w:r>
            <w:r>
              <w:rPr>
                <w:rFonts w:hint="eastAsia" w:ascii="仿宋_GB2312" w:eastAsia="仿宋_GB2312"/>
                <w:szCs w:val="21"/>
              </w:rPr>
              <w:t>经费控制率</w:t>
            </w:r>
            <w:r>
              <w:rPr>
                <w:rFonts w:hint="eastAsia" w:ascii="仿宋_GB2312" w:hAnsi="宋体" w:eastAsia="仿宋_GB2312" w:cs="宋体"/>
                <w:kern w:val="0"/>
                <w:szCs w:val="21"/>
              </w:rPr>
              <w:t>100%</w:t>
            </w:r>
            <w:r>
              <w:rPr>
                <w:rFonts w:hint="eastAsia" w:ascii="仿宋_GB2312" w:hAnsi="宋体" w:eastAsia="仿宋_GB2312" w:cs="宋体"/>
                <w:kern w:val="0"/>
                <w:szCs w:val="21"/>
                <w:lang w:val="en-US" w:eastAsia="zh-CN"/>
              </w:rPr>
              <w:t>-95%（含）</w:t>
            </w:r>
            <w:r>
              <w:rPr>
                <w:rFonts w:hint="eastAsia" w:ascii="仿宋_GB2312" w:hAnsi="宋体" w:eastAsia="仿宋_GB2312" w:cs="宋体"/>
                <w:kern w:val="0"/>
                <w:szCs w:val="21"/>
              </w:rPr>
              <w:t>，计</w:t>
            </w:r>
            <w:r>
              <w:rPr>
                <w:rFonts w:hint="eastAsia" w:ascii="仿宋_GB2312" w:hAnsi="宋体" w:eastAsia="仿宋_GB2312" w:cs="宋体"/>
                <w:kern w:val="0"/>
                <w:szCs w:val="21"/>
                <w:lang w:val="en-US" w:eastAsia="zh-CN"/>
              </w:rPr>
              <w:t>3</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94</w:t>
            </w:r>
            <w:r>
              <w:rPr>
                <w:rFonts w:hint="eastAsia" w:ascii="仿宋_GB2312" w:hAnsi="宋体" w:eastAsia="仿宋_GB2312" w:cs="宋体"/>
                <w:kern w:val="0"/>
                <w:szCs w:val="21"/>
              </w:rPr>
              <w:t>-</w:t>
            </w:r>
            <w:r>
              <w:rPr>
                <w:rFonts w:hint="eastAsia" w:ascii="仿宋_GB2312" w:hAnsi="宋体" w:eastAsia="仿宋_GB2312" w:cs="宋体"/>
                <w:kern w:val="0"/>
                <w:szCs w:val="21"/>
                <w:lang w:val="en-US" w:eastAsia="zh-CN"/>
              </w:rPr>
              <w:t>80</w:t>
            </w:r>
            <w:r>
              <w:rPr>
                <w:rFonts w:hint="eastAsia" w:ascii="仿宋_GB2312" w:hAnsi="宋体" w:eastAsia="仿宋_GB2312" w:cs="宋体"/>
                <w:kern w:val="0"/>
                <w:szCs w:val="21"/>
              </w:rPr>
              <w:t>%（含），计</w:t>
            </w:r>
            <w:r>
              <w:rPr>
                <w:rFonts w:hint="eastAsia" w:ascii="仿宋_GB2312" w:hAnsi="宋体" w:eastAsia="仿宋_GB2312" w:cs="宋体"/>
                <w:kern w:val="0"/>
                <w:szCs w:val="21"/>
                <w:lang w:val="en-US" w:eastAsia="zh-CN"/>
              </w:rPr>
              <w:t>2</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80%</w:t>
            </w:r>
            <w:r>
              <w:rPr>
                <w:rFonts w:hint="eastAsia" w:ascii="仿宋_GB2312" w:hAnsi="宋体" w:eastAsia="仿宋_GB2312" w:cs="宋体"/>
                <w:kern w:val="0"/>
                <w:szCs w:val="21"/>
                <w:lang w:eastAsia="zh-CN"/>
              </w:rPr>
              <w:t>以下，计</w:t>
            </w:r>
            <w:r>
              <w:rPr>
                <w:rFonts w:hint="eastAsia" w:ascii="仿宋_GB2312" w:hAnsi="宋体" w:eastAsia="仿宋_GB2312" w:cs="宋体"/>
                <w:kern w:val="0"/>
                <w:szCs w:val="21"/>
                <w:lang w:val="en-US" w:eastAsia="zh-CN"/>
              </w:rPr>
              <w:t>1分</w:t>
            </w:r>
            <w:r>
              <w:rPr>
                <w:rFonts w:hint="eastAsia" w:ascii="仿宋_GB2312" w:hAnsi="宋体" w:eastAsia="仿宋_GB2312" w:cs="宋体"/>
                <w:kern w:val="0"/>
                <w:szCs w:val="21"/>
              </w:rPr>
              <w:t>。</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3</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48" w:hRule="atLeast"/>
          <w:jc w:val="center"/>
        </w:trPr>
        <w:tc>
          <w:tcPr>
            <w:tcW w:w="539" w:type="dxa"/>
            <w:vMerge w:val="continue"/>
            <w:shd w:val="clear" w:color="auto" w:fill="auto"/>
            <w:noWrap w:val="0"/>
            <w:vAlign w:val="center"/>
          </w:tcPr>
          <w:p>
            <w:pPr>
              <w:spacing w:line="320" w:lineRule="exact"/>
              <w:jc w:val="center"/>
              <w:rPr>
                <w:rFonts w:hint="eastAsia" w:ascii="仿宋_GB2312" w:eastAsia="仿宋_GB2312"/>
                <w:szCs w:val="21"/>
              </w:rPr>
            </w:pPr>
          </w:p>
        </w:tc>
        <w:tc>
          <w:tcPr>
            <w:tcW w:w="600" w:type="dxa"/>
            <w:vMerge w:val="continue"/>
            <w:shd w:val="clear" w:color="auto" w:fill="auto"/>
            <w:noWrap w:val="0"/>
            <w:vAlign w:val="center"/>
          </w:tcPr>
          <w:p>
            <w:pPr>
              <w:spacing w:line="320" w:lineRule="exact"/>
              <w:rPr>
                <w:rFonts w:hint="eastAsia" w:ascii="仿宋_GB2312" w:eastAsia="仿宋_GB2312"/>
                <w:szCs w:val="21"/>
              </w:rPr>
            </w:pP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政府采购</w:t>
            </w:r>
          </w:p>
          <w:p>
            <w:pPr>
              <w:spacing w:line="320" w:lineRule="exact"/>
              <w:jc w:val="center"/>
              <w:rPr>
                <w:rFonts w:hint="eastAsia" w:ascii="仿宋_GB2312" w:eastAsia="仿宋_GB2312"/>
                <w:szCs w:val="21"/>
              </w:rPr>
            </w:pPr>
            <w:r>
              <w:rPr>
                <w:rFonts w:hint="eastAsia" w:ascii="仿宋_GB2312" w:eastAsia="仿宋_GB2312"/>
                <w:szCs w:val="21"/>
              </w:rPr>
              <w:t>执行率</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rPr>
              <w:t>政府采购执行率=（实际政府采购金额/政府采购预算数）×100%</w:t>
            </w:r>
            <w:r>
              <w:rPr>
                <w:rFonts w:hint="eastAsia" w:ascii="仿宋_GB2312" w:eastAsia="仿宋_GB2312"/>
                <w:szCs w:val="21"/>
                <w:lang w:eastAsia="zh-CN"/>
              </w:rPr>
              <w:t>。</w:t>
            </w:r>
            <w:r>
              <w:rPr>
                <w:rFonts w:hint="eastAsia" w:ascii="仿宋_GB2312" w:eastAsia="仿宋_GB2312"/>
                <w:szCs w:val="21"/>
              </w:rPr>
              <w:t xml:space="preserve"> </w:t>
            </w:r>
          </w:p>
        </w:tc>
        <w:tc>
          <w:tcPr>
            <w:tcW w:w="315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rPr>
              <w:t>政府采购执行率</w:t>
            </w:r>
            <w:r>
              <w:rPr>
                <w:rFonts w:hint="eastAsia" w:ascii="仿宋_GB2312" w:hAnsi="宋体" w:eastAsia="仿宋_GB2312" w:cs="宋体"/>
                <w:kern w:val="0"/>
                <w:szCs w:val="21"/>
              </w:rPr>
              <w:t>100%</w:t>
            </w:r>
            <w:r>
              <w:rPr>
                <w:rFonts w:hint="eastAsia" w:ascii="仿宋_GB2312" w:hAnsi="宋体" w:eastAsia="仿宋_GB2312" w:cs="宋体"/>
                <w:kern w:val="0"/>
                <w:szCs w:val="21"/>
                <w:lang w:val="en-US" w:eastAsia="zh-CN"/>
              </w:rPr>
              <w:t>-90%（含）</w:t>
            </w:r>
            <w:r>
              <w:rPr>
                <w:rFonts w:hint="eastAsia" w:ascii="仿宋_GB2312" w:hAnsi="宋体" w:eastAsia="仿宋_GB2312" w:cs="宋体"/>
                <w:kern w:val="0"/>
                <w:szCs w:val="21"/>
              </w:rPr>
              <w:t>，计</w:t>
            </w:r>
            <w:r>
              <w:rPr>
                <w:rFonts w:hint="eastAsia" w:ascii="仿宋_GB2312" w:hAnsi="宋体" w:eastAsia="仿宋_GB2312" w:cs="宋体"/>
                <w:kern w:val="0"/>
                <w:szCs w:val="21"/>
                <w:lang w:val="en-US" w:eastAsia="zh-CN"/>
              </w:rPr>
              <w:t>3</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89</w:t>
            </w:r>
            <w:r>
              <w:rPr>
                <w:rFonts w:hint="eastAsia" w:ascii="仿宋_GB2312" w:hAnsi="宋体" w:eastAsia="仿宋_GB2312" w:cs="宋体"/>
                <w:kern w:val="0"/>
                <w:szCs w:val="21"/>
              </w:rPr>
              <w:t>-</w:t>
            </w:r>
            <w:r>
              <w:rPr>
                <w:rFonts w:hint="eastAsia" w:ascii="仿宋_GB2312" w:hAnsi="宋体" w:eastAsia="仿宋_GB2312" w:cs="宋体"/>
                <w:kern w:val="0"/>
                <w:szCs w:val="21"/>
                <w:lang w:val="en-US" w:eastAsia="zh-CN"/>
              </w:rPr>
              <w:t>60</w:t>
            </w:r>
            <w:r>
              <w:rPr>
                <w:rFonts w:hint="eastAsia" w:ascii="仿宋_GB2312" w:hAnsi="宋体" w:eastAsia="仿宋_GB2312" w:cs="宋体"/>
                <w:kern w:val="0"/>
                <w:szCs w:val="21"/>
              </w:rPr>
              <w:t>%（含），计</w:t>
            </w:r>
            <w:r>
              <w:rPr>
                <w:rFonts w:hint="eastAsia" w:ascii="仿宋_GB2312" w:hAnsi="宋体" w:eastAsia="仿宋_GB2312" w:cs="宋体"/>
                <w:kern w:val="0"/>
                <w:szCs w:val="21"/>
                <w:lang w:val="en-US" w:eastAsia="zh-CN"/>
              </w:rPr>
              <w:t>2</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60%</w:t>
            </w:r>
            <w:r>
              <w:rPr>
                <w:rFonts w:hint="eastAsia" w:ascii="仿宋_GB2312" w:hAnsi="宋体" w:eastAsia="仿宋_GB2312" w:cs="宋体"/>
                <w:kern w:val="0"/>
                <w:szCs w:val="21"/>
                <w:lang w:eastAsia="zh-CN"/>
              </w:rPr>
              <w:t>以下，计</w:t>
            </w:r>
            <w:r>
              <w:rPr>
                <w:rFonts w:hint="eastAsia" w:ascii="仿宋_GB2312" w:hAnsi="宋体" w:eastAsia="仿宋_GB2312" w:cs="宋体"/>
                <w:kern w:val="0"/>
                <w:szCs w:val="21"/>
                <w:lang w:val="en-US" w:eastAsia="zh-CN"/>
              </w:rPr>
              <w:t>1分</w:t>
            </w:r>
            <w:r>
              <w:rPr>
                <w:rFonts w:hint="eastAsia" w:ascii="仿宋_GB2312" w:hAnsi="宋体" w:eastAsia="仿宋_GB2312" w:cs="宋体"/>
                <w:kern w:val="0"/>
                <w:szCs w:val="21"/>
              </w:rPr>
              <w:t>。</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3</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63" w:hRule="atLeast"/>
          <w:jc w:val="center"/>
        </w:trPr>
        <w:tc>
          <w:tcPr>
            <w:tcW w:w="539" w:type="dxa"/>
            <w:vMerge w:val="continue"/>
            <w:shd w:val="clear" w:color="auto" w:fill="auto"/>
            <w:noWrap w:val="0"/>
            <w:vAlign w:val="center"/>
          </w:tcPr>
          <w:p>
            <w:pPr>
              <w:spacing w:line="320" w:lineRule="exact"/>
              <w:jc w:val="center"/>
              <w:rPr>
                <w:rFonts w:hint="eastAsia" w:ascii="仿宋_GB2312" w:eastAsia="仿宋_GB2312"/>
                <w:szCs w:val="21"/>
              </w:rPr>
            </w:pPr>
          </w:p>
        </w:tc>
        <w:tc>
          <w:tcPr>
            <w:tcW w:w="600"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预算</w:t>
            </w:r>
            <w:r>
              <w:rPr>
                <w:rFonts w:hint="eastAsia" w:ascii="仿宋_GB2312" w:eastAsia="仿宋_GB2312"/>
                <w:szCs w:val="21"/>
              </w:rPr>
              <w:br w:type="textWrapping"/>
            </w:r>
            <w:r>
              <w:rPr>
                <w:rFonts w:hint="eastAsia" w:ascii="仿宋_GB2312" w:eastAsia="仿宋_GB2312"/>
                <w:szCs w:val="21"/>
              </w:rPr>
              <w:t>管理</w:t>
            </w: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管理制度</w:t>
            </w:r>
          </w:p>
          <w:p>
            <w:pPr>
              <w:spacing w:line="320" w:lineRule="exact"/>
              <w:jc w:val="center"/>
              <w:rPr>
                <w:rFonts w:hint="eastAsia" w:ascii="仿宋_GB2312" w:eastAsia="仿宋_GB2312"/>
                <w:szCs w:val="21"/>
              </w:rPr>
            </w:pPr>
            <w:r>
              <w:rPr>
                <w:rFonts w:hint="eastAsia" w:ascii="仿宋_GB2312" w:eastAsia="仿宋_GB2312"/>
                <w:szCs w:val="21"/>
              </w:rPr>
              <w:t>健全性</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hAnsi="宋体" w:eastAsia="仿宋_GB2312" w:cs="宋体"/>
                <w:szCs w:val="21"/>
              </w:rPr>
              <w:t>①</w:t>
            </w:r>
            <w:r>
              <w:rPr>
                <w:rFonts w:hint="eastAsia" w:ascii="仿宋_GB2312" w:eastAsia="仿宋_GB2312"/>
                <w:szCs w:val="21"/>
              </w:rPr>
              <w:t>是否已制定或具有预算资金管理办法、内部财务管理制度、会计核算制度等管理制度；</w:t>
            </w:r>
            <w:r>
              <w:rPr>
                <w:rFonts w:hint="eastAsia"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相关管理制度是否合法、合规、完整；</w:t>
            </w:r>
            <w:r>
              <w:rPr>
                <w:rFonts w:hint="eastAsia"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相关管理制度是否得到有效执行。</w:t>
            </w:r>
          </w:p>
        </w:tc>
        <w:tc>
          <w:tcPr>
            <w:tcW w:w="3150" w:type="dxa"/>
            <w:shd w:val="clear" w:color="auto" w:fill="auto"/>
            <w:noWrap w:val="0"/>
            <w:tcMar>
              <w:top w:w="10" w:type="dxa"/>
              <w:left w:w="10" w:type="dxa"/>
              <w:bottom w:w="0" w:type="dxa"/>
              <w:right w:w="10" w:type="dxa"/>
            </w:tcMar>
            <w:vAlign w:val="center"/>
          </w:tcPr>
          <w:p>
            <w:pPr>
              <w:widowControl/>
              <w:spacing w:line="320" w:lineRule="exact"/>
              <w:jc w:val="left"/>
              <w:rPr>
                <w:rFonts w:hint="default" w:ascii="仿宋_GB2312" w:eastAsia="仿宋_GB2312"/>
                <w:szCs w:val="21"/>
                <w:lang w:val="en-US" w:eastAsia="zh-CN"/>
              </w:rPr>
            </w:pPr>
            <w:r>
              <w:rPr>
                <w:rFonts w:hint="eastAsia" w:ascii="仿宋_GB2312" w:hAnsi="宋体" w:eastAsia="仿宋_GB2312" w:cs="宋体"/>
                <w:kern w:val="0"/>
                <w:szCs w:val="21"/>
                <w:lang w:eastAsia="zh-CN"/>
              </w:rPr>
              <w:t>制度健全计</w:t>
            </w:r>
            <w:r>
              <w:rPr>
                <w:rFonts w:hint="eastAsia" w:ascii="仿宋_GB2312" w:hAnsi="宋体" w:eastAsia="仿宋_GB2312" w:cs="宋体"/>
                <w:kern w:val="0"/>
                <w:szCs w:val="21"/>
                <w:lang w:val="en-US" w:eastAsia="zh-CN"/>
              </w:rPr>
              <w:t>3分，每缺少一项扣1分，扣完为止。</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3</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09" w:hRule="atLeast"/>
          <w:jc w:val="center"/>
        </w:trPr>
        <w:tc>
          <w:tcPr>
            <w:tcW w:w="539" w:type="dxa"/>
            <w:vMerge w:val="continue"/>
            <w:shd w:val="clear" w:color="auto" w:fill="auto"/>
            <w:noWrap w:val="0"/>
            <w:vAlign w:val="center"/>
          </w:tcPr>
          <w:p>
            <w:pPr>
              <w:spacing w:line="320" w:lineRule="exact"/>
              <w:jc w:val="center"/>
              <w:rPr>
                <w:rFonts w:hint="eastAsia" w:ascii="仿宋_GB2312" w:eastAsia="仿宋_GB2312"/>
                <w:szCs w:val="21"/>
              </w:rPr>
            </w:pPr>
          </w:p>
        </w:tc>
        <w:tc>
          <w:tcPr>
            <w:tcW w:w="600" w:type="dxa"/>
            <w:vMerge w:val="restart"/>
            <w:shd w:val="clear" w:color="auto" w:fill="auto"/>
            <w:noWrap w:val="0"/>
            <w:vAlign w:val="center"/>
          </w:tcPr>
          <w:p>
            <w:pPr>
              <w:spacing w:line="320" w:lineRule="exact"/>
              <w:jc w:val="center"/>
              <w:rPr>
                <w:rFonts w:hint="eastAsia" w:ascii="仿宋_GB2312" w:eastAsia="仿宋_GB2312"/>
                <w:szCs w:val="21"/>
              </w:rPr>
            </w:pPr>
            <w:r>
              <w:rPr>
                <w:rFonts w:hint="eastAsia" w:ascii="仿宋_GB2312" w:eastAsia="仿宋_GB2312"/>
                <w:szCs w:val="21"/>
              </w:rPr>
              <w:t>预算</w:t>
            </w:r>
          </w:p>
          <w:p>
            <w:pPr>
              <w:spacing w:line="320" w:lineRule="exact"/>
              <w:jc w:val="center"/>
              <w:rPr>
                <w:rFonts w:hint="eastAsia" w:ascii="仿宋_GB2312" w:eastAsia="仿宋_GB2312"/>
                <w:szCs w:val="21"/>
              </w:rPr>
            </w:pPr>
            <w:r>
              <w:rPr>
                <w:rFonts w:hint="eastAsia" w:ascii="仿宋_GB2312" w:eastAsia="仿宋_GB2312"/>
                <w:szCs w:val="21"/>
              </w:rPr>
              <w:t>管理</w:t>
            </w: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资金使用</w:t>
            </w:r>
          </w:p>
          <w:p>
            <w:pPr>
              <w:spacing w:line="320" w:lineRule="exact"/>
              <w:jc w:val="center"/>
              <w:rPr>
                <w:rFonts w:hint="eastAsia" w:ascii="仿宋_GB2312" w:eastAsia="仿宋_GB2312"/>
                <w:szCs w:val="21"/>
              </w:rPr>
            </w:pPr>
            <w:r>
              <w:rPr>
                <w:rFonts w:hint="eastAsia" w:ascii="仿宋_GB2312" w:eastAsia="仿宋_GB2312"/>
                <w:szCs w:val="21"/>
              </w:rPr>
              <w:t>合规性</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hAnsi="宋体" w:eastAsia="仿宋_GB2312" w:cs="宋体"/>
                <w:szCs w:val="21"/>
              </w:rPr>
              <w:t>①</w:t>
            </w:r>
            <w:r>
              <w:rPr>
                <w:rFonts w:hint="eastAsia" w:ascii="仿宋_GB2312" w:eastAsia="仿宋_GB2312"/>
                <w:szCs w:val="21"/>
              </w:rPr>
              <w:t>是否符合国家财经法规和财务管理制度规定以及有关预算支出管理办法的规定；</w:t>
            </w:r>
            <w:r>
              <w:rPr>
                <w:rFonts w:hint="eastAsia"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资金的拨付是否有完整的审批程序和手续；</w:t>
            </w:r>
            <w:r>
              <w:rPr>
                <w:rFonts w:hint="eastAsia"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预算支出的重大开支是否经过评估论证；</w:t>
            </w:r>
            <w:r>
              <w:rPr>
                <w:rFonts w:hint="eastAsia"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是否符合部门预算批复的用途；</w:t>
            </w:r>
            <w:r>
              <w:rPr>
                <w:rFonts w:hint="eastAsia" w:ascii="仿宋_GB2312" w:eastAsia="仿宋_GB2312"/>
                <w:szCs w:val="21"/>
              </w:rPr>
              <w:br w:type="textWrapping"/>
            </w:r>
            <w:r>
              <w:rPr>
                <w:rFonts w:hint="eastAsia" w:ascii="仿宋_GB2312" w:hAnsi="宋体" w:eastAsia="仿宋_GB2312" w:cs="宋体"/>
                <w:szCs w:val="21"/>
              </w:rPr>
              <w:t>⑤</w:t>
            </w:r>
            <w:r>
              <w:rPr>
                <w:rFonts w:hint="eastAsia" w:ascii="仿宋_GB2312" w:eastAsia="仿宋_GB2312"/>
                <w:szCs w:val="21"/>
              </w:rPr>
              <w:t>是否存在截留、挤占、挪用、虚列支出等情况。</w:t>
            </w:r>
          </w:p>
        </w:tc>
        <w:tc>
          <w:tcPr>
            <w:tcW w:w="3150" w:type="dxa"/>
            <w:shd w:val="clear" w:color="auto" w:fill="auto"/>
            <w:noWrap w:val="0"/>
            <w:tcMar>
              <w:top w:w="10" w:type="dxa"/>
              <w:left w:w="10" w:type="dxa"/>
              <w:bottom w:w="0" w:type="dxa"/>
              <w:right w:w="10" w:type="dxa"/>
            </w:tcMar>
            <w:vAlign w:val="center"/>
          </w:tcPr>
          <w:p>
            <w:pPr>
              <w:widowControl/>
              <w:spacing w:line="320" w:lineRule="exact"/>
              <w:jc w:val="left"/>
              <w:rPr>
                <w:rFonts w:hint="eastAsia" w:ascii="仿宋_GB2312" w:eastAsia="仿宋_GB2312"/>
                <w:szCs w:val="21"/>
              </w:rPr>
            </w:pPr>
            <w:r>
              <w:rPr>
                <w:rFonts w:hint="eastAsia" w:ascii="仿宋_GB2312" w:eastAsia="仿宋_GB2312"/>
                <w:szCs w:val="21"/>
                <w:lang w:eastAsia="zh-CN"/>
              </w:rPr>
              <w:t>符合要求计</w:t>
            </w:r>
            <w:r>
              <w:rPr>
                <w:rFonts w:hint="eastAsia" w:ascii="仿宋_GB2312" w:eastAsia="仿宋_GB2312"/>
                <w:szCs w:val="21"/>
                <w:lang w:val="en-US" w:eastAsia="zh-CN"/>
              </w:rPr>
              <w:t>3分，</w:t>
            </w:r>
            <w:r>
              <w:rPr>
                <w:rFonts w:hint="eastAsia" w:ascii="仿宋_GB2312" w:hAnsi="宋体" w:eastAsia="仿宋_GB2312" w:cs="宋体"/>
                <w:kern w:val="0"/>
                <w:szCs w:val="21"/>
                <w:lang w:val="en-US" w:eastAsia="zh-CN"/>
              </w:rPr>
              <w:t>不符合按比例扣分，扣完为止。</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3</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33" w:hRule="atLeast"/>
          <w:jc w:val="center"/>
        </w:trPr>
        <w:tc>
          <w:tcPr>
            <w:tcW w:w="539" w:type="dxa"/>
            <w:vMerge w:val="continue"/>
            <w:shd w:val="clear" w:color="auto" w:fill="auto"/>
            <w:noWrap w:val="0"/>
            <w:vAlign w:val="center"/>
          </w:tcPr>
          <w:p>
            <w:pPr>
              <w:spacing w:line="320" w:lineRule="exact"/>
              <w:jc w:val="center"/>
              <w:rPr>
                <w:rFonts w:hint="eastAsia" w:ascii="仿宋_GB2312" w:eastAsia="仿宋_GB2312"/>
                <w:szCs w:val="21"/>
              </w:rPr>
            </w:pPr>
          </w:p>
        </w:tc>
        <w:tc>
          <w:tcPr>
            <w:tcW w:w="600" w:type="dxa"/>
            <w:vMerge w:val="continue"/>
            <w:shd w:val="clear" w:color="auto" w:fill="auto"/>
            <w:noWrap w:val="0"/>
            <w:vAlign w:val="center"/>
          </w:tcPr>
          <w:p>
            <w:pPr>
              <w:spacing w:line="320" w:lineRule="exact"/>
              <w:rPr>
                <w:rFonts w:hint="eastAsia" w:ascii="仿宋_GB2312" w:eastAsia="仿宋_GB2312"/>
                <w:szCs w:val="21"/>
              </w:rPr>
            </w:pP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预决算信</w:t>
            </w:r>
          </w:p>
          <w:p>
            <w:pPr>
              <w:spacing w:line="320" w:lineRule="exact"/>
              <w:jc w:val="center"/>
              <w:rPr>
                <w:rFonts w:hint="eastAsia" w:ascii="仿宋_GB2312" w:eastAsia="仿宋_GB2312"/>
                <w:szCs w:val="21"/>
              </w:rPr>
            </w:pPr>
            <w:r>
              <w:rPr>
                <w:rFonts w:hint="eastAsia" w:ascii="仿宋_GB2312" w:eastAsia="仿宋_GB2312"/>
                <w:szCs w:val="21"/>
              </w:rPr>
              <w:t>息公开性</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hAnsi="宋体" w:eastAsia="仿宋_GB2312" w:cs="宋体"/>
                <w:szCs w:val="21"/>
              </w:rPr>
              <w:t>①</w:t>
            </w:r>
            <w:r>
              <w:rPr>
                <w:rFonts w:hint="eastAsia" w:ascii="仿宋_GB2312" w:eastAsia="仿宋_GB2312"/>
                <w:szCs w:val="21"/>
              </w:rPr>
              <w:t>是否按规定内容公开预决算信息；</w:t>
            </w:r>
            <w:r>
              <w:rPr>
                <w:rFonts w:hint="eastAsia"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是否按规定时限公开预决算信息。</w:t>
            </w:r>
          </w:p>
        </w:tc>
        <w:tc>
          <w:tcPr>
            <w:tcW w:w="3150" w:type="dxa"/>
            <w:shd w:val="clear" w:color="auto" w:fill="auto"/>
            <w:noWrap w:val="0"/>
            <w:tcMar>
              <w:top w:w="10" w:type="dxa"/>
              <w:left w:w="10" w:type="dxa"/>
              <w:bottom w:w="0" w:type="dxa"/>
              <w:right w:w="10" w:type="dxa"/>
            </w:tcMar>
            <w:vAlign w:val="center"/>
          </w:tcPr>
          <w:p>
            <w:pPr>
              <w:widowControl/>
              <w:spacing w:line="320" w:lineRule="exact"/>
              <w:jc w:val="left"/>
              <w:rPr>
                <w:rFonts w:hint="eastAsia" w:ascii="仿宋_GB2312" w:eastAsia="仿宋_GB2312"/>
                <w:szCs w:val="21"/>
              </w:rPr>
            </w:pPr>
            <w:r>
              <w:rPr>
                <w:rFonts w:hint="eastAsia" w:ascii="仿宋_GB2312" w:hAnsi="宋体" w:eastAsia="仿宋_GB2312" w:cs="宋体"/>
                <w:kern w:val="0"/>
                <w:szCs w:val="21"/>
                <w:lang w:eastAsia="zh-CN"/>
              </w:rPr>
              <w:t>按规定公开计</w:t>
            </w:r>
            <w:r>
              <w:rPr>
                <w:rFonts w:hint="eastAsia" w:ascii="仿宋_GB2312" w:hAnsi="宋体" w:eastAsia="仿宋_GB2312" w:cs="宋体"/>
                <w:kern w:val="0"/>
                <w:szCs w:val="21"/>
                <w:lang w:val="en-US" w:eastAsia="zh-CN"/>
              </w:rPr>
              <w:t>3分，缺少一项扣1.5分。</w:t>
            </w:r>
            <w:r>
              <w:rPr>
                <w:rFonts w:hint="eastAsia" w:ascii="仿宋_GB2312" w:hAnsi="宋体" w:eastAsia="仿宋_GB2312" w:cs="宋体"/>
                <w:kern w:val="0"/>
                <w:szCs w:val="21"/>
              </w:rPr>
              <w:t xml:space="preserve">                                        </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3</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02" w:hRule="atLeast"/>
          <w:jc w:val="center"/>
        </w:trPr>
        <w:tc>
          <w:tcPr>
            <w:tcW w:w="539" w:type="dxa"/>
            <w:vMerge w:val="restart"/>
            <w:shd w:val="clear" w:color="auto" w:fill="auto"/>
            <w:noWrap w:val="0"/>
            <w:vAlign w:val="center"/>
          </w:tcPr>
          <w:p>
            <w:pPr>
              <w:spacing w:line="320" w:lineRule="exact"/>
              <w:jc w:val="center"/>
              <w:rPr>
                <w:rFonts w:hint="eastAsia" w:ascii="仿宋_GB2312" w:eastAsia="仿宋_GB2312"/>
                <w:szCs w:val="21"/>
              </w:rPr>
            </w:pPr>
            <w:r>
              <w:rPr>
                <w:rFonts w:hint="eastAsia" w:ascii="仿宋_GB2312" w:eastAsia="仿宋_GB2312"/>
                <w:szCs w:val="21"/>
              </w:rPr>
              <w:t>过</w:t>
            </w:r>
          </w:p>
          <w:p>
            <w:pPr>
              <w:spacing w:line="320" w:lineRule="exact"/>
              <w:jc w:val="center"/>
              <w:rPr>
                <w:rFonts w:hint="eastAsia" w:ascii="仿宋_GB2312" w:eastAsia="仿宋_GB2312"/>
                <w:szCs w:val="21"/>
              </w:rPr>
            </w:pPr>
            <w:r>
              <w:rPr>
                <w:rFonts w:hint="eastAsia" w:ascii="仿宋_GB2312" w:eastAsia="仿宋_GB2312"/>
                <w:szCs w:val="21"/>
              </w:rPr>
              <w:t>程</w:t>
            </w:r>
          </w:p>
        </w:tc>
        <w:tc>
          <w:tcPr>
            <w:tcW w:w="600" w:type="dxa"/>
            <w:shd w:val="clear" w:color="auto" w:fill="auto"/>
            <w:noWrap w:val="0"/>
            <w:vAlign w:val="center"/>
          </w:tcPr>
          <w:p>
            <w:pPr>
              <w:spacing w:line="320" w:lineRule="exact"/>
              <w:jc w:val="center"/>
              <w:rPr>
                <w:rFonts w:hint="eastAsia" w:ascii="仿宋_GB2312" w:eastAsia="仿宋_GB2312"/>
                <w:szCs w:val="21"/>
              </w:rPr>
            </w:pPr>
            <w:r>
              <w:rPr>
                <w:rFonts w:hint="eastAsia" w:ascii="仿宋_GB2312" w:eastAsia="仿宋_GB2312"/>
                <w:szCs w:val="21"/>
              </w:rPr>
              <w:t>预算</w:t>
            </w:r>
          </w:p>
          <w:p>
            <w:pPr>
              <w:spacing w:line="320" w:lineRule="exact"/>
              <w:jc w:val="center"/>
              <w:rPr>
                <w:rFonts w:hint="eastAsia" w:ascii="仿宋_GB2312" w:eastAsia="仿宋_GB2312"/>
                <w:szCs w:val="21"/>
              </w:rPr>
            </w:pPr>
            <w:r>
              <w:rPr>
                <w:rFonts w:hint="eastAsia" w:ascii="仿宋_GB2312" w:eastAsia="仿宋_GB2312"/>
                <w:szCs w:val="21"/>
              </w:rPr>
              <w:t>管理</w:t>
            </w: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基础信息</w:t>
            </w:r>
          </w:p>
          <w:p>
            <w:pPr>
              <w:spacing w:line="320" w:lineRule="exact"/>
              <w:jc w:val="center"/>
              <w:rPr>
                <w:rFonts w:hint="eastAsia" w:ascii="仿宋_GB2312" w:eastAsia="仿宋_GB2312"/>
                <w:szCs w:val="21"/>
              </w:rPr>
            </w:pPr>
            <w:r>
              <w:rPr>
                <w:rFonts w:hint="eastAsia" w:ascii="仿宋_GB2312" w:eastAsia="仿宋_GB2312"/>
                <w:szCs w:val="21"/>
              </w:rPr>
              <w:t>完善性</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hAnsi="宋体" w:eastAsia="仿宋_GB2312" w:cs="宋体"/>
                <w:szCs w:val="21"/>
              </w:rPr>
              <w:t>①</w:t>
            </w:r>
            <w:r>
              <w:rPr>
                <w:rFonts w:hint="eastAsia" w:ascii="仿宋_GB2312" w:eastAsia="仿宋_GB2312"/>
                <w:szCs w:val="21"/>
              </w:rPr>
              <w:t>基础数据信息和会计信息资料是否真实；</w:t>
            </w:r>
            <w:r>
              <w:rPr>
                <w:rFonts w:hint="eastAsia"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基础数据信息和会计信息资料是否完整；</w:t>
            </w:r>
            <w:r>
              <w:rPr>
                <w:rFonts w:hint="eastAsia"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基础数据信息和会计信息资料是否准确。</w:t>
            </w:r>
          </w:p>
        </w:tc>
        <w:tc>
          <w:tcPr>
            <w:tcW w:w="3150" w:type="dxa"/>
            <w:shd w:val="clear" w:color="auto" w:fill="auto"/>
            <w:noWrap w:val="0"/>
            <w:tcMar>
              <w:top w:w="10" w:type="dxa"/>
              <w:left w:w="10" w:type="dxa"/>
              <w:bottom w:w="0" w:type="dxa"/>
              <w:right w:w="10" w:type="dxa"/>
            </w:tcMar>
            <w:vAlign w:val="center"/>
          </w:tcPr>
          <w:p>
            <w:pPr>
              <w:widowControl/>
              <w:spacing w:line="320" w:lineRule="exact"/>
              <w:jc w:val="left"/>
              <w:rPr>
                <w:rFonts w:hint="default" w:ascii="仿宋_GB2312" w:eastAsia="仿宋_GB2312"/>
                <w:szCs w:val="21"/>
                <w:lang w:val="en-US" w:eastAsia="zh-CN"/>
              </w:rPr>
            </w:pPr>
            <w:r>
              <w:rPr>
                <w:rFonts w:hint="eastAsia" w:ascii="仿宋_GB2312" w:eastAsia="仿宋_GB2312"/>
                <w:szCs w:val="21"/>
                <w:lang w:eastAsia="zh-CN"/>
              </w:rPr>
              <w:t>符合要求计</w:t>
            </w:r>
            <w:r>
              <w:rPr>
                <w:rFonts w:hint="eastAsia" w:ascii="仿宋_GB2312" w:eastAsia="仿宋_GB2312"/>
                <w:szCs w:val="21"/>
                <w:lang w:val="en-US" w:eastAsia="zh-CN"/>
              </w:rPr>
              <w:t>3分，</w:t>
            </w:r>
            <w:r>
              <w:rPr>
                <w:rFonts w:hint="eastAsia" w:ascii="仿宋_GB2312" w:hAnsi="宋体" w:eastAsia="仿宋_GB2312" w:cs="宋体"/>
                <w:kern w:val="0"/>
                <w:szCs w:val="21"/>
                <w:lang w:val="en-US" w:eastAsia="zh-CN"/>
              </w:rPr>
              <w:t>不符合按比例扣分，扣完为止。</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3</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19" w:hRule="atLeast"/>
          <w:jc w:val="center"/>
        </w:trPr>
        <w:tc>
          <w:tcPr>
            <w:tcW w:w="539" w:type="dxa"/>
            <w:vMerge w:val="continue"/>
            <w:shd w:val="clear" w:color="auto" w:fill="auto"/>
            <w:noWrap/>
            <w:tcMar>
              <w:top w:w="10" w:type="dxa"/>
              <w:left w:w="10" w:type="dxa"/>
              <w:bottom w:w="0" w:type="dxa"/>
              <w:right w:w="10" w:type="dxa"/>
            </w:tcMar>
            <w:textDirection w:val="tbRlV"/>
            <w:vAlign w:val="center"/>
          </w:tcPr>
          <w:p>
            <w:pPr>
              <w:spacing w:line="320" w:lineRule="exact"/>
              <w:jc w:val="center"/>
              <w:rPr>
                <w:rFonts w:hint="eastAsia" w:ascii="仿宋_GB2312" w:eastAsia="仿宋_GB2312"/>
                <w:szCs w:val="21"/>
              </w:rPr>
            </w:pPr>
          </w:p>
        </w:tc>
        <w:tc>
          <w:tcPr>
            <w:tcW w:w="600"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资产</w:t>
            </w:r>
            <w:r>
              <w:rPr>
                <w:rFonts w:hint="eastAsia" w:ascii="仿宋_GB2312" w:eastAsia="仿宋_GB2312"/>
                <w:szCs w:val="21"/>
              </w:rPr>
              <w:br w:type="textWrapping"/>
            </w:r>
            <w:r>
              <w:rPr>
                <w:rFonts w:hint="eastAsia" w:ascii="仿宋_GB2312" w:eastAsia="仿宋_GB2312"/>
                <w:szCs w:val="21"/>
              </w:rPr>
              <w:t>管理</w:t>
            </w: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管理制度</w:t>
            </w:r>
          </w:p>
          <w:p>
            <w:pPr>
              <w:spacing w:line="320" w:lineRule="exact"/>
              <w:jc w:val="center"/>
              <w:rPr>
                <w:rFonts w:hint="eastAsia" w:ascii="仿宋_GB2312" w:eastAsia="仿宋_GB2312"/>
                <w:szCs w:val="21"/>
              </w:rPr>
            </w:pPr>
            <w:r>
              <w:rPr>
                <w:rFonts w:hint="eastAsia" w:ascii="仿宋_GB2312" w:eastAsia="仿宋_GB2312"/>
                <w:szCs w:val="21"/>
              </w:rPr>
              <w:t>健全性</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hAnsi="宋体" w:eastAsia="仿宋_GB2312" w:cs="宋体"/>
                <w:szCs w:val="21"/>
              </w:rPr>
              <w:t>①</w:t>
            </w:r>
            <w:r>
              <w:rPr>
                <w:rFonts w:hint="eastAsia" w:ascii="仿宋_GB2312" w:eastAsia="仿宋_GB2312"/>
                <w:szCs w:val="21"/>
              </w:rPr>
              <w:t>是否已制定或具有资产管理制度；</w:t>
            </w:r>
          </w:p>
          <w:p>
            <w:pPr>
              <w:spacing w:line="320" w:lineRule="exact"/>
              <w:ind w:left="105" w:leftChars="50" w:right="105" w:rightChars="50"/>
              <w:rPr>
                <w:rFonts w:hint="eastAsia" w:ascii="仿宋_GB2312" w:eastAsia="仿宋_GB2312"/>
                <w:szCs w:val="21"/>
              </w:rPr>
            </w:pPr>
            <w:r>
              <w:rPr>
                <w:rFonts w:hint="eastAsia" w:ascii="仿宋_GB2312" w:hAnsi="宋体" w:eastAsia="仿宋_GB2312" w:cs="宋体"/>
                <w:szCs w:val="21"/>
              </w:rPr>
              <w:t>②</w:t>
            </w:r>
            <w:r>
              <w:rPr>
                <w:rFonts w:hint="eastAsia" w:ascii="仿宋_GB2312" w:eastAsia="仿宋_GB2312"/>
                <w:szCs w:val="21"/>
              </w:rPr>
              <w:t>相关资金管理制度是否合法、合规、完整；</w:t>
            </w:r>
            <w:r>
              <w:rPr>
                <w:rFonts w:hint="eastAsia"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相关资产管理制度是否得到有效执行。</w:t>
            </w:r>
          </w:p>
        </w:tc>
        <w:tc>
          <w:tcPr>
            <w:tcW w:w="3150" w:type="dxa"/>
            <w:shd w:val="clear" w:color="auto" w:fill="auto"/>
            <w:noWrap w:val="0"/>
            <w:tcMar>
              <w:top w:w="10" w:type="dxa"/>
              <w:left w:w="10" w:type="dxa"/>
              <w:bottom w:w="0" w:type="dxa"/>
              <w:right w:w="10" w:type="dxa"/>
            </w:tcMar>
            <w:vAlign w:val="center"/>
          </w:tcPr>
          <w:p>
            <w:pPr>
              <w:widowControl/>
              <w:spacing w:line="320" w:lineRule="exact"/>
              <w:jc w:val="left"/>
              <w:rPr>
                <w:rFonts w:hint="eastAsia" w:ascii="仿宋_GB2312" w:eastAsia="仿宋_GB2312"/>
                <w:szCs w:val="21"/>
              </w:rPr>
            </w:pPr>
            <w:r>
              <w:rPr>
                <w:rFonts w:hint="eastAsia" w:ascii="仿宋_GB2312" w:eastAsia="仿宋_GB2312"/>
                <w:szCs w:val="21"/>
                <w:lang w:eastAsia="zh-CN"/>
              </w:rPr>
              <w:t>符合要求计</w:t>
            </w:r>
            <w:r>
              <w:rPr>
                <w:rFonts w:hint="eastAsia" w:ascii="仿宋_GB2312" w:eastAsia="仿宋_GB2312"/>
                <w:szCs w:val="21"/>
                <w:lang w:val="en-US" w:eastAsia="zh-CN"/>
              </w:rPr>
              <w:t>3分，</w:t>
            </w:r>
            <w:r>
              <w:rPr>
                <w:rFonts w:hint="eastAsia" w:ascii="仿宋_GB2312" w:hAnsi="宋体" w:eastAsia="仿宋_GB2312" w:cs="宋体"/>
                <w:kern w:val="0"/>
                <w:szCs w:val="21"/>
                <w:lang w:val="en-US" w:eastAsia="zh-CN"/>
              </w:rPr>
              <w:t>不符合按比例扣分，扣完为止。</w:t>
            </w:r>
            <w:r>
              <w:rPr>
                <w:rFonts w:hint="eastAsia" w:ascii="仿宋_GB2312" w:hAnsi="宋体" w:eastAsia="仿宋_GB2312" w:cs="宋体"/>
                <w:kern w:val="0"/>
                <w:szCs w:val="21"/>
              </w:rPr>
              <w:t xml:space="preserve">                                           </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3</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42" w:hRule="atLeast"/>
          <w:jc w:val="center"/>
        </w:trPr>
        <w:tc>
          <w:tcPr>
            <w:tcW w:w="539" w:type="dxa"/>
            <w:vMerge w:val="continue"/>
            <w:shd w:val="clear" w:color="auto" w:fill="auto"/>
            <w:noWrap w:val="0"/>
            <w:vAlign w:val="center"/>
          </w:tcPr>
          <w:p>
            <w:pPr>
              <w:spacing w:line="320" w:lineRule="exact"/>
              <w:jc w:val="center"/>
              <w:rPr>
                <w:rFonts w:hint="eastAsia" w:ascii="仿宋_GB2312" w:eastAsia="仿宋_GB2312"/>
                <w:szCs w:val="21"/>
              </w:rPr>
            </w:pPr>
          </w:p>
        </w:tc>
        <w:tc>
          <w:tcPr>
            <w:tcW w:w="600" w:type="dxa"/>
            <w:vMerge w:val="restart"/>
            <w:shd w:val="clear" w:color="auto" w:fill="auto"/>
            <w:noWrap w:val="0"/>
            <w:vAlign w:val="center"/>
          </w:tcPr>
          <w:p>
            <w:pPr>
              <w:spacing w:line="320" w:lineRule="exact"/>
              <w:jc w:val="center"/>
              <w:rPr>
                <w:rFonts w:hint="eastAsia" w:ascii="仿宋_GB2312" w:eastAsia="仿宋_GB2312"/>
                <w:szCs w:val="21"/>
              </w:rPr>
            </w:pPr>
            <w:r>
              <w:rPr>
                <w:rFonts w:hint="eastAsia" w:ascii="仿宋_GB2312" w:eastAsia="仿宋_GB2312"/>
                <w:szCs w:val="21"/>
              </w:rPr>
              <w:t>资产</w:t>
            </w:r>
          </w:p>
          <w:p>
            <w:pPr>
              <w:spacing w:line="320" w:lineRule="exact"/>
              <w:jc w:val="center"/>
              <w:rPr>
                <w:rFonts w:hint="eastAsia" w:ascii="仿宋_GB2312" w:eastAsia="仿宋_GB2312"/>
                <w:szCs w:val="21"/>
              </w:rPr>
            </w:pPr>
            <w:r>
              <w:rPr>
                <w:rFonts w:hint="eastAsia" w:ascii="仿宋_GB2312" w:eastAsia="仿宋_GB2312"/>
                <w:szCs w:val="21"/>
              </w:rPr>
              <w:t>管理</w:t>
            </w: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资产管理</w:t>
            </w:r>
          </w:p>
          <w:p>
            <w:pPr>
              <w:spacing w:line="320" w:lineRule="exact"/>
              <w:jc w:val="center"/>
              <w:rPr>
                <w:rFonts w:hint="eastAsia" w:ascii="仿宋_GB2312" w:eastAsia="仿宋_GB2312"/>
                <w:szCs w:val="21"/>
              </w:rPr>
            </w:pPr>
            <w:r>
              <w:rPr>
                <w:rFonts w:hint="eastAsia" w:ascii="仿宋_GB2312" w:eastAsia="仿宋_GB2312"/>
                <w:szCs w:val="21"/>
              </w:rPr>
              <w:t>安全性</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hAnsi="宋体" w:eastAsia="仿宋_GB2312" w:cs="宋体"/>
                <w:szCs w:val="21"/>
              </w:rPr>
              <w:t>①</w:t>
            </w:r>
            <w:r>
              <w:rPr>
                <w:rFonts w:hint="eastAsia" w:ascii="仿宋_GB2312" w:eastAsia="仿宋_GB2312"/>
                <w:szCs w:val="21"/>
              </w:rPr>
              <w:t>资产保存是否完整；</w:t>
            </w:r>
            <w:r>
              <w:rPr>
                <w:rFonts w:hint="eastAsia"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资产配置是否合理；</w:t>
            </w:r>
            <w:r>
              <w:rPr>
                <w:rFonts w:hint="eastAsia"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资产处置是否规范；</w:t>
            </w:r>
            <w:r>
              <w:rPr>
                <w:rFonts w:hint="eastAsia"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资产账务管理是否合规，是否帐实相符；</w:t>
            </w:r>
            <w:r>
              <w:rPr>
                <w:rFonts w:hint="eastAsia" w:ascii="仿宋_GB2312" w:eastAsia="仿宋_GB2312"/>
                <w:szCs w:val="21"/>
              </w:rPr>
              <w:br w:type="textWrapping"/>
            </w:r>
            <w:r>
              <w:rPr>
                <w:rFonts w:hint="eastAsia" w:ascii="仿宋_GB2312" w:hAnsi="宋体" w:eastAsia="仿宋_GB2312" w:cs="宋体"/>
                <w:szCs w:val="21"/>
              </w:rPr>
              <w:t>⑤</w:t>
            </w:r>
            <w:r>
              <w:rPr>
                <w:rFonts w:hint="eastAsia" w:ascii="仿宋_GB2312" w:eastAsia="仿宋_GB2312"/>
                <w:szCs w:val="21"/>
              </w:rPr>
              <w:t>资产是否有偿使用及处置收入及时足额上缴。</w:t>
            </w:r>
          </w:p>
        </w:tc>
        <w:tc>
          <w:tcPr>
            <w:tcW w:w="315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lang w:eastAsia="zh-CN"/>
              </w:rPr>
              <w:t>符合要求计</w:t>
            </w:r>
            <w:r>
              <w:rPr>
                <w:rFonts w:hint="eastAsia" w:ascii="仿宋_GB2312" w:eastAsia="仿宋_GB2312"/>
                <w:szCs w:val="21"/>
                <w:lang w:val="en-US" w:eastAsia="zh-CN"/>
              </w:rPr>
              <w:t>3分，</w:t>
            </w:r>
            <w:r>
              <w:rPr>
                <w:rFonts w:hint="eastAsia" w:ascii="仿宋_GB2312" w:hAnsi="宋体" w:eastAsia="仿宋_GB2312" w:cs="宋体"/>
                <w:kern w:val="0"/>
                <w:szCs w:val="21"/>
                <w:lang w:val="en-US" w:eastAsia="zh-CN"/>
              </w:rPr>
              <w:t>不符合按比例扣分，扣完为止。</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3</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0" w:hRule="atLeast"/>
          <w:jc w:val="center"/>
        </w:trPr>
        <w:tc>
          <w:tcPr>
            <w:tcW w:w="539" w:type="dxa"/>
            <w:vMerge w:val="continue"/>
            <w:shd w:val="clear" w:color="auto" w:fill="auto"/>
            <w:noWrap w:val="0"/>
            <w:vAlign w:val="center"/>
          </w:tcPr>
          <w:p>
            <w:pPr>
              <w:spacing w:line="320" w:lineRule="exact"/>
              <w:rPr>
                <w:rFonts w:hint="eastAsia" w:ascii="仿宋_GB2312" w:eastAsia="仿宋_GB2312"/>
                <w:szCs w:val="21"/>
              </w:rPr>
            </w:pPr>
          </w:p>
        </w:tc>
        <w:tc>
          <w:tcPr>
            <w:tcW w:w="600" w:type="dxa"/>
            <w:vMerge w:val="continue"/>
            <w:shd w:val="clear" w:color="auto" w:fill="auto"/>
            <w:noWrap w:val="0"/>
            <w:vAlign w:val="center"/>
          </w:tcPr>
          <w:p>
            <w:pPr>
              <w:spacing w:line="320" w:lineRule="exact"/>
              <w:rPr>
                <w:rFonts w:hint="eastAsia" w:ascii="仿宋_GB2312" w:eastAsia="仿宋_GB2312"/>
                <w:szCs w:val="21"/>
              </w:rPr>
            </w:pP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固定资产</w:t>
            </w:r>
          </w:p>
          <w:p>
            <w:pPr>
              <w:spacing w:line="320" w:lineRule="exact"/>
              <w:jc w:val="center"/>
              <w:rPr>
                <w:rFonts w:hint="eastAsia" w:ascii="仿宋_GB2312" w:eastAsia="仿宋_GB2312"/>
                <w:szCs w:val="21"/>
              </w:rPr>
            </w:pPr>
            <w:r>
              <w:rPr>
                <w:rFonts w:hint="eastAsia" w:ascii="仿宋_GB2312" w:eastAsia="仿宋_GB2312"/>
                <w:szCs w:val="21"/>
              </w:rPr>
              <w:t>利用率</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rPr>
              <w:t>固定资产利用率=（实际在用固定资产总额/所有固定资产总额）×100%。</w:t>
            </w:r>
          </w:p>
        </w:tc>
        <w:tc>
          <w:tcPr>
            <w:tcW w:w="315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lang w:eastAsia="zh-CN"/>
              </w:rPr>
              <w:t>固定资产利用</w:t>
            </w:r>
            <w:r>
              <w:rPr>
                <w:rFonts w:hint="eastAsia" w:ascii="仿宋_GB2312" w:eastAsia="仿宋_GB2312"/>
                <w:szCs w:val="21"/>
              </w:rPr>
              <w:t>率</w:t>
            </w:r>
            <w:r>
              <w:rPr>
                <w:rFonts w:hint="eastAsia" w:ascii="仿宋_GB2312" w:hAnsi="宋体" w:eastAsia="仿宋_GB2312" w:cs="宋体"/>
                <w:kern w:val="0"/>
                <w:szCs w:val="21"/>
              </w:rPr>
              <w:t>100%</w:t>
            </w:r>
            <w:r>
              <w:rPr>
                <w:rFonts w:hint="eastAsia" w:ascii="仿宋_GB2312" w:hAnsi="宋体" w:eastAsia="仿宋_GB2312" w:cs="宋体"/>
                <w:kern w:val="0"/>
                <w:szCs w:val="21"/>
                <w:lang w:val="en-US" w:eastAsia="zh-CN"/>
              </w:rPr>
              <w:t>-80%（含）</w:t>
            </w:r>
            <w:r>
              <w:rPr>
                <w:rFonts w:hint="eastAsia" w:ascii="仿宋_GB2312" w:hAnsi="宋体" w:eastAsia="仿宋_GB2312" w:cs="宋体"/>
                <w:kern w:val="0"/>
                <w:szCs w:val="21"/>
              </w:rPr>
              <w:t>，计</w:t>
            </w:r>
            <w:r>
              <w:rPr>
                <w:rFonts w:hint="eastAsia" w:ascii="仿宋_GB2312" w:hAnsi="宋体" w:eastAsia="仿宋_GB2312" w:cs="宋体"/>
                <w:kern w:val="0"/>
                <w:szCs w:val="21"/>
                <w:lang w:val="en-US" w:eastAsia="zh-CN"/>
              </w:rPr>
              <w:t>3</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79</w:t>
            </w:r>
            <w:r>
              <w:rPr>
                <w:rFonts w:hint="eastAsia" w:ascii="仿宋_GB2312" w:hAnsi="宋体" w:eastAsia="仿宋_GB2312" w:cs="宋体"/>
                <w:kern w:val="0"/>
                <w:szCs w:val="21"/>
              </w:rPr>
              <w:t>-</w:t>
            </w:r>
            <w:r>
              <w:rPr>
                <w:rFonts w:hint="eastAsia" w:ascii="仿宋_GB2312" w:hAnsi="宋体" w:eastAsia="仿宋_GB2312" w:cs="宋体"/>
                <w:kern w:val="0"/>
                <w:szCs w:val="21"/>
                <w:lang w:val="en-US" w:eastAsia="zh-CN"/>
              </w:rPr>
              <w:t>60</w:t>
            </w:r>
            <w:r>
              <w:rPr>
                <w:rFonts w:hint="eastAsia" w:ascii="仿宋_GB2312" w:hAnsi="宋体" w:eastAsia="仿宋_GB2312" w:cs="宋体"/>
                <w:kern w:val="0"/>
                <w:szCs w:val="21"/>
              </w:rPr>
              <w:t>%（含），计</w:t>
            </w:r>
            <w:r>
              <w:rPr>
                <w:rFonts w:hint="eastAsia" w:ascii="仿宋_GB2312" w:hAnsi="宋体" w:eastAsia="仿宋_GB2312" w:cs="宋体"/>
                <w:kern w:val="0"/>
                <w:szCs w:val="21"/>
                <w:lang w:val="en-US" w:eastAsia="zh-CN"/>
              </w:rPr>
              <w:t>2</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60%</w:t>
            </w:r>
            <w:r>
              <w:rPr>
                <w:rFonts w:hint="eastAsia" w:ascii="仿宋_GB2312" w:hAnsi="宋体" w:eastAsia="仿宋_GB2312" w:cs="宋体"/>
                <w:kern w:val="0"/>
                <w:szCs w:val="21"/>
                <w:lang w:eastAsia="zh-CN"/>
              </w:rPr>
              <w:t>以下，计</w:t>
            </w:r>
            <w:r>
              <w:rPr>
                <w:rFonts w:hint="eastAsia" w:ascii="仿宋_GB2312" w:hAnsi="宋体" w:eastAsia="仿宋_GB2312" w:cs="宋体"/>
                <w:kern w:val="0"/>
                <w:szCs w:val="21"/>
                <w:lang w:val="en-US" w:eastAsia="zh-CN"/>
              </w:rPr>
              <w:t>1分</w:t>
            </w:r>
            <w:r>
              <w:rPr>
                <w:rFonts w:hint="eastAsia" w:ascii="仿宋_GB2312" w:hAnsi="宋体" w:eastAsia="仿宋_GB2312" w:cs="宋体"/>
                <w:kern w:val="0"/>
                <w:szCs w:val="21"/>
              </w:rPr>
              <w:t>。</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3</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84" w:hRule="atLeast"/>
          <w:jc w:val="center"/>
        </w:trPr>
        <w:tc>
          <w:tcPr>
            <w:tcW w:w="539" w:type="dxa"/>
            <w:shd w:val="clear" w:color="auto" w:fill="auto"/>
            <w:noWrap/>
            <w:tcMar>
              <w:top w:w="10" w:type="dxa"/>
              <w:left w:w="10" w:type="dxa"/>
              <w:bottom w:w="0" w:type="dxa"/>
              <w:right w:w="10" w:type="dxa"/>
            </w:tcMar>
            <w:textDirection w:val="tbRlV"/>
            <w:vAlign w:val="center"/>
          </w:tcPr>
          <w:p>
            <w:pPr>
              <w:spacing w:line="320" w:lineRule="exact"/>
              <w:jc w:val="center"/>
              <w:rPr>
                <w:rFonts w:hint="eastAsia" w:ascii="仿宋_GB2312" w:eastAsia="仿宋_GB2312"/>
                <w:szCs w:val="21"/>
              </w:rPr>
            </w:pPr>
            <w:r>
              <w:rPr>
                <w:rFonts w:hint="eastAsia" w:ascii="仿宋_GB2312" w:eastAsia="仿宋_GB2312"/>
                <w:szCs w:val="21"/>
              </w:rPr>
              <w:t>产   出</w:t>
            </w:r>
          </w:p>
        </w:tc>
        <w:tc>
          <w:tcPr>
            <w:tcW w:w="600"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职责</w:t>
            </w:r>
            <w:r>
              <w:rPr>
                <w:rFonts w:hint="eastAsia" w:ascii="仿宋_GB2312" w:eastAsia="仿宋_GB2312"/>
                <w:szCs w:val="21"/>
              </w:rPr>
              <w:br w:type="textWrapping"/>
            </w:r>
            <w:r>
              <w:rPr>
                <w:rFonts w:hint="eastAsia" w:ascii="仿宋_GB2312" w:eastAsia="仿宋_GB2312"/>
                <w:szCs w:val="21"/>
              </w:rPr>
              <w:t>履行</w:t>
            </w: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实际</w:t>
            </w:r>
          </w:p>
          <w:p>
            <w:pPr>
              <w:spacing w:line="320" w:lineRule="exact"/>
              <w:jc w:val="center"/>
              <w:rPr>
                <w:rFonts w:hint="eastAsia" w:ascii="仿宋_GB2312" w:eastAsia="仿宋_GB2312"/>
                <w:szCs w:val="21"/>
              </w:rPr>
            </w:pPr>
            <w:r>
              <w:rPr>
                <w:rFonts w:hint="eastAsia" w:ascii="仿宋_GB2312" w:eastAsia="仿宋_GB2312"/>
                <w:szCs w:val="21"/>
              </w:rPr>
              <w:t>完成率</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rPr>
              <w:t>实际完成率=（实际完成工作数/计划工作数）×100%。</w:t>
            </w:r>
          </w:p>
        </w:tc>
        <w:tc>
          <w:tcPr>
            <w:tcW w:w="315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lang w:eastAsia="zh-CN"/>
              </w:rPr>
              <w:t>完成</w:t>
            </w:r>
            <w:r>
              <w:rPr>
                <w:rFonts w:hint="eastAsia" w:ascii="仿宋_GB2312" w:eastAsia="仿宋_GB2312"/>
                <w:szCs w:val="21"/>
              </w:rPr>
              <w:t>率</w:t>
            </w:r>
            <w:r>
              <w:rPr>
                <w:rFonts w:hint="eastAsia" w:ascii="仿宋_GB2312" w:hAnsi="宋体" w:eastAsia="仿宋_GB2312" w:cs="宋体"/>
                <w:kern w:val="0"/>
                <w:szCs w:val="21"/>
              </w:rPr>
              <w:t>100%</w:t>
            </w:r>
            <w:r>
              <w:rPr>
                <w:rFonts w:hint="eastAsia" w:ascii="仿宋_GB2312" w:hAnsi="宋体" w:eastAsia="仿宋_GB2312" w:cs="宋体"/>
                <w:kern w:val="0"/>
                <w:szCs w:val="21"/>
                <w:lang w:val="en-US" w:eastAsia="zh-CN"/>
              </w:rPr>
              <w:t>-90%（含）</w:t>
            </w:r>
            <w:r>
              <w:rPr>
                <w:rFonts w:hint="eastAsia" w:ascii="仿宋_GB2312" w:hAnsi="宋体" w:eastAsia="仿宋_GB2312" w:cs="宋体"/>
                <w:kern w:val="0"/>
                <w:szCs w:val="21"/>
              </w:rPr>
              <w:t>，计</w:t>
            </w:r>
            <w:r>
              <w:rPr>
                <w:rFonts w:hint="eastAsia" w:ascii="仿宋_GB2312" w:hAnsi="宋体" w:eastAsia="仿宋_GB2312" w:cs="宋体"/>
                <w:kern w:val="0"/>
                <w:szCs w:val="21"/>
                <w:lang w:val="en-US" w:eastAsia="zh-CN"/>
              </w:rPr>
              <w:t>3</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89</w:t>
            </w:r>
            <w:r>
              <w:rPr>
                <w:rFonts w:hint="eastAsia" w:ascii="仿宋_GB2312" w:hAnsi="宋体" w:eastAsia="仿宋_GB2312" w:cs="宋体"/>
                <w:kern w:val="0"/>
                <w:szCs w:val="21"/>
              </w:rPr>
              <w:t>-</w:t>
            </w:r>
            <w:r>
              <w:rPr>
                <w:rFonts w:hint="eastAsia" w:ascii="仿宋_GB2312" w:hAnsi="宋体" w:eastAsia="仿宋_GB2312" w:cs="宋体"/>
                <w:kern w:val="0"/>
                <w:szCs w:val="21"/>
                <w:lang w:val="en-US" w:eastAsia="zh-CN"/>
              </w:rPr>
              <w:t>60</w:t>
            </w:r>
            <w:r>
              <w:rPr>
                <w:rFonts w:hint="eastAsia" w:ascii="仿宋_GB2312" w:hAnsi="宋体" w:eastAsia="仿宋_GB2312" w:cs="宋体"/>
                <w:kern w:val="0"/>
                <w:szCs w:val="21"/>
              </w:rPr>
              <w:t>%（含），计</w:t>
            </w:r>
            <w:r>
              <w:rPr>
                <w:rFonts w:hint="eastAsia" w:ascii="仿宋_GB2312" w:hAnsi="宋体" w:eastAsia="仿宋_GB2312" w:cs="宋体"/>
                <w:kern w:val="0"/>
                <w:szCs w:val="21"/>
                <w:lang w:val="en-US" w:eastAsia="zh-CN"/>
              </w:rPr>
              <w:t>2</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60%</w:t>
            </w:r>
            <w:r>
              <w:rPr>
                <w:rFonts w:hint="eastAsia" w:ascii="仿宋_GB2312" w:hAnsi="宋体" w:eastAsia="仿宋_GB2312" w:cs="宋体"/>
                <w:kern w:val="0"/>
                <w:szCs w:val="21"/>
                <w:lang w:eastAsia="zh-CN"/>
              </w:rPr>
              <w:t>以下，计</w:t>
            </w:r>
            <w:r>
              <w:rPr>
                <w:rFonts w:hint="eastAsia" w:ascii="仿宋_GB2312" w:hAnsi="宋体" w:eastAsia="仿宋_GB2312" w:cs="宋体"/>
                <w:kern w:val="0"/>
                <w:szCs w:val="21"/>
                <w:lang w:val="en-US" w:eastAsia="zh-CN"/>
              </w:rPr>
              <w:t>1分</w:t>
            </w:r>
            <w:r>
              <w:rPr>
                <w:rFonts w:hint="eastAsia" w:ascii="仿宋_GB2312" w:hAnsi="宋体" w:eastAsia="仿宋_GB2312" w:cs="宋体"/>
                <w:kern w:val="0"/>
                <w:szCs w:val="21"/>
              </w:rPr>
              <w:t>。</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05" w:hRule="atLeast"/>
          <w:jc w:val="center"/>
        </w:trPr>
        <w:tc>
          <w:tcPr>
            <w:tcW w:w="539" w:type="dxa"/>
            <w:vMerge w:val="restart"/>
            <w:shd w:val="clear" w:color="auto" w:fill="auto"/>
            <w:noWrap w:val="0"/>
            <w:textDirection w:val="tbRlV"/>
            <w:vAlign w:val="center"/>
          </w:tcPr>
          <w:p>
            <w:pPr>
              <w:spacing w:line="320" w:lineRule="exact"/>
              <w:ind w:left="113"/>
              <w:jc w:val="center"/>
              <w:rPr>
                <w:rFonts w:hint="eastAsia" w:ascii="仿宋_GB2312" w:eastAsia="仿宋_GB2312"/>
                <w:szCs w:val="21"/>
              </w:rPr>
            </w:pPr>
            <w:r>
              <w:rPr>
                <w:rFonts w:hint="eastAsia" w:ascii="仿宋_GB2312" w:eastAsia="仿宋_GB2312"/>
                <w:szCs w:val="21"/>
              </w:rPr>
              <w:t>产   出</w:t>
            </w:r>
          </w:p>
        </w:tc>
        <w:tc>
          <w:tcPr>
            <w:tcW w:w="600" w:type="dxa"/>
            <w:vMerge w:val="restart"/>
            <w:shd w:val="clear" w:color="auto" w:fill="auto"/>
            <w:noWrap w:val="0"/>
            <w:vAlign w:val="center"/>
          </w:tcPr>
          <w:p>
            <w:pPr>
              <w:spacing w:line="320" w:lineRule="exact"/>
              <w:jc w:val="center"/>
              <w:rPr>
                <w:rFonts w:hint="eastAsia" w:ascii="仿宋_GB2312" w:eastAsia="仿宋_GB2312"/>
                <w:szCs w:val="21"/>
              </w:rPr>
            </w:pPr>
            <w:r>
              <w:rPr>
                <w:rFonts w:hint="eastAsia" w:ascii="仿宋_GB2312" w:eastAsia="仿宋_GB2312"/>
                <w:szCs w:val="21"/>
              </w:rPr>
              <w:t>职责</w:t>
            </w:r>
            <w:r>
              <w:rPr>
                <w:rFonts w:hint="eastAsia" w:ascii="仿宋_GB2312" w:eastAsia="仿宋_GB2312"/>
                <w:szCs w:val="21"/>
              </w:rPr>
              <w:br w:type="textWrapping"/>
            </w:r>
            <w:r>
              <w:rPr>
                <w:rFonts w:hint="eastAsia" w:ascii="仿宋_GB2312" w:eastAsia="仿宋_GB2312"/>
                <w:szCs w:val="21"/>
              </w:rPr>
              <w:t>履行</w:t>
            </w: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完成</w:t>
            </w:r>
          </w:p>
          <w:p>
            <w:pPr>
              <w:spacing w:line="320" w:lineRule="exact"/>
              <w:jc w:val="center"/>
              <w:rPr>
                <w:rFonts w:hint="eastAsia" w:ascii="仿宋_GB2312" w:eastAsia="仿宋_GB2312"/>
                <w:szCs w:val="21"/>
              </w:rPr>
            </w:pPr>
            <w:r>
              <w:rPr>
                <w:rFonts w:hint="eastAsia" w:ascii="仿宋_GB2312" w:eastAsia="仿宋_GB2312"/>
                <w:szCs w:val="21"/>
              </w:rPr>
              <w:t>及时率</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rPr>
              <w:t>完成及时率=（及时完成实际工作数/计划工作数）×100%。</w:t>
            </w:r>
          </w:p>
        </w:tc>
        <w:tc>
          <w:tcPr>
            <w:tcW w:w="315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lang w:eastAsia="zh-CN"/>
              </w:rPr>
              <w:t>完成</w:t>
            </w:r>
            <w:r>
              <w:rPr>
                <w:rFonts w:hint="eastAsia" w:ascii="仿宋_GB2312" w:eastAsia="仿宋_GB2312"/>
                <w:szCs w:val="21"/>
              </w:rPr>
              <w:t>率</w:t>
            </w:r>
            <w:r>
              <w:rPr>
                <w:rFonts w:hint="eastAsia" w:ascii="仿宋_GB2312" w:hAnsi="宋体" w:eastAsia="仿宋_GB2312" w:cs="宋体"/>
                <w:kern w:val="0"/>
                <w:szCs w:val="21"/>
                <w:lang w:val="en-US" w:eastAsia="zh-CN"/>
              </w:rPr>
              <w:t>90%（含）以上</w:t>
            </w:r>
            <w:r>
              <w:rPr>
                <w:rFonts w:hint="eastAsia" w:ascii="仿宋_GB2312" w:hAnsi="宋体" w:eastAsia="仿宋_GB2312" w:cs="宋体"/>
                <w:kern w:val="0"/>
                <w:szCs w:val="21"/>
              </w:rPr>
              <w:t>，计</w:t>
            </w:r>
            <w:r>
              <w:rPr>
                <w:rFonts w:hint="eastAsia" w:ascii="仿宋_GB2312" w:hAnsi="宋体" w:eastAsia="仿宋_GB2312" w:cs="宋体"/>
                <w:kern w:val="0"/>
                <w:szCs w:val="21"/>
                <w:lang w:val="en-US" w:eastAsia="zh-CN"/>
              </w:rPr>
              <w:t>3</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89</w:t>
            </w:r>
            <w:r>
              <w:rPr>
                <w:rFonts w:hint="eastAsia" w:ascii="仿宋_GB2312" w:hAnsi="宋体" w:eastAsia="仿宋_GB2312" w:cs="宋体"/>
                <w:kern w:val="0"/>
                <w:szCs w:val="21"/>
              </w:rPr>
              <w:t>-</w:t>
            </w:r>
            <w:r>
              <w:rPr>
                <w:rFonts w:hint="eastAsia" w:ascii="仿宋_GB2312" w:hAnsi="宋体" w:eastAsia="仿宋_GB2312" w:cs="宋体"/>
                <w:kern w:val="0"/>
                <w:szCs w:val="21"/>
                <w:lang w:val="en-US" w:eastAsia="zh-CN"/>
              </w:rPr>
              <w:t>60</w:t>
            </w:r>
            <w:r>
              <w:rPr>
                <w:rFonts w:hint="eastAsia" w:ascii="仿宋_GB2312" w:hAnsi="宋体" w:eastAsia="仿宋_GB2312" w:cs="宋体"/>
                <w:kern w:val="0"/>
                <w:szCs w:val="21"/>
              </w:rPr>
              <w:t>%（含），计</w:t>
            </w:r>
            <w:r>
              <w:rPr>
                <w:rFonts w:hint="eastAsia" w:ascii="仿宋_GB2312" w:hAnsi="宋体" w:eastAsia="仿宋_GB2312" w:cs="宋体"/>
                <w:kern w:val="0"/>
                <w:szCs w:val="21"/>
                <w:lang w:val="en-US" w:eastAsia="zh-CN"/>
              </w:rPr>
              <w:t>2</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60%</w:t>
            </w:r>
            <w:r>
              <w:rPr>
                <w:rFonts w:hint="eastAsia" w:ascii="仿宋_GB2312" w:hAnsi="宋体" w:eastAsia="仿宋_GB2312" w:cs="宋体"/>
                <w:kern w:val="0"/>
                <w:szCs w:val="21"/>
                <w:lang w:eastAsia="zh-CN"/>
              </w:rPr>
              <w:t>以下，计</w:t>
            </w:r>
            <w:r>
              <w:rPr>
                <w:rFonts w:hint="eastAsia" w:ascii="仿宋_GB2312" w:hAnsi="宋体" w:eastAsia="仿宋_GB2312" w:cs="宋体"/>
                <w:kern w:val="0"/>
                <w:szCs w:val="21"/>
                <w:lang w:val="en-US" w:eastAsia="zh-CN"/>
              </w:rPr>
              <w:t>1分</w:t>
            </w:r>
            <w:r>
              <w:rPr>
                <w:rFonts w:hint="eastAsia" w:ascii="仿宋_GB2312" w:hAnsi="宋体" w:eastAsia="仿宋_GB2312" w:cs="宋体"/>
                <w:kern w:val="0"/>
                <w:szCs w:val="21"/>
              </w:rPr>
              <w:t>。</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42" w:hRule="atLeast"/>
          <w:jc w:val="center"/>
        </w:trPr>
        <w:tc>
          <w:tcPr>
            <w:tcW w:w="539" w:type="dxa"/>
            <w:vMerge w:val="continue"/>
            <w:shd w:val="clear" w:color="auto" w:fill="auto"/>
            <w:noWrap w:val="0"/>
            <w:vAlign w:val="center"/>
          </w:tcPr>
          <w:p>
            <w:pPr>
              <w:spacing w:line="320" w:lineRule="exact"/>
              <w:rPr>
                <w:rFonts w:hint="eastAsia" w:ascii="仿宋_GB2312" w:eastAsia="仿宋_GB2312"/>
                <w:szCs w:val="21"/>
              </w:rPr>
            </w:pPr>
          </w:p>
        </w:tc>
        <w:tc>
          <w:tcPr>
            <w:tcW w:w="600" w:type="dxa"/>
            <w:vMerge w:val="continue"/>
            <w:shd w:val="clear" w:color="auto" w:fill="auto"/>
            <w:noWrap w:val="0"/>
            <w:vAlign w:val="center"/>
          </w:tcPr>
          <w:p>
            <w:pPr>
              <w:spacing w:line="320" w:lineRule="exact"/>
              <w:rPr>
                <w:rFonts w:hint="eastAsia" w:ascii="仿宋_GB2312" w:eastAsia="仿宋_GB2312"/>
                <w:szCs w:val="21"/>
              </w:rPr>
            </w:pP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质量</w:t>
            </w:r>
          </w:p>
          <w:p>
            <w:pPr>
              <w:spacing w:line="320" w:lineRule="exact"/>
              <w:jc w:val="center"/>
              <w:rPr>
                <w:rFonts w:hint="eastAsia" w:ascii="仿宋_GB2312" w:eastAsia="仿宋_GB2312"/>
                <w:szCs w:val="21"/>
              </w:rPr>
            </w:pPr>
            <w:r>
              <w:rPr>
                <w:rFonts w:hint="eastAsia" w:ascii="仿宋_GB2312" w:eastAsia="仿宋_GB2312"/>
                <w:szCs w:val="21"/>
              </w:rPr>
              <w:t>达标率</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rPr>
              <w:t>质量达标率=（质量达标实际工作数/计划工作数）×100%。</w:t>
            </w:r>
          </w:p>
        </w:tc>
        <w:tc>
          <w:tcPr>
            <w:tcW w:w="315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lang w:eastAsia="zh-CN"/>
              </w:rPr>
            </w:pPr>
            <w:r>
              <w:rPr>
                <w:rFonts w:hint="eastAsia" w:ascii="仿宋_GB2312" w:eastAsia="仿宋_GB2312"/>
                <w:szCs w:val="21"/>
                <w:lang w:eastAsia="zh-CN"/>
              </w:rPr>
              <w:t>达标</w:t>
            </w:r>
            <w:r>
              <w:rPr>
                <w:rFonts w:hint="eastAsia" w:ascii="仿宋_GB2312" w:eastAsia="仿宋_GB2312"/>
                <w:szCs w:val="21"/>
              </w:rPr>
              <w:t>率</w:t>
            </w:r>
            <w:r>
              <w:rPr>
                <w:rFonts w:hint="eastAsia" w:ascii="仿宋_GB2312" w:hAnsi="宋体" w:eastAsia="仿宋_GB2312" w:cs="宋体"/>
                <w:kern w:val="0"/>
                <w:szCs w:val="21"/>
              </w:rPr>
              <w:t>100%，计</w:t>
            </w:r>
            <w:r>
              <w:rPr>
                <w:rFonts w:hint="eastAsia" w:ascii="仿宋_GB2312" w:hAnsi="宋体" w:eastAsia="仿宋_GB2312" w:cs="宋体"/>
                <w:kern w:val="0"/>
                <w:szCs w:val="21"/>
                <w:lang w:val="en-US" w:eastAsia="zh-CN"/>
              </w:rPr>
              <w:t>3</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60</w:t>
            </w:r>
            <w:r>
              <w:rPr>
                <w:rFonts w:hint="eastAsia" w:ascii="仿宋_GB2312" w:hAnsi="宋体" w:eastAsia="仿宋_GB2312" w:cs="宋体"/>
                <w:kern w:val="0"/>
                <w:szCs w:val="21"/>
              </w:rPr>
              <w:t>%（含）</w:t>
            </w:r>
            <w:r>
              <w:rPr>
                <w:rFonts w:hint="eastAsia" w:ascii="仿宋_GB2312" w:hAnsi="宋体" w:eastAsia="仿宋_GB2312" w:cs="宋体"/>
                <w:kern w:val="0"/>
                <w:szCs w:val="21"/>
                <w:lang w:eastAsia="zh-CN"/>
              </w:rPr>
              <w:t>以上</w:t>
            </w:r>
            <w:r>
              <w:rPr>
                <w:rFonts w:hint="eastAsia" w:ascii="仿宋_GB2312" w:hAnsi="宋体" w:eastAsia="仿宋_GB2312" w:cs="宋体"/>
                <w:kern w:val="0"/>
                <w:szCs w:val="21"/>
              </w:rPr>
              <w:t>，计</w:t>
            </w:r>
            <w:r>
              <w:rPr>
                <w:rFonts w:hint="eastAsia" w:ascii="仿宋_GB2312" w:hAnsi="宋体" w:eastAsia="仿宋_GB2312" w:cs="宋体"/>
                <w:kern w:val="0"/>
                <w:szCs w:val="21"/>
                <w:lang w:val="en-US" w:eastAsia="zh-CN"/>
              </w:rPr>
              <w:t>2</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60%</w:t>
            </w:r>
            <w:r>
              <w:rPr>
                <w:rFonts w:hint="eastAsia" w:ascii="仿宋_GB2312" w:hAnsi="宋体" w:eastAsia="仿宋_GB2312" w:cs="宋体"/>
                <w:kern w:val="0"/>
                <w:szCs w:val="21"/>
                <w:lang w:eastAsia="zh-CN"/>
              </w:rPr>
              <w:t>以下，计</w:t>
            </w:r>
            <w:r>
              <w:rPr>
                <w:rFonts w:hint="eastAsia" w:ascii="仿宋_GB2312" w:hAnsi="宋体" w:eastAsia="仿宋_GB2312" w:cs="宋体"/>
                <w:kern w:val="0"/>
                <w:szCs w:val="21"/>
                <w:lang w:val="en-US" w:eastAsia="zh-CN"/>
              </w:rPr>
              <w:t>1分</w:t>
            </w:r>
            <w:r>
              <w:rPr>
                <w:rFonts w:hint="eastAsia" w:ascii="仿宋_GB2312" w:hAnsi="宋体" w:eastAsia="仿宋_GB2312" w:cs="宋体"/>
                <w:kern w:val="0"/>
                <w:szCs w:val="21"/>
              </w:rPr>
              <w:t>。</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5" w:hRule="atLeast"/>
          <w:jc w:val="center"/>
        </w:trPr>
        <w:tc>
          <w:tcPr>
            <w:tcW w:w="539" w:type="dxa"/>
            <w:vMerge w:val="continue"/>
            <w:shd w:val="clear" w:color="auto" w:fill="auto"/>
            <w:noWrap w:val="0"/>
            <w:vAlign w:val="center"/>
          </w:tcPr>
          <w:p>
            <w:pPr>
              <w:spacing w:line="320" w:lineRule="exact"/>
              <w:rPr>
                <w:rFonts w:hint="eastAsia" w:ascii="仿宋_GB2312" w:eastAsia="仿宋_GB2312"/>
                <w:szCs w:val="21"/>
              </w:rPr>
            </w:pPr>
          </w:p>
        </w:tc>
        <w:tc>
          <w:tcPr>
            <w:tcW w:w="600" w:type="dxa"/>
            <w:vMerge w:val="continue"/>
            <w:shd w:val="clear" w:color="auto" w:fill="auto"/>
            <w:noWrap w:val="0"/>
            <w:vAlign w:val="center"/>
          </w:tcPr>
          <w:p>
            <w:pPr>
              <w:spacing w:line="320" w:lineRule="exact"/>
              <w:rPr>
                <w:rFonts w:hint="eastAsia" w:ascii="仿宋_GB2312" w:eastAsia="仿宋_GB2312"/>
                <w:szCs w:val="21"/>
              </w:rPr>
            </w:pP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重点工作</w:t>
            </w:r>
          </w:p>
          <w:p>
            <w:pPr>
              <w:spacing w:line="320" w:lineRule="exact"/>
              <w:jc w:val="center"/>
              <w:rPr>
                <w:rFonts w:hint="eastAsia" w:ascii="仿宋_GB2312" w:eastAsia="仿宋_GB2312"/>
                <w:szCs w:val="21"/>
              </w:rPr>
            </w:pPr>
            <w:r>
              <w:rPr>
                <w:rFonts w:hint="eastAsia" w:ascii="仿宋_GB2312" w:eastAsia="仿宋_GB2312"/>
                <w:szCs w:val="21"/>
              </w:rPr>
              <w:t>办结率</w:t>
            </w:r>
          </w:p>
        </w:tc>
        <w:tc>
          <w:tcPr>
            <w:tcW w:w="270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rPr>
              <w:t>重点工作办结率=（重点工作实际完成数/交办或下达数）×100%。</w:t>
            </w:r>
          </w:p>
        </w:tc>
        <w:tc>
          <w:tcPr>
            <w:tcW w:w="315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lang w:eastAsia="zh-CN"/>
              </w:rPr>
              <w:t>办结</w:t>
            </w:r>
            <w:r>
              <w:rPr>
                <w:rFonts w:hint="eastAsia" w:ascii="仿宋_GB2312" w:eastAsia="仿宋_GB2312"/>
                <w:szCs w:val="21"/>
              </w:rPr>
              <w:t>率</w:t>
            </w:r>
            <w:r>
              <w:rPr>
                <w:rFonts w:hint="eastAsia" w:ascii="仿宋_GB2312" w:hAnsi="宋体" w:eastAsia="仿宋_GB2312" w:cs="宋体"/>
                <w:kern w:val="0"/>
                <w:szCs w:val="21"/>
              </w:rPr>
              <w:t>100%</w:t>
            </w:r>
            <w:r>
              <w:rPr>
                <w:rFonts w:hint="eastAsia" w:ascii="仿宋_GB2312" w:hAnsi="宋体" w:eastAsia="仿宋_GB2312" w:cs="宋体"/>
                <w:kern w:val="0"/>
                <w:szCs w:val="21"/>
                <w:lang w:val="en-US" w:eastAsia="zh-CN"/>
              </w:rPr>
              <w:t>-90%（含）</w:t>
            </w:r>
            <w:r>
              <w:rPr>
                <w:rFonts w:hint="eastAsia" w:ascii="仿宋_GB2312" w:hAnsi="宋体" w:eastAsia="仿宋_GB2312" w:cs="宋体"/>
                <w:kern w:val="0"/>
                <w:szCs w:val="21"/>
              </w:rPr>
              <w:t>，计</w:t>
            </w:r>
            <w:r>
              <w:rPr>
                <w:rFonts w:hint="eastAsia" w:ascii="仿宋_GB2312" w:hAnsi="宋体" w:eastAsia="仿宋_GB2312" w:cs="宋体"/>
                <w:kern w:val="0"/>
                <w:szCs w:val="21"/>
                <w:lang w:val="en-US" w:eastAsia="zh-CN"/>
              </w:rPr>
              <w:t>3</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89</w:t>
            </w:r>
            <w:r>
              <w:rPr>
                <w:rFonts w:hint="eastAsia" w:ascii="仿宋_GB2312" w:hAnsi="宋体" w:eastAsia="仿宋_GB2312" w:cs="宋体"/>
                <w:kern w:val="0"/>
                <w:szCs w:val="21"/>
              </w:rPr>
              <w:t>-</w:t>
            </w:r>
            <w:r>
              <w:rPr>
                <w:rFonts w:hint="eastAsia" w:ascii="仿宋_GB2312" w:hAnsi="宋体" w:eastAsia="仿宋_GB2312" w:cs="宋体"/>
                <w:kern w:val="0"/>
                <w:szCs w:val="21"/>
                <w:lang w:val="en-US" w:eastAsia="zh-CN"/>
              </w:rPr>
              <w:t>60</w:t>
            </w:r>
            <w:r>
              <w:rPr>
                <w:rFonts w:hint="eastAsia" w:ascii="仿宋_GB2312" w:hAnsi="宋体" w:eastAsia="仿宋_GB2312" w:cs="宋体"/>
                <w:kern w:val="0"/>
                <w:szCs w:val="21"/>
              </w:rPr>
              <w:t>%（含），计</w:t>
            </w:r>
            <w:r>
              <w:rPr>
                <w:rFonts w:hint="eastAsia" w:ascii="仿宋_GB2312" w:hAnsi="宋体" w:eastAsia="仿宋_GB2312" w:cs="宋体"/>
                <w:kern w:val="0"/>
                <w:szCs w:val="21"/>
                <w:lang w:val="en-US" w:eastAsia="zh-CN"/>
              </w:rPr>
              <w:t>2</w:t>
            </w:r>
            <w:r>
              <w:rPr>
                <w:rFonts w:hint="eastAsia" w:ascii="仿宋_GB2312" w:hAnsi="宋体" w:eastAsia="仿宋_GB2312" w:cs="宋体"/>
                <w:kern w:val="0"/>
                <w:szCs w:val="21"/>
              </w:rPr>
              <w:t>分；</w:t>
            </w:r>
            <w:r>
              <w:rPr>
                <w:rFonts w:hint="eastAsia" w:ascii="仿宋_GB2312" w:hAnsi="宋体" w:eastAsia="仿宋_GB2312" w:cs="宋体"/>
                <w:kern w:val="0"/>
                <w:szCs w:val="21"/>
                <w:lang w:val="en-US" w:eastAsia="zh-CN"/>
              </w:rPr>
              <w:t>60%</w:t>
            </w:r>
            <w:r>
              <w:rPr>
                <w:rFonts w:hint="eastAsia" w:ascii="仿宋_GB2312" w:hAnsi="宋体" w:eastAsia="仿宋_GB2312" w:cs="宋体"/>
                <w:kern w:val="0"/>
                <w:szCs w:val="21"/>
                <w:lang w:eastAsia="zh-CN"/>
              </w:rPr>
              <w:t>以下，计</w:t>
            </w:r>
            <w:r>
              <w:rPr>
                <w:rFonts w:hint="eastAsia" w:ascii="仿宋_GB2312" w:hAnsi="宋体" w:eastAsia="仿宋_GB2312" w:cs="宋体"/>
                <w:kern w:val="0"/>
                <w:szCs w:val="21"/>
                <w:lang w:val="en-US" w:eastAsia="zh-CN"/>
              </w:rPr>
              <w:t>1分</w:t>
            </w:r>
            <w:r>
              <w:rPr>
                <w:rFonts w:hint="eastAsia" w:ascii="仿宋_GB2312" w:hAnsi="宋体" w:eastAsia="仿宋_GB2312" w:cs="宋体"/>
                <w:kern w:val="0"/>
                <w:szCs w:val="21"/>
              </w:rPr>
              <w:t>。</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539" w:type="dxa"/>
            <w:vMerge w:val="restart"/>
            <w:shd w:val="clear" w:color="auto" w:fill="auto"/>
            <w:noWrap/>
            <w:tcMar>
              <w:top w:w="10" w:type="dxa"/>
              <w:left w:w="10" w:type="dxa"/>
              <w:bottom w:w="0" w:type="dxa"/>
              <w:right w:w="10" w:type="dxa"/>
            </w:tcMar>
            <w:textDirection w:val="tbRlV"/>
            <w:vAlign w:val="center"/>
          </w:tcPr>
          <w:p>
            <w:pPr>
              <w:spacing w:line="320" w:lineRule="exact"/>
              <w:jc w:val="center"/>
              <w:rPr>
                <w:rFonts w:hint="eastAsia" w:ascii="仿宋_GB2312" w:eastAsia="仿宋_GB2312"/>
                <w:szCs w:val="21"/>
              </w:rPr>
            </w:pPr>
            <w:r>
              <w:rPr>
                <w:rFonts w:hint="eastAsia" w:ascii="仿宋_GB2312" w:eastAsia="仿宋_GB2312"/>
                <w:szCs w:val="21"/>
              </w:rPr>
              <w:t>效   果</w:t>
            </w:r>
          </w:p>
        </w:tc>
        <w:tc>
          <w:tcPr>
            <w:tcW w:w="600" w:type="dxa"/>
            <w:vMerge w:val="restart"/>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履职</w:t>
            </w:r>
            <w:r>
              <w:rPr>
                <w:rFonts w:hint="eastAsia" w:ascii="仿宋_GB2312" w:eastAsia="仿宋_GB2312"/>
                <w:szCs w:val="21"/>
              </w:rPr>
              <w:br w:type="textWrapping"/>
            </w:r>
            <w:r>
              <w:rPr>
                <w:rFonts w:hint="eastAsia" w:ascii="仿宋_GB2312" w:eastAsia="仿宋_GB2312"/>
                <w:szCs w:val="21"/>
              </w:rPr>
              <w:t>效益</w:t>
            </w: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经济效益</w:t>
            </w:r>
          </w:p>
        </w:tc>
        <w:tc>
          <w:tcPr>
            <w:tcW w:w="2700" w:type="dxa"/>
            <w:shd w:val="clear" w:color="auto" w:fill="auto"/>
            <w:noWrap w:val="0"/>
            <w:tcMar>
              <w:top w:w="10" w:type="dxa"/>
              <w:left w:w="10" w:type="dxa"/>
              <w:bottom w:w="0" w:type="dxa"/>
              <w:right w:w="10" w:type="dxa"/>
            </w:tcMar>
            <w:vAlign w:val="center"/>
          </w:tcPr>
          <w:p>
            <w:pPr>
              <w:tabs>
                <w:tab w:val="left" w:pos="2604"/>
              </w:tabs>
              <w:spacing w:line="320" w:lineRule="exact"/>
              <w:ind w:right="105" w:rightChars="50"/>
              <w:rPr>
                <w:rFonts w:hint="eastAsia" w:ascii="仿宋_GB2312" w:eastAsia="仿宋_GB2312"/>
                <w:szCs w:val="21"/>
              </w:rPr>
            </w:pPr>
            <w:r>
              <w:rPr>
                <w:rFonts w:hint="eastAsia" w:ascii="仿宋_GB2312" w:eastAsia="仿宋_GB2312"/>
                <w:szCs w:val="21"/>
              </w:rPr>
              <w:t>部门履行职责对经济发展所带来的直接或间接影响。</w:t>
            </w:r>
          </w:p>
        </w:tc>
        <w:tc>
          <w:tcPr>
            <w:tcW w:w="3150" w:type="dxa"/>
            <w:vMerge w:val="restart"/>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eastAsia" w:ascii="仿宋_GB2312" w:eastAsia="仿宋_GB2312"/>
                <w:szCs w:val="21"/>
              </w:rPr>
            </w:pPr>
            <w:r>
              <w:rPr>
                <w:rFonts w:hint="eastAsia" w:ascii="仿宋_GB2312" w:eastAsia="仿宋_GB2312"/>
                <w:szCs w:val="21"/>
              </w:rPr>
              <w:t>此三项指标为设置部门整体支出绩效评价指标时必须考虑的共性要素，可根据部门实际并结合部门整体支出绩效目标设立情况有选择的进行设置，并将其细化为相应的个性化指标。</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5</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539" w:type="dxa"/>
            <w:vMerge w:val="continue"/>
            <w:shd w:val="clear" w:color="auto" w:fill="auto"/>
            <w:noWrap w:val="0"/>
            <w:vAlign w:val="center"/>
          </w:tcPr>
          <w:p>
            <w:pPr>
              <w:spacing w:line="320" w:lineRule="exact"/>
              <w:rPr>
                <w:rFonts w:hint="eastAsia" w:ascii="仿宋_GB2312" w:eastAsia="仿宋_GB2312"/>
                <w:szCs w:val="21"/>
              </w:rPr>
            </w:pPr>
          </w:p>
        </w:tc>
        <w:tc>
          <w:tcPr>
            <w:tcW w:w="600" w:type="dxa"/>
            <w:vMerge w:val="continue"/>
            <w:shd w:val="clear" w:color="auto" w:fill="auto"/>
            <w:noWrap w:val="0"/>
            <w:vAlign w:val="center"/>
          </w:tcPr>
          <w:p>
            <w:pPr>
              <w:spacing w:line="320" w:lineRule="exact"/>
              <w:rPr>
                <w:rFonts w:hint="eastAsia" w:ascii="仿宋_GB2312" w:eastAsia="仿宋_GB2312"/>
                <w:szCs w:val="21"/>
              </w:rPr>
            </w:pP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社会效益</w:t>
            </w:r>
          </w:p>
        </w:tc>
        <w:tc>
          <w:tcPr>
            <w:tcW w:w="2700" w:type="dxa"/>
            <w:shd w:val="clear" w:color="auto" w:fill="auto"/>
            <w:noWrap w:val="0"/>
            <w:tcMar>
              <w:top w:w="10" w:type="dxa"/>
              <w:left w:w="10" w:type="dxa"/>
              <w:bottom w:w="0" w:type="dxa"/>
              <w:right w:w="10" w:type="dxa"/>
            </w:tcMar>
            <w:vAlign w:val="center"/>
          </w:tcPr>
          <w:p>
            <w:pPr>
              <w:tabs>
                <w:tab w:val="left" w:pos="2604"/>
              </w:tabs>
              <w:spacing w:line="320" w:lineRule="exact"/>
              <w:ind w:right="105" w:rightChars="50"/>
              <w:rPr>
                <w:rFonts w:hint="eastAsia" w:ascii="仿宋_GB2312" w:eastAsia="仿宋_GB2312"/>
                <w:szCs w:val="21"/>
              </w:rPr>
            </w:pPr>
            <w:r>
              <w:rPr>
                <w:rFonts w:hint="eastAsia" w:ascii="仿宋_GB2312" w:eastAsia="仿宋_GB2312"/>
                <w:szCs w:val="21"/>
              </w:rPr>
              <w:t>部门履行职责对社会发展所带来的直接或间接影响。</w:t>
            </w:r>
          </w:p>
        </w:tc>
        <w:tc>
          <w:tcPr>
            <w:tcW w:w="3150" w:type="dxa"/>
            <w:vMerge w:val="continue"/>
            <w:noWrap w:val="0"/>
            <w:vAlign w:val="center"/>
          </w:tcPr>
          <w:p>
            <w:pPr>
              <w:spacing w:line="320" w:lineRule="exact"/>
              <w:ind w:left="105" w:leftChars="50" w:right="105" w:rightChars="50"/>
              <w:rPr>
                <w:rFonts w:hint="eastAsia" w:ascii="仿宋_GB2312" w:eastAsia="仿宋_GB2312"/>
                <w:szCs w:val="21"/>
              </w:rPr>
            </w:pPr>
          </w:p>
        </w:tc>
        <w:tc>
          <w:tcPr>
            <w:tcW w:w="705" w:type="dxa"/>
            <w:noWrap w:val="0"/>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5</w:t>
            </w:r>
          </w:p>
        </w:tc>
        <w:tc>
          <w:tcPr>
            <w:tcW w:w="713" w:type="dxa"/>
            <w:noWrap w:val="0"/>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539" w:type="dxa"/>
            <w:vMerge w:val="continue"/>
            <w:shd w:val="clear" w:color="auto" w:fill="auto"/>
            <w:noWrap w:val="0"/>
            <w:vAlign w:val="center"/>
          </w:tcPr>
          <w:p>
            <w:pPr>
              <w:spacing w:line="320" w:lineRule="exact"/>
              <w:rPr>
                <w:rFonts w:hint="eastAsia" w:ascii="仿宋_GB2312" w:eastAsia="仿宋_GB2312"/>
                <w:szCs w:val="21"/>
              </w:rPr>
            </w:pPr>
          </w:p>
        </w:tc>
        <w:tc>
          <w:tcPr>
            <w:tcW w:w="600" w:type="dxa"/>
            <w:vMerge w:val="continue"/>
            <w:shd w:val="clear" w:color="auto" w:fill="auto"/>
            <w:noWrap w:val="0"/>
            <w:vAlign w:val="center"/>
          </w:tcPr>
          <w:p>
            <w:pPr>
              <w:spacing w:line="320" w:lineRule="exact"/>
              <w:rPr>
                <w:rFonts w:hint="eastAsia" w:ascii="仿宋_GB2312" w:eastAsia="仿宋_GB2312"/>
                <w:szCs w:val="21"/>
              </w:rPr>
            </w:pP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生态效益</w:t>
            </w:r>
          </w:p>
        </w:tc>
        <w:tc>
          <w:tcPr>
            <w:tcW w:w="2700" w:type="dxa"/>
            <w:shd w:val="clear" w:color="auto" w:fill="auto"/>
            <w:noWrap w:val="0"/>
            <w:tcMar>
              <w:top w:w="10" w:type="dxa"/>
              <w:left w:w="10" w:type="dxa"/>
              <w:bottom w:w="0" w:type="dxa"/>
              <w:right w:w="10" w:type="dxa"/>
            </w:tcMar>
            <w:vAlign w:val="center"/>
          </w:tcPr>
          <w:p>
            <w:pPr>
              <w:tabs>
                <w:tab w:val="left" w:pos="2604"/>
              </w:tabs>
              <w:spacing w:line="320" w:lineRule="exact"/>
              <w:ind w:right="105" w:rightChars="50"/>
              <w:rPr>
                <w:rFonts w:hint="eastAsia" w:ascii="仿宋_GB2312" w:eastAsia="仿宋_GB2312"/>
                <w:szCs w:val="21"/>
              </w:rPr>
            </w:pPr>
            <w:r>
              <w:rPr>
                <w:rFonts w:hint="eastAsia" w:ascii="仿宋_GB2312" w:eastAsia="仿宋_GB2312"/>
                <w:szCs w:val="21"/>
              </w:rPr>
              <w:t>部门履行职责对生态环境所带来的直接或间接影响。</w:t>
            </w:r>
          </w:p>
        </w:tc>
        <w:tc>
          <w:tcPr>
            <w:tcW w:w="3150" w:type="dxa"/>
            <w:vMerge w:val="continue"/>
            <w:noWrap w:val="0"/>
            <w:vAlign w:val="center"/>
          </w:tcPr>
          <w:p>
            <w:pPr>
              <w:spacing w:line="320" w:lineRule="exact"/>
              <w:ind w:left="105" w:leftChars="50" w:right="105" w:rightChars="50"/>
              <w:rPr>
                <w:rFonts w:hint="eastAsia" w:ascii="仿宋_GB2312" w:eastAsia="仿宋_GB2312"/>
                <w:szCs w:val="21"/>
              </w:rPr>
            </w:pPr>
          </w:p>
        </w:tc>
        <w:tc>
          <w:tcPr>
            <w:tcW w:w="705" w:type="dxa"/>
            <w:noWrap w:val="0"/>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5</w:t>
            </w:r>
          </w:p>
        </w:tc>
        <w:tc>
          <w:tcPr>
            <w:tcW w:w="713" w:type="dxa"/>
            <w:noWrap w:val="0"/>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67" w:hRule="atLeast"/>
          <w:jc w:val="center"/>
        </w:trPr>
        <w:tc>
          <w:tcPr>
            <w:tcW w:w="539" w:type="dxa"/>
            <w:vMerge w:val="continue"/>
            <w:shd w:val="clear" w:color="auto" w:fill="auto"/>
            <w:noWrap w:val="0"/>
            <w:vAlign w:val="center"/>
          </w:tcPr>
          <w:p>
            <w:pPr>
              <w:spacing w:line="320" w:lineRule="exact"/>
              <w:rPr>
                <w:rFonts w:hint="eastAsia" w:ascii="仿宋_GB2312" w:eastAsia="仿宋_GB2312"/>
                <w:szCs w:val="21"/>
              </w:rPr>
            </w:pPr>
          </w:p>
        </w:tc>
        <w:tc>
          <w:tcPr>
            <w:tcW w:w="600" w:type="dxa"/>
            <w:vMerge w:val="continue"/>
            <w:shd w:val="clear" w:color="auto" w:fill="auto"/>
            <w:noWrap w:val="0"/>
            <w:vAlign w:val="center"/>
          </w:tcPr>
          <w:p>
            <w:pPr>
              <w:spacing w:line="320" w:lineRule="exact"/>
              <w:rPr>
                <w:rFonts w:hint="eastAsia" w:ascii="仿宋_GB2312" w:eastAsia="仿宋_GB2312"/>
                <w:szCs w:val="21"/>
              </w:rPr>
            </w:pP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r>
              <w:rPr>
                <w:rFonts w:hint="eastAsia" w:ascii="仿宋_GB2312" w:eastAsia="仿宋_GB2312"/>
                <w:szCs w:val="21"/>
              </w:rPr>
              <w:t>社会公众</w:t>
            </w:r>
          </w:p>
          <w:p>
            <w:pPr>
              <w:spacing w:line="320" w:lineRule="exact"/>
              <w:jc w:val="center"/>
              <w:rPr>
                <w:rFonts w:hint="eastAsia" w:ascii="仿宋_GB2312" w:eastAsia="仿宋_GB2312"/>
                <w:szCs w:val="21"/>
              </w:rPr>
            </w:pPr>
            <w:r>
              <w:rPr>
                <w:rFonts w:hint="eastAsia" w:ascii="仿宋_GB2312" w:eastAsia="仿宋_GB2312"/>
                <w:szCs w:val="21"/>
              </w:rPr>
              <w:t>或服务对</w:t>
            </w:r>
          </w:p>
          <w:p>
            <w:pPr>
              <w:spacing w:line="320" w:lineRule="exact"/>
              <w:jc w:val="center"/>
              <w:rPr>
                <w:rFonts w:hint="eastAsia" w:ascii="仿宋_GB2312" w:eastAsia="仿宋_GB2312"/>
                <w:szCs w:val="21"/>
              </w:rPr>
            </w:pPr>
            <w:r>
              <w:rPr>
                <w:rFonts w:hint="eastAsia" w:ascii="仿宋_GB2312" w:eastAsia="仿宋_GB2312"/>
                <w:szCs w:val="21"/>
              </w:rPr>
              <w:t>象满意度</w:t>
            </w:r>
          </w:p>
        </w:tc>
        <w:tc>
          <w:tcPr>
            <w:tcW w:w="2700" w:type="dxa"/>
            <w:shd w:val="clear" w:color="auto" w:fill="auto"/>
            <w:noWrap w:val="0"/>
            <w:tcMar>
              <w:top w:w="10" w:type="dxa"/>
              <w:left w:w="10" w:type="dxa"/>
              <w:bottom w:w="0" w:type="dxa"/>
              <w:right w:w="10" w:type="dxa"/>
            </w:tcMar>
            <w:vAlign w:val="center"/>
          </w:tcPr>
          <w:p>
            <w:pPr>
              <w:tabs>
                <w:tab w:val="left" w:pos="2604"/>
              </w:tabs>
              <w:spacing w:line="320" w:lineRule="exact"/>
              <w:ind w:right="105" w:rightChars="50"/>
              <w:rPr>
                <w:rFonts w:hint="eastAsia" w:ascii="仿宋_GB2312" w:eastAsia="仿宋_GB2312"/>
                <w:szCs w:val="21"/>
              </w:rPr>
            </w:pPr>
            <w:r>
              <w:rPr>
                <w:rFonts w:hint="eastAsia" w:ascii="仿宋_GB2312" w:eastAsia="仿宋_GB2312"/>
                <w:szCs w:val="21"/>
              </w:rPr>
              <w:t>社会公众或部门的服务对象对部门履职效果的满意程度。</w:t>
            </w:r>
          </w:p>
        </w:tc>
        <w:tc>
          <w:tcPr>
            <w:tcW w:w="3150" w:type="dxa"/>
            <w:shd w:val="clear" w:color="auto" w:fill="auto"/>
            <w:noWrap w:val="0"/>
            <w:tcMar>
              <w:top w:w="10" w:type="dxa"/>
              <w:left w:w="10" w:type="dxa"/>
              <w:bottom w:w="0" w:type="dxa"/>
              <w:right w:w="10" w:type="dxa"/>
            </w:tcMar>
            <w:vAlign w:val="center"/>
          </w:tcPr>
          <w:p>
            <w:pPr>
              <w:spacing w:line="320" w:lineRule="exact"/>
              <w:ind w:left="105" w:leftChars="50" w:right="105" w:rightChars="50"/>
              <w:rPr>
                <w:rFonts w:hint="default" w:ascii="仿宋_GB2312" w:eastAsia="仿宋_GB2312"/>
                <w:szCs w:val="21"/>
                <w:lang w:val="en-US" w:eastAsia="zh-CN"/>
              </w:rPr>
            </w:pPr>
            <w:r>
              <w:rPr>
                <w:rFonts w:hint="eastAsia" w:ascii="仿宋_GB2312" w:eastAsia="仿宋_GB2312"/>
                <w:szCs w:val="21"/>
              </w:rPr>
              <w:t>采取社会调查的方式。</w:t>
            </w:r>
            <w:r>
              <w:rPr>
                <w:rFonts w:hint="eastAsia" w:ascii="仿宋_GB2312" w:eastAsia="仿宋_GB2312"/>
                <w:szCs w:val="21"/>
                <w:lang w:eastAsia="zh-CN"/>
              </w:rPr>
              <w:t>满意率</w:t>
            </w:r>
            <w:r>
              <w:rPr>
                <w:rFonts w:hint="eastAsia" w:ascii="仿宋_GB2312" w:eastAsia="仿宋_GB2312"/>
                <w:szCs w:val="21"/>
                <w:lang w:val="en-US" w:eastAsia="zh-CN"/>
              </w:rPr>
              <w:t>90%以上计5分，89%-80%计4分，79%-60%以下计2分，60%以下不计分。</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5</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7" w:hRule="atLeast"/>
          <w:jc w:val="center"/>
        </w:trPr>
        <w:tc>
          <w:tcPr>
            <w:tcW w:w="539" w:type="dxa"/>
            <w:shd w:val="clear" w:color="auto" w:fill="auto"/>
            <w:noWrap w:val="0"/>
            <w:vAlign w:val="center"/>
          </w:tcPr>
          <w:p>
            <w:pPr>
              <w:spacing w:line="320" w:lineRule="exact"/>
              <w:rPr>
                <w:rFonts w:hint="eastAsia" w:ascii="仿宋_GB2312" w:eastAsia="仿宋_GB2312"/>
                <w:szCs w:val="21"/>
              </w:rPr>
            </w:pPr>
          </w:p>
        </w:tc>
        <w:tc>
          <w:tcPr>
            <w:tcW w:w="600" w:type="dxa"/>
            <w:shd w:val="clear" w:color="auto" w:fill="auto"/>
            <w:noWrap w:val="0"/>
            <w:vAlign w:val="center"/>
          </w:tcPr>
          <w:p>
            <w:pPr>
              <w:spacing w:line="320" w:lineRule="exact"/>
              <w:rPr>
                <w:rFonts w:hint="eastAsia" w:ascii="仿宋_GB2312" w:eastAsia="仿宋_GB2312"/>
                <w:szCs w:val="21"/>
              </w:rPr>
            </w:pPr>
          </w:p>
        </w:tc>
        <w:tc>
          <w:tcPr>
            <w:tcW w:w="885" w:type="dxa"/>
            <w:shd w:val="clear" w:color="auto" w:fill="auto"/>
            <w:noWrap w:val="0"/>
            <w:tcMar>
              <w:top w:w="10" w:type="dxa"/>
              <w:left w:w="10" w:type="dxa"/>
              <w:bottom w:w="0" w:type="dxa"/>
              <w:right w:w="10" w:type="dxa"/>
            </w:tcMar>
            <w:vAlign w:val="center"/>
          </w:tcPr>
          <w:p>
            <w:pPr>
              <w:spacing w:line="320" w:lineRule="exact"/>
              <w:jc w:val="center"/>
              <w:rPr>
                <w:rFonts w:hint="eastAsia" w:ascii="仿宋_GB2312" w:eastAsia="仿宋_GB2312"/>
                <w:szCs w:val="21"/>
              </w:rPr>
            </w:pPr>
          </w:p>
        </w:tc>
        <w:tc>
          <w:tcPr>
            <w:tcW w:w="2700" w:type="dxa"/>
            <w:shd w:val="clear" w:color="auto" w:fill="auto"/>
            <w:noWrap w:val="0"/>
            <w:tcMar>
              <w:top w:w="10" w:type="dxa"/>
              <w:left w:w="10" w:type="dxa"/>
              <w:bottom w:w="0" w:type="dxa"/>
              <w:right w:w="10" w:type="dxa"/>
            </w:tcMar>
            <w:vAlign w:val="center"/>
          </w:tcPr>
          <w:p>
            <w:pPr>
              <w:tabs>
                <w:tab w:val="left" w:pos="2604"/>
              </w:tabs>
              <w:spacing w:line="320" w:lineRule="exact"/>
              <w:ind w:right="105" w:rightChars="50"/>
              <w:rPr>
                <w:rFonts w:hint="eastAsia" w:ascii="仿宋_GB2312" w:eastAsia="仿宋_GB2312"/>
                <w:szCs w:val="21"/>
              </w:rPr>
            </w:pPr>
          </w:p>
        </w:tc>
        <w:tc>
          <w:tcPr>
            <w:tcW w:w="3150"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eastAsia" w:ascii="仿宋_GB2312" w:eastAsia="仿宋_GB2312"/>
                <w:szCs w:val="21"/>
                <w:lang w:eastAsia="zh-CN"/>
              </w:rPr>
            </w:pPr>
            <w:r>
              <w:rPr>
                <w:rFonts w:hint="eastAsia" w:ascii="仿宋_GB2312" w:eastAsia="仿宋_GB2312"/>
                <w:szCs w:val="21"/>
                <w:lang w:eastAsia="zh-CN"/>
              </w:rPr>
              <w:t>总分</w:t>
            </w:r>
          </w:p>
        </w:tc>
        <w:tc>
          <w:tcPr>
            <w:tcW w:w="705"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100</w:t>
            </w:r>
          </w:p>
        </w:tc>
        <w:tc>
          <w:tcPr>
            <w:tcW w:w="713" w:type="dxa"/>
            <w:shd w:val="clear" w:color="auto" w:fill="auto"/>
            <w:noWrap w:val="0"/>
            <w:tcMar>
              <w:top w:w="10" w:type="dxa"/>
              <w:left w:w="10" w:type="dxa"/>
              <w:bottom w:w="0" w:type="dxa"/>
              <w:right w:w="10" w:type="dxa"/>
            </w:tcMar>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95</w:t>
            </w:r>
          </w:p>
        </w:tc>
      </w:tr>
    </w:tbl>
    <w:p>
      <w:pPr>
        <w:widowControl/>
        <w:spacing w:line="520" w:lineRule="exact"/>
        <w:jc w:val="left"/>
        <w:rPr>
          <w:rFonts w:hint="eastAsia" w:ascii="宋体" w:hAnsi="宋体" w:cs="Arial"/>
          <w:b/>
          <w:kern w:val="0"/>
          <w:sz w:val="32"/>
          <w:szCs w:val="32"/>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7"/>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sdt>
    <w:sdtPr>
      <w:rPr>
        <w:rFonts w:asciiTheme="majorHAnsi" w:hAnsiTheme="majorHAnsi"/>
        <w:sz w:val="28"/>
        <w:szCs w:val="28"/>
        <w:lang w:val="zh-CN"/>
      </w:rPr>
      <w:id w:val="7722562"/>
      <w:docPartObj>
        <w:docPartGallery w:val="autotext"/>
      </w:docPartObj>
    </w:sdtPr>
    <w:sdtEndPr>
      <w:rPr>
        <w:rFonts w:asciiTheme="majorHAnsi" w:hAnsiTheme="majorHAnsi"/>
        <w:sz w:val="28"/>
        <w:szCs w:val="28"/>
        <w:lang w:val="zh-CN"/>
      </w:rPr>
    </w:sdtEndPr>
    <w:sdtContent>
      <w:p>
        <w:pPr>
          <w:pStyle w:val="7"/>
          <w:jc w:val="center"/>
          <w:rPr>
            <w:rFonts w:hint="eastAsia"/>
          </w:rPr>
        </w:pPr>
      </w:p>
      <w:p>
        <w:pPr>
          <w:pStyle w:val="7"/>
          <w:jc w:val="center"/>
          <w:rPr>
            <w:rFonts w:asciiTheme="majorHAnsi" w:hAnsiTheme="majorHAnsi"/>
            <w:sz w:val="28"/>
            <w:szCs w:val="28"/>
          </w:rPr>
        </w:pPr>
      </w:p>
    </w:sdtContent>
  </w:sdt>
  <w:p>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B2F2749"/>
    <w:multiLevelType w:val="singleLevel"/>
    <w:tmpl w:val="3B2F2749"/>
    <w:lvl w:ilvl="0" w:tentative="0">
      <w:start w:val="1"/>
      <w:numFmt w:val="decimal"/>
      <w:suff w:val="nothing"/>
      <w:lvlText w:val="%1、"/>
      <w:lvlJc w:val="left"/>
    </w:lvl>
  </w:abstractNum>
  <w:abstractNum w:abstractNumId="1">
    <w:nsid w:val="79A5FA07"/>
    <w:multiLevelType w:val="singleLevel"/>
    <w:tmpl w:val="79A5FA07"/>
    <w:lvl w:ilvl="0" w:tentative="0">
      <w:start w:val="1"/>
      <w:numFmt w:val="chineseCounting"/>
      <w:suff w:val="nothing"/>
      <w:lvlText w:val="（%1）"/>
      <w:lvlJc w:val="left"/>
      <w:pPr>
        <w:ind w:left="-13"/>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FlN2ZkNWU1Zjk0NDcyZTU5Njk0Y2RmODI2ZWZjOWEifQ=="/>
    <w:docVar w:name="KSO_WPS_MARK_KEY" w:val="09ded913-e81c-4d47-962c-715b278f4c6f"/>
  </w:docVars>
  <w:rsids>
    <w:rsidRoot w:val="004A0EB9"/>
    <w:rsid w:val="0000477F"/>
    <w:rsid w:val="00030F62"/>
    <w:rsid w:val="00033C57"/>
    <w:rsid w:val="0004154D"/>
    <w:rsid w:val="000437C1"/>
    <w:rsid w:val="00045147"/>
    <w:rsid w:val="000705F3"/>
    <w:rsid w:val="000858A9"/>
    <w:rsid w:val="000864D5"/>
    <w:rsid w:val="000916B4"/>
    <w:rsid w:val="000B3645"/>
    <w:rsid w:val="000B6EE9"/>
    <w:rsid w:val="000D02CD"/>
    <w:rsid w:val="000D2A8E"/>
    <w:rsid w:val="000D5A1A"/>
    <w:rsid w:val="000E133B"/>
    <w:rsid w:val="000E4ED5"/>
    <w:rsid w:val="000E7EE5"/>
    <w:rsid w:val="000F03DC"/>
    <w:rsid w:val="000F1421"/>
    <w:rsid w:val="001050C5"/>
    <w:rsid w:val="00111CC5"/>
    <w:rsid w:val="00115E9D"/>
    <w:rsid w:val="00120A32"/>
    <w:rsid w:val="0012444C"/>
    <w:rsid w:val="0012476E"/>
    <w:rsid w:val="00131D3F"/>
    <w:rsid w:val="001336FE"/>
    <w:rsid w:val="00137E0B"/>
    <w:rsid w:val="0014357A"/>
    <w:rsid w:val="00145E53"/>
    <w:rsid w:val="00146BEF"/>
    <w:rsid w:val="001515E4"/>
    <w:rsid w:val="00155050"/>
    <w:rsid w:val="00163EEA"/>
    <w:rsid w:val="00165E3A"/>
    <w:rsid w:val="00166BDF"/>
    <w:rsid w:val="001717B0"/>
    <w:rsid w:val="001A1034"/>
    <w:rsid w:val="001B1439"/>
    <w:rsid w:val="001B24E2"/>
    <w:rsid w:val="001B45D8"/>
    <w:rsid w:val="001C744E"/>
    <w:rsid w:val="001C7606"/>
    <w:rsid w:val="001D5BFD"/>
    <w:rsid w:val="001F406F"/>
    <w:rsid w:val="00204AC8"/>
    <w:rsid w:val="0020732F"/>
    <w:rsid w:val="00220A80"/>
    <w:rsid w:val="0022152E"/>
    <w:rsid w:val="00221760"/>
    <w:rsid w:val="00273CBD"/>
    <w:rsid w:val="00290BE2"/>
    <w:rsid w:val="002A1194"/>
    <w:rsid w:val="002A428D"/>
    <w:rsid w:val="002C441C"/>
    <w:rsid w:val="002C67F2"/>
    <w:rsid w:val="002D0C07"/>
    <w:rsid w:val="002D62DD"/>
    <w:rsid w:val="002E03B9"/>
    <w:rsid w:val="00305C5F"/>
    <w:rsid w:val="00313417"/>
    <w:rsid w:val="00315CA1"/>
    <w:rsid w:val="003234FA"/>
    <w:rsid w:val="003315BE"/>
    <w:rsid w:val="00331F6E"/>
    <w:rsid w:val="00361FBA"/>
    <w:rsid w:val="00365514"/>
    <w:rsid w:val="00385EAE"/>
    <w:rsid w:val="003919E4"/>
    <w:rsid w:val="00392374"/>
    <w:rsid w:val="00392E66"/>
    <w:rsid w:val="003B0565"/>
    <w:rsid w:val="003C0B6A"/>
    <w:rsid w:val="003C3A63"/>
    <w:rsid w:val="003C73E9"/>
    <w:rsid w:val="003D0115"/>
    <w:rsid w:val="003F0CCE"/>
    <w:rsid w:val="00400AEC"/>
    <w:rsid w:val="00425F65"/>
    <w:rsid w:val="004270A8"/>
    <w:rsid w:val="004436F2"/>
    <w:rsid w:val="00445FE1"/>
    <w:rsid w:val="0044700C"/>
    <w:rsid w:val="00452152"/>
    <w:rsid w:val="00460164"/>
    <w:rsid w:val="00475B35"/>
    <w:rsid w:val="004823D2"/>
    <w:rsid w:val="00482E83"/>
    <w:rsid w:val="004874E6"/>
    <w:rsid w:val="004A0EB9"/>
    <w:rsid w:val="004B0BDD"/>
    <w:rsid w:val="004B6D88"/>
    <w:rsid w:val="004C25A8"/>
    <w:rsid w:val="004E30E4"/>
    <w:rsid w:val="004E60A4"/>
    <w:rsid w:val="005067FE"/>
    <w:rsid w:val="00516105"/>
    <w:rsid w:val="0052020D"/>
    <w:rsid w:val="00523850"/>
    <w:rsid w:val="00526E66"/>
    <w:rsid w:val="00531359"/>
    <w:rsid w:val="005322F9"/>
    <w:rsid w:val="005355F3"/>
    <w:rsid w:val="00552DF0"/>
    <w:rsid w:val="00555131"/>
    <w:rsid w:val="00563FEB"/>
    <w:rsid w:val="005834B2"/>
    <w:rsid w:val="005845FC"/>
    <w:rsid w:val="00593DA6"/>
    <w:rsid w:val="00594E50"/>
    <w:rsid w:val="005A4F04"/>
    <w:rsid w:val="005B396E"/>
    <w:rsid w:val="005B726B"/>
    <w:rsid w:val="005C6E2A"/>
    <w:rsid w:val="005D2BBD"/>
    <w:rsid w:val="005E399B"/>
    <w:rsid w:val="00604F81"/>
    <w:rsid w:val="00623AAC"/>
    <w:rsid w:val="00630445"/>
    <w:rsid w:val="006346BB"/>
    <w:rsid w:val="00650D23"/>
    <w:rsid w:val="006644F8"/>
    <w:rsid w:val="00676771"/>
    <w:rsid w:val="00686335"/>
    <w:rsid w:val="00691767"/>
    <w:rsid w:val="00693E6C"/>
    <w:rsid w:val="00696DB5"/>
    <w:rsid w:val="006B5A55"/>
    <w:rsid w:val="006B62E8"/>
    <w:rsid w:val="006C5096"/>
    <w:rsid w:val="006D5EEF"/>
    <w:rsid w:val="0073389F"/>
    <w:rsid w:val="00734B9C"/>
    <w:rsid w:val="00735587"/>
    <w:rsid w:val="007553FB"/>
    <w:rsid w:val="007566BE"/>
    <w:rsid w:val="0076239D"/>
    <w:rsid w:val="00796F24"/>
    <w:rsid w:val="007A6F3F"/>
    <w:rsid w:val="007C148B"/>
    <w:rsid w:val="007C24A3"/>
    <w:rsid w:val="007C367C"/>
    <w:rsid w:val="007C6257"/>
    <w:rsid w:val="007D3C9F"/>
    <w:rsid w:val="007E1ECE"/>
    <w:rsid w:val="007E25B1"/>
    <w:rsid w:val="007E42F5"/>
    <w:rsid w:val="007F5224"/>
    <w:rsid w:val="00803052"/>
    <w:rsid w:val="008306BC"/>
    <w:rsid w:val="00832C71"/>
    <w:rsid w:val="008442FF"/>
    <w:rsid w:val="00844895"/>
    <w:rsid w:val="00874BE0"/>
    <w:rsid w:val="008C4B96"/>
    <w:rsid w:val="008D3155"/>
    <w:rsid w:val="00901C09"/>
    <w:rsid w:val="0090222B"/>
    <w:rsid w:val="009232D9"/>
    <w:rsid w:val="0092560B"/>
    <w:rsid w:val="009356D2"/>
    <w:rsid w:val="00947054"/>
    <w:rsid w:val="00953068"/>
    <w:rsid w:val="00975236"/>
    <w:rsid w:val="009805A1"/>
    <w:rsid w:val="00994E26"/>
    <w:rsid w:val="00997C98"/>
    <w:rsid w:val="009A78B2"/>
    <w:rsid w:val="009B43EC"/>
    <w:rsid w:val="009C6EBC"/>
    <w:rsid w:val="009F4165"/>
    <w:rsid w:val="009F48EA"/>
    <w:rsid w:val="00A04B35"/>
    <w:rsid w:val="00A1013C"/>
    <w:rsid w:val="00A24992"/>
    <w:rsid w:val="00A27766"/>
    <w:rsid w:val="00A42D89"/>
    <w:rsid w:val="00A477AC"/>
    <w:rsid w:val="00A62833"/>
    <w:rsid w:val="00A62A12"/>
    <w:rsid w:val="00A822D1"/>
    <w:rsid w:val="00A87647"/>
    <w:rsid w:val="00A918E4"/>
    <w:rsid w:val="00AA6D67"/>
    <w:rsid w:val="00AB6205"/>
    <w:rsid w:val="00AD607C"/>
    <w:rsid w:val="00AE6305"/>
    <w:rsid w:val="00AF5994"/>
    <w:rsid w:val="00AF6499"/>
    <w:rsid w:val="00B116E9"/>
    <w:rsid w:val="00B12231"/>
    <w:rsid w:val="00B12C2F"/>
    <w:rsid w:val="00B3606F"/>
    <w:rsid w:val="00B36FD5"/>
    <w:rsid w:val="00B37711"/>
    <w:rsid w:val="00B40F17"/>
    <w:rsid w:val="00B46549"/>
    <w:rsid w:val="00B55B91"/>
    <w:rsid w:val="00B837E1"/>
    <w:rsid w:val="00B927A7"/>
    <w:rsid w:val="00BB04C7"/>
    <w:rsid w:val="00BD29B4"/>
    <w:rsid w:val="00BE10E9"/>
    <w:rsid w:val="00BF0CE3"/>
    <w:rsid w:val="00C01FBD"/>
    <w:rsid w:val="00C173AC"/>
    <w:rsid w:val="00C434CE"/>
    <w:rsid w:val="00C53122"/>
    <w:rsid w:val="00C63D92"/>
    <w:rsid w:val="00C6430F"/>
    <w:rsid w:val="00C64617"/>
    <w:rsid w:val="00C64E69"/>
    <w:rsid w:val="00C845CD"/>
    <w:rsid w:val="00C96718"/>
    <w:rsid w:val="00CA7136"/>
    <w:rsid w:val="00CB48C0"/>
    <w:rsid w:val="00CC5CAD"/>
    <w:rsid w:val="00CE5AF9"/>
    <w:rsid w:val="00D07775"/>
    <w:rsid w:val="00D108AF"/>
    <w:rsid w:val="00D30F87"/>
    <w:rsid w:val="00D3323F"/>
    <w:rsid w:val="00D410BB"/>
    <w:rsid w:val="00D464E2"/>
    <w:rsid w:val="00D907B0"/>
    <w:rsid w:val="00D914F9"/>
    <w:rsid w:val="00DB02EE"/>
    <w:rsid w:val="00DE32BF"/>
    <w:rsid w:val="00DF1624"/>
    <w:rsid w:val="00DF5D8F"/>
    <w:rsid w:val="00E13222"/>
    <w:rsid w:val="00E15540"/>
    <w:rsid w:val="00E16AF4"/>
    <w:rsid w:val="00E213D5"/>
    <w:rsid w:val="00E3257D"/>
    <w:rsid w:val="00E36F2D"/>
    <w:rsid w:val="00E51ED7"/>
    <w:rsid w:val="00E52CFB"/>
    <w:rsid w:val="00E539A5"/>
    <w:rsid w:val="00E72F94"/>
    <w:rsid w:val="00E73C2E"/>
    <w:rsid w:val="00E812CA"/>
    <w:rsid w:val="00E81CF9"/>
    <w:rsid w:val="00E82E34"/>
    <w:rsid w:val="00E834A6"/>
    <w:rsid w:val="00E84EBC"/>
    <w:rsid w:val="00E91BD0"/>
    <w:rsid w:val="00E93CB9"/>
    <w:rsid w:val="00EC71C9"/>
    <w:rsid w:val="00ED68D5"/>
    <w:rsid w:val="00ED69E7"/>
    <w:rsid w:val="00EE1AA5"/>
    <w:rsid w:val="00EF5650"/>
    <w:rsid w:val="00F03265"/>
    <w:rsid w:val="00F03B9A"/>
    <w:rsid w:val="00F15AC6"/>
    <w:rsid w:val="00F379CE"/>
    <w:rsid w:val="00F405FC"/>
    <w:rsid w:val="00F443BD"/>
    <w:rsid w:val="00F44C2A"/>
    <w:rsid w:val="00F56E73"/>
    <w:rsid w:val="00F7423F"/>
    <w:rsid w:val="00F83FE8"/>
    <w:rsid w:val="00F84055"/>
    <w:rsid w:val="00F9688F"/>
    <w:rsid w:val="00FD0469"/>
    <w:rsid w:val="00FD2A6E"/>
    <w:rsid w:val="036342B2"/>
    <w:rsid w:val="04460CB3"/>
    <w:rsid w:val="080E4C4C"/>
    <w:rsid w:val="0B350656"/>
    <w:rsid w:val="0B76315D"/>
    <w:rsid w:val="0BFB4353"/>
    <w:rsid w:val="0CE82647"/>
    <w:rsid w:val="0D445513"/>
    <w:rsid w:val="0F696B20"/>
    <w:rsid w:val="14F24187"/>
    <w:rsid w:val="1A847F19"/>
    <w:rsid w:val="1C6B07E0"/>
    <w:rsid w:val="276D2E0E"/>
    <w:rsid w:val="27E40050"/>
    <w:rsid w:val="2A4B3E74"/>
    <w:rsid w:val="2C6C3D79"/>
    <w:rsid w:val="2FB63AC1"/>
    <w:rsid w:val="31F14C87"/>
    <w:rsid w:val="33BC6E6B"/>
    <w:rsid w:val="34882369"/>
    <w:rsid w:val="39632A64"/>
    <w:rsid w:val="3A7433E0"/>
    <w:rsid w:val="3AFF464E"/>
    <w:rsid w:val="3BCC5746"/>
    <w:rsid w:val="3C3F3E55"/>
    <w:rsid w:val="3E4F1453"/>
    <w:rsid w:val="3E7F2E11"/>
    <w:rsid w:val="3EB0474A"/>
    <w:rsid w:val="419703BE"/>
    <w:rsid w:val="41C805C5"/>
    <w:rsid w:val="41F67B6D"/>
    <w:rsid w:val="42791A92"/>
    <w:rsid w:val="42902453"/>
    <w:rsid w:val="450373B2"/>
    <w:rsid w:val="4AAA4720"/>
    <w:rsid w:val="4C77584F"/>
    <w:rsid w:val="5793439F"/>
    <w:rsid w:val="5D0D6AF6"/>
    <w:rsid w:val="5EAC5EC6"/>
    <w:rsid w:val="60900E59"/>
    <w:rsid w:val="60FA2D34"/>
    <w:rsid w:val="61A03DAC"/>
    <w:rsid w:val="66914A50"/>
    <w:rsid w:val="671E39F0"/>
    <w:rsid w:val="69D31390"/>
    <w:rsid w:val="6B461EDA"/>
    <w:rsid w:val="6BE12E51"/>
    <w:rsid w:val="6D244C4E"/>
    <w:rsid w:val="6F0276AA"/>
    <w:rsid w:val="6FB673F4"/>
    <w:rsid w:val="718C6443"/>
    <w:rsid w:val="71E759B2"/>
    <w:rsid w:val="723F3150"/>
    <w:rsid w:val="73C02E91"/>
    <w:rsid w:val="74CF2B9F"/>
    <w:rsid w:val="75CD50A0"/>
    <w:rsid w:val="763933D7"/>
    <w:rsid w:val="764A7A65"/>
    <w:rsid w:val="783707C4"/>
    <w:rsid w:val="7A9A5B50"/>
    <w:rsid w:val="7CED5F01"/>
    <w:rsid w:val="7D515947"/>
    <w:rsid w:val="7F1A36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customStyle="1" w:styleId="2">
    <w:name w:val="正文缩进1"/>
    <w:basedOn w:val="1"/>
    <w:qFormat/>
    <w:uiPriority w:val="99"/>
    <w:pPr>
      <w:widowControl/>
      <w:ind w:firstLine="420"/>
      <w:jc w:val="left"/>
    </w:pPr>
    <w:rPr>
      <w:kern w:val="0"/>
    </w:rPr>
  </w:style>
  <w:style w:type="paragraph" w:styleId="3">
    <w:name w:val="Body Text"/>
    <w:basedOn w:val="1"/>
    <w:next w:val="4"/>
    <w:qFormat/>
    <w:uiPriority w:val="0"/>
    <w:pPr>
      <w:spacing w:after="120"/>
    </w:pPr>
  </w:style>
  <w:style w:type="paragraph" w:styleId="4">
    <w:name w:val="Title"/>
    <w:basedOn w:val="1"/>
    <w:next w:val="1"/>
    <w:qFormat/>
    <w:uiPriority w:val="0"/>
    <w:pPr>
      <w:snapToGrid w:val="0"/>
      <w:jc w:val="center"/>
      <w:outlineLvl w:val="0"/>
    </w:pPr>
    <w:rPr>
      <w:rFonts w:ascii="方正小标宋_GBK" w:hAnsi="方正小标宋_GBK" w:eastAsia="方正小标宋_GBK" w:cs="Arial"/>
      <w:b/>
      <w:color w:val="000000"/>
      <w:sz w:val="44"/>
      <w:szCs w:val="44"/>
    </w:rPr>
  </w:style>
  <w:style w:type="paragraph" w:styleId="5">
    <w:name w:val="Plain Text"/>
    <w:basedOn w:val="1"/>
    <w:link w:val="19"/>
    <w:qFormat/>
    <w:uiPriority w:val="99"/>
    <w:rPr>
      <w:rFonts w:ascii="宋体" w:hAnsi="Courier New" w:cs="Courier New"/>
      <w:szCs w:val="21"/>
    </w:rPr>
  </w:style>
  <w:style w:type="paragraph" w:styleId="6">
    <w:name w:val="Date"/>
    <w:basedOn w:val="1"/>
    <w:next w:val="1"/>
    <w:link w:val="20"/>
    <w:semiHidden/>
    <w:unhideWhenUsed/>
    <w:qFormat/>
    <w:uiPriority w:val="99"/>
    <w:pPr>
      <w:ind w:left="100" w:leftChars="2500"/>
    </w:pPr>
  </w:style>
  <w:style w:type="paragraph" w:styleId="7">
    <w:name w:val="footer"/>
    <w:basedOn w:val="1"/>
    <w:link w:val="16"/>
    <w:unhideWhenUsed/>
    <w:qFormat/>
    <w:uiPriority w:val="99"/>
    <w:pPr>
      <w:tabs>
        <w:tab w:val="center" w:pos="4153"/>
        <w:tab w:val="right" w:pos="8306"/>
      </w:tabs>
      <w:snapToGrid w:val="0"/>
      <w:jc w:val="left"/>
    </w:pPr>
    <w:rPr>
      <w:sz w:val="18"/>
      <w:szCs w:val="18"/>
    </w:rPr>
  </w:style>
  <w:style w:type="paragraph" w:styleId="8">
    <w:name w:val="header"/>
    <w:basedOn w:val="1"/>
    <w:link w:val="15"/>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1">
    <w:name w:val="Table Grid"/>
    <w:basedOn w:val="10"/>
    <w:qFormat/>
    <w:uiPriority w:val="0"/>
    <w:pPr>
      <w:widowControl w:val="0"/>
      <w:jc w:val="both"/>
    </w:pPr>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3">
    <w:name w:val="BodyText1I2"/>
    <w:basedOn w:val="14"/>
    <w:qFormat/>
    <w:uiPriority w:val="99"/>
    <w:pPr>
      <w:ind w:firstLine="420" w:firstLineChars="200"/>
    </w:pPr>
    <w:rPr>
      <w:b/>
      <w:bCs/>
      <w:kern w:val="44"/>
      <w:sz w:val="32"/>
      <w:szCs w:val="44"/>
    </w:rPr>
  </w:style>
  <w:style w:type="paragraph" w:customStyle="1" w:styleId="14">
    <w:name w:val="BodyTextIndent"/>
    <w:basedOn w:val="1"/>
    <w:qFormat/>
    <w:uiPriority w:val="99"/>
    <w:pPr>
      <w:spacing w:after="120"/>
      <w:ind w:left="420" w:leftChars="200"/>
      <w:textAlignment w:val="baseline"/>
    </w:pPr>
    <w:rPr>
      <w:kern w:val="0"/>
      <w:sz w:val="20"/>
    </w:rPr>
  </w:style>
  <w:style w:type="character" w:customStyle="1" w:styleId="15">
    <w:name w:val="页眉 Char"/>
    <w:basedOn w:val="12"/>
    <w:link w:val="8"/>
    <w:semiHidden/>
    <w:qFormat/>
    <w:uiPriority w:val="99"/>
    <w:rPr>
      <w:sz w:val="18"/>
      <w:szCs w:val="18"/>
    </w:rPr>
  </w:style>
  <w:style w:type="character" w:customStyle="1" w:styleId="16">
    <w:name w:val="页脚 Char"/>
    <w:basedOn w:val="12"/>
    <w:link w:val="7"/>
    <w:qFormat/>
    <w:uiPriority w:val="99"/>
    <w:rPr>
      <w:sz w:val="18"/>
      <w:szCs w:val="18"/>
    </w:rPr>
  </w:style>
  <w:style w:type="paragraph" w:styleId="17">
    <w:name w:val="No Spacing"/>
    <w:qFormat/>
    <w:uiPriority w:val="1"/>
    <w:pPr>
      <w:widowControl w:val="0"/>
      <w:jc w:val="both"/>
    </w:pPr>
    <w:rPr>
      <w:rFonts w:ascii="Calibri" w:hAnsi="Calibri" w:eastAsia="宋体" w:cs="Times New Roman"/>
      <w:kern w:val="2"/>
      <w:sz w:val="21"/>
      <w:szCs w:val="22"/>
      <w:lang w:val="en-US" w:eastAsia="zh-CN" w:bidi="ar-SA"/>
    </w:rPr>
  </w:style>
  <w:style w:type="character" w:customStyle="1" w:styleId="18">
    <w:name w:val="纯文本 Char"/>
    <w:basedOn w:val="12"/>
    <w:link w:val="5"/>
    <w:qFormat/>
    <w:uiPriority w:val="99"/>
    <w:rPr>
      <w:rFonts w:ascii="宋体" w:hAnsi="Courier New" w:cs="Courier New"/>
      <w:szCs w:val="21"/>
    </w:rPr>
  </w:style>
  <w:style w:type="character" w:customStyle="1" w:styleId="19">
    <w:name w:val="纯文本 Char1"/>
    <w:basedOn w:val="12"/>
    <w:link w:val="5"/>
    <w:semiHidden/>
    <w:qFormat/>
    <w:uiPriority w:val="99"/>
    <w:rPr>
      <w:rFonts w:ascii="宋体" w:hAnsi="Courier New" w:eastAsia="宋体" w:cs="Courier New"/>
      <w:szCs w:val="21"/>
    </w:rPr>
  </w:style>
  <w:style w:type="character" w:customStyle="1" w:styleId="20">
    <w:name w:val="日期 Char"/>
    <w:basedOn w:val="12"/>
    <w:link w:val="6"/>
    <w:semiHidden/>
    <w:qFormat/>
    <w:uiPriority w:val="99"/>
  </w:style>
  <w:style w:type="character" w:customStyle="1" w:styleId="21">
    <w:name w:val="font21"/>
    <w:basedOn w:val="12"/>
    <w:qFormat/>
    <w:uiPriority w:val="0"/>
    <w:rPr>
      <w:rFonts w:hint="eastAsia" w:ascii="宋体" w:hAnsi="宋体" w:eastAsia="宋体" w:cs="宋体"/>
      <w:b/>
      <w:bCs/>
      <w:color w:val="000000"/>
      <w:sz w:val="21"/>
      <w:szCs w:val="21"/>
      <w:u w:val="none"/>
    </w:rPr>
  </w:style>
  <w:style w:type="character" w:customStyle="1" w:styleId="22">
    <w:name w:val="font61"/>
    <w:basedOn w:val="12"/>
    <w:qFormat/>
    <w:uiPriority w:val="0"/>
    <w:rPr>
      <w:rFonts w:ascii="仿宋" w:hAnsi="仿宋" w:eastAsia="仿宋" w:cs="仿宋"/>
      <w:b/>
      <w:bCs/>
      <w:color w:val="000000"/>
      <w:sz w:val="21"/>
      <w:szCs w:val="21"/>
      <w:u w:val="none"/>
    </w:rPr>
  </w:style>
  <w:style w:type="character" w:customStyle="1" w:styleId="23">
    <w:name w:val="font51"/>
    <w:basedOn w:val="12"/>
    <w:qFormat/>
    <w:uiPriority w:val="0"/>
    <w:rPr>
      <w:rFonts w:hint="eastAsia" w:ascii="仿宋" w:hAnsi="仿宋" w:eastAsia="仿宋" w:cs="仿宋"/>
      <w:color w:val="000000"/>
      <w:sz w:val="21"/>
      <w:szCs w:val="21"/>
      <w:u w:val="none"/>
    </w:rPr>
  </w:style>
  <w:style w:type="character" w:customStyle="1" w:styleId="24">
    <w:name w:val="font41"/>
    <w:basedOn w:val="12"/>
    <w:qFormat/>
    <w:uiPriority w:val="0"/>
    <w:rPr>
      <w:rFonts w:hint="eastAsia" w:ascii="宋体" w:hAnsi="宋体" w:eastAsia="宋体" w:cs="宋体"/>
      <w:color w:val="000000"/>
      <w:sz w:val="21"/>
      <w:szCs w:val="21"/>
      <w:u w:val="none"/>
    </w:rPr>
  </w:style>
  <w:style w:type="character" w:customStyle="1" w:styleId="25">
    <w:name w:val="font11"/>
    <w:basedOn w:val="12"/>
    <w:qFormat/>
    <w:uiPriority w:val="0"/>
    <w:rPr>
      <w:rFonts w:hint="eastAsia" w:ascii="宋体" w:hAnsi="宋体" w:eastAsia="宋体" w:cs="宋体"/>
      <w:b/>
      <w:bCs/>
      <w:color w:val="000000"/>
      <w:sz w:val="21"/>
      <w:szCs w:val="21"/>
      <w:u w:val="none"/>
    </w:rPr>
  </w:style>
  <w:style w:type="character" w:customStyle="1" w:styleId="26">
    <w:name w:val="font91"/>
    <w:basedOn w:val="12"/>
    <w:qFormat/>
    <w:uiPriority w:val="0"/>
    <w:rPr>
      <w:rFonts w:ascii="Calibri" w:hAnsi="Calibri" w:cs="Calibri"/>
      <w:b/>
      <w:bCs/>
      <w:color w:val="000000"/>
      <w:sz w:val="21"/>
      <w:szCs w:val="21"/>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0502EC2-9335-4E9F-9A1E-513015E8C5B4}">
  <ds:schemaRefs/>
</ds:datastoreItem>
</file>

<file path=docProps/app.xml><?xml version="1.0" encoding="utf-8"?>
<Properties xmlns="http://schemas.openxmlformats.org/officeDocument/2006/extended-properties" xmlns:vt="http://schemas.openxmlformats.org/officeDocument/2006/docPropsVTypes">
  <Template>Normal</Template>
  <Company>湘潭县农业局</Company>
  <Pages>15</Pages>
  <Words>6300</Words>
  <Characters>7175</Characters>
  <Lines>88</Lines>
  <Paragraphs>24</Paragraphs>
  <TotalTime>9</TotalTime>
  <ScaleCrop>false</ScaleCrop>
  <LinksUpToDate>false</LinksUpToDate>
  <CharactersWithSpaces>7344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2021-05-18T09:21:00Z</dcterms:created>
  <dc:creator>1D507-2</dc:creator>
  <cp:lastModifiedBy>晨枫</cp:lastModifiedBy>
  <cp:lastPrinted>2023-05-30T00:33:00Z</cp:lastPrinted>
  <dcterms:modified xsi:type="dcterms:W3CDTF">2024-05-31T08:14:04Z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mmondata">
    <vt:lpwstr>eyJoZGlkIjoiNzllMTQzOGVkNTE4YjQ0OTkzODVkM2Y1YmQyM2Y5MjUifQ==</vt:lpwstr>
  </property>
  <property fmtid="{D5CDD505-2E9C-101B-9397-08002B2CF9AE}" pid="3" name="KSOProductBuildVer">
    <vt:lpwstr>2052-12.1.0.16929</vt:lpwstr>
  </property>
  <property fmtid="{D5CDD505-2E9C-101B-9397-08002B2CF9AE}" pid="4" name="ICV">
    <vt:lpwstr>7C3CB5E839444122931CFF2B4090C559_13</vt:lpwstr>
  </property>
</Properties>
</file>