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480"/>
        </w:tabs>
        <w:spacing w:line="600" w:lineRule="exact"/>
        <w:jc w:val="center"/>
        <w:rPr>
          <w:rFonts w:ascii="仿宋" w:hAnsi="仿宋" w:eastAsia="仿宋" w:cs="方正小标宋_GBK"/>
          <w:b/>
          <w:sz w:val="44"/>
          <w:szCs w:val="44"/>
        </w:rPr>
      </w:pPr>
      <w:r>
        <w:rPr>
          <w:rFonts w:hint="eastAsia" w:ascii="仿宋" w:hAnsi="仿宋" w:eastAsia="仿宋" w:cs="方正小标宋_GBK"/>
          <w:b/>
          <w:bCs/>
          <w:sz w:val="44"/>
          <w:szCs w:val="44"/>
        </w:rPr>
        <w:t>部门整体支出绩效评价报告</w:t>
      </w:r>
    </w:p>
    <w:p>
      <w:pPr>
        <w:tabs>
          <w:tab w:val="left" w:pos="6480"/>
        </w:tabs>
        <w:spacing w:line="600" w:lineRule="exact"/>
        <w:jc w:val="center"/>
        <w:rPr>
          <w:rFonts w:ascii="仿宋" w:hAnsi="仿宋" w:eastAsia="仿宋" w:cs="方正小标宋_GBK"/>
          <w:b/>
          <w:sz w:val="36"/>
          <w:szCs w:val="36"/>
        </w:rPr>
      </w:pPr>
      <w:r>
        <w:rPr>
          <w:rFonts w:hint="eastAsia" w:ascii="仿宋" w:hAnsi="仿宋" w:eastAsia="仿宋" w:cs="方正小标宋_GBK"/>
          <w:b/>
          <w:sz w:val="36"/>
          <w:szCs w:val="36"/>
        </w:rPr>
        <w:t>（湘潭县易俗河镇人民政府）</w:t>
      </w:r>
    </w:p>
    <w:p>
      <w:pPr>
        <w:tabs>
          <w:tab w:val="left" w:pos="6480"/>
        </w:tabs>
        <w:spacing w:line="600" w:lineRule="exact"/>
        <w:jc w:val="center"/>
        <w:rPr>
          <w:rFonts w:ascii="仿宋" w:hAnsi="仿宋" w:eastAsia="仿宋" w:cs="方正小标宋_GBK"/>
          <w:b/>
          <w:sz w:val="36"/>
          <w:szCs w:val="36"/>
        </w:rPr>
      </w:pPr>
    </w:p>
    <w:tbl>
      <w:tblPr>
        <w:tblStyle w:val="5"/>
        <w:tblW w:w="10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66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pPr>
              <w:spacing w:line="576" w:lineRule="exact"/>
              <w:jc w:val="center"/>
              <w:rPr>
                <w:rFonts w:ascii="仿宋" w:hAnsi="仿宋" w:eastAsia="仿宋" w:cs="宋体"/>
                <w:sz w:val="24"/>
              </w:rPr>
            </w:pPr>
            <w:r>
              <w:rPr>
                <w:rFonts w:hint="eastAsia" w:ascii="仿宋" w:hAnsi="仿宋" w:eastAsia="仿宋" w:cs="宋体"/>
                <w:sz w:val="24"/>
              </w:rPr>
              <w:t>部门概况</w:t>
            </w:r>
          </w:p>
        </w:tc>
        <w:tc>
          <w:tcPr>
            <w:tcW w:w="1985" w:type="dxa"/>
            <w:vAlign w:val="center"/>
          </w:tcPr>
          <w:p>
            <w:pPr>
              <w:spacing w:line="576" w:lineRule="exact"/>
              <w:jc w:val="center"/>
              <w:rPr>
                <w:rFonts w:ascii="仿宋" w:hAnsi="仿宋" w:eastAsia="仿宋" w:cs="宋体"/>
                <w:sz w:val="24"/>
              </w:rPr>
            </w:pPr>
            <w:r>
              <w:rPr>
                <w:rFonts w:hint="eastAsia" w:ascii="仿宋" w:hAnsi="仿宋" w:eastAsia="仿宋" w:cs="宋体"/>
                <w:sz w:val="24"/>
              </w:rPr>
              <w:t>单位名称</w:t>
            </w:r>
          </w:p>
        </w:tc>
        <w:tc>
          <w:tcPr>
            <w:tcW w:w="6666" w:type="dxa"/>
            <w:vAlign w:val="center"/>
          </w:tcPr>
          <w:p>
            <w:pPr>
              <w:spacing w:line="576" w:lineRule="exact"/>
              <w:ind w:right="880" w:rightChars="419"/>
              <w:jc w:val="center"/>
              <w:rPr>
                <w:rFonts w:ascii="仿宋" w:hAnsi="仿宋" w:eastAsia="仿宋" w:cs="宋体"/>
                <w:sz w:val="24"/>
              </w:rPr>
            </w:pPr>
            <w:r>
              <w:rPr>
                <w:rFonts w:hint="eastAsia" w:ascii="仿宋" w:hAnsi="仿宋" w:eastAsia="仿宋" w:cs="宋体"/>
                <w:sz w:val="24"/>
              </w:rPr>
              <w:t>湘潭县易俗河镇人民政府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 w:hAnsi="仿宋" w:eastAsia="仿宋" w:cs="宋体"/>
                <w:sz w:val="24"/>
              </w:rPr>
            </w:pPr>
          </w:p>
        </w:tc>
        <w:tc>
          <w:tcPr>
            <w:tcW w:w="1985" w:type="dxa"/>
            <w:vAlign w:val="center"/>
          </w:tcPr>
          <w:p>
            <w:pPr>
              <w:spacing w:line="576" w:lineRule="exact"/>
              <w:jc w:val="center"/>
              <w:rPr>
                <w:rFonts w:ascii="仿宋" w:hAnsi="仿宋" w:eastAsia="仿宋" w:cs="宋体"/>
                <w:sz w:val="24"/>
              </w:rPr>
            </w:pPr>
            <w:r>
              <w:rPr>
                <w:rFonts w:hint="eastAsia" w:ascii="仿宋" w:hAnsi="仿宋" w:eastAsia="仿宋" w:cs="宋体"/>
                <w:sz w:val="24"/>
              </w:rPr>
              <w:t>年度预算金额</w:t>
            </w:r>
          </w:p>
        </w:tc>
        <w:tc>
          <w:tcPr>
            <w:tcW w:w="6666" w:type="dxa"/>
            <w:vAlign w:val="center"/>
          </w:tcPr>
          <w:p>
            <w:pPr>
              <w:spacing w:line="576" w:lineRule="exact"/>
              <w:ind w:right="880" w:rightChars="419"/>
              <w:jc w:val="center"/>
              <w:rPr>
                <w:rFonts w:ascii="仿宋" w:hAnsi="仿宋" w:eastAsia="仿宋" w:cs="宋体"/>
                <w:sz w:val="24"/>
              </w:rPr>
            </w:pPr>
            <w:r>
              <w:rPr>
                <w:rFonts w:hint="eastAsia" w:ascii="仿宋" w:hAnsi="仿宋" w:eastAsia="仿宋" w:cs="宋体"/>
                <w:sz w:val="24"/>
                <w:lang w:val="en-US" w:eastAsia="zh-CN"/>
              </w:rPr>
              <w:t>8485</w:t>
            </w:r>
            <w:r>
              <w:rPr>
                <w:rFonts w:hint="eastAsia" w:ascii="仿宋" w:hAnsi="仿宋" w:eastAsia="仿宋" w:cs="宋体"/>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 w:hAnsi="仿宋" w:eastAsia="仿宋" w:cs="宋体"/>
                <w:sz w:val="24"/>
              </w:rPr>
            </w:pPr>
          </w:p>
        </w:tc>
        <w:tc>
          <w:tcPr>
            <w:tcW w:w="1985" w:type="dxa"/>
            <w:vAlign w:val="center"/>
          </w:tcPr>
          <w:p>
            <w:pPr>
              <w:spacing w:line="576" w:lineRule="exact"/>
              <w:jc w:val="center"/>
              <w:rPr>
                <w:rFonts w:ascii="仿宋" w:hAnsi="仿宋" w:eastAsia="仿宋" w:cs="宋体"/>
                <w:sz w:val="24"/>
              </w:rPr>
            </w:pPr>
            <w:r>
              <w:rPr>
                <w:rFonts w:hint="eastAsia" w:ascii="仿宋" w:hAnsi="仿宋" w:eastAsia="仿宋" w:cs="宋体"/>
                <w:sz w:val="24"/>
              </w:rPr>
              <w:t>主管部门</w:t>
            </w:r>
          </w:p>
        </w:tc>
        <w:tc>
          <w:tcPr>
            <w:tcW w:w="6666" w:type="dxa"/>
            <w:vAlign w:val="center"/>
          </w:tcPr>
          <w:p>
            <w:pPr>
              <w:spacing w:line="576" w:lineRule="exact"/>
              <w:ind w:right="880" w:rightChars="419"/>
              <w:jc w:val="center"/>
              <w:rPr>
                <w:rFonts w:ascii="仿宋" w:hAnsi="仿宋" w:eastAsia="仿宋" w:cs="宋体"/>
                <w:sz w:val="24"/>
              </w:rPr>
            </w:pPr>
            <w:r>
              <w:rPr>
                <w:rFonts w:hint="eastAsia" w:ascii="仿宋" w:hAnsi="仿宋" w:eastAsia="仿宋" w:cs="宋体"/>
                <w:sz w:val="24"/>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 w:hAnsi="仿宋" w:eastAsia="仿宋" w:cs="宋体"/>
                <w:sz w:val="24"/>
              </w:rPr>
            </w:pPr>
          </w:p>
        </w:tc>
        <w:tc>
          <w:tcPr>
            <w:tcW w:w="1985" w:type="dxa"/>
            <w:vAlign w:val="center"/>
          </w:tcPr>
          <w:p>
            <w:pPr>
              <w:spacing w:line="576" w:lineRule="exact"/>
              <w:jc w:val="center"/>
              <w:rPr>
                <w:rFonts w:ascii="仿宋" w:hAnsi="仿宋" w:eastAsia="仿宋" w:cs="宋体"/>
                <w:sz w:val="24"/>
              </w:rPr>
            </w:pPr>
            <w:r>
              <w:rPr>
                <w:rFonts w:hint="eastAsia" w:ascii="仿宋" w:hAnsi="仿宋" w:eastAsia="仿宋" w:cs="宋体"/>
                <w:sz w:val="24"/>
              </w:rPr>
              <w:t>单位基本职能</w:t>
            </w:r>
          </w:p>
        </w:tc>
        <w:tc>
          <w:tcPr>
            <w:tcW w:w="6666" w:type="dxa"/>
            <w:vAlign w:val="center"/>
          </w:tcPr>
          <w:p>
            <w:pPr>
              <w:spacing w:line="360" w:lineRule="auto"/>
              <w:jc w:val="left"/>
              <w:rPr>
                <w:rFonts w:ascii="仿宋" w:hAnsi="仿宋" w:eastAsia="仿宋" w:cs="宋体"/>
                <w:sz w:val="24"/>
              </w:rPr>
            </w:pPr>
            <w:r>
              <w:rPr>
                <w:rFonts w:hint="eastAsia" w:ascii="仿宋" w:hAnsi="仿宋" w:eastAsia="仿宋" w:cs="宋体"/>
                <w:sz w:val="24"/>
              </w:rPr>
              <w:t>（1）制定和组织实施经济、科技和社会发展计划，制定资源开发技术改造和产业结构调整方案，组织指导好各业生产，搞好</w:t>
            </w:r>
            <w:r>
              <w:fldChar w:fldCharType="begin"/>
            </w:r>
            <w:r>
              <w:instrText xml:space="preserve"> HYPERLINK "https://www.baidu.com/s?wd=%E5%95%86%E5%93%81%E6%B5%81%E9%80%9A&amp;tn=SE_PcZhidaonwhc_ngpagmjz&amp;rsv_dl=gh_pc_zhidao" \t "_blank" </w:instrText>
            </w:r>
            <w:r>
              <w:fldChar w:fldCharType="separate"/>
            </w:r>
            <w:r>
              <w:rPr>
                <w:rStyle w:val="7"/>
                <w:rFonts w:hint="eastAsia" w:ascii="仿宋" w:hAnsi="仿宋" w:eastAsia="仿宋" w:cs="宋体"/>
                <w:color w:val="auto"/>
                <w:sz w:val="24"/>
                <w:u w:val="none"/>
              </w:rPr>
              <w:t>商品流通</w:t>
            </w:r>
            <w:r>
              <w:rPr>
                <w:rStyle w:val="7"/>
                <w:rFonts w:hint="eastAsia" w:ascii="仿宋" w:hAnsi="仿宋" w:eastAsia="仿宋" w:cs="宋体"/>
                <w:color w:val="auto"/>
                <w:sz w:val="24"/>
                <w:u w:val="none"/>
              </w:rPr>
              <w:fldChar w:fldCharType="end"/>
            </w:r>
            <w:r>
              <w:rPr>
                <w:rFonts w:hint="eastAsia" w:ascii="仿宋" w:hAnsi="仿宋" w:eastAsia="仿宋" w:cs="宋体"/>
                <w:sz w:val="24"/>
              </w:rPr>
              <w:t>，协调好本乡与外地区的经济交流与合作，抓好招商引资，</w:t>
            </w:r>
            <w:r>
              <w:fldChar w:fldCharType="begin"/>
            </w:r>
            <w:r>
              <w:instrText xml:space="preserve"> HYPERLINK "https://www.baidu.com/s?wd=%E4%BA%BA%E6%89%8D%E5%BC%95%E8%BF%9B&amp;tn=SE_PcZhidaonwhc_ngpagmjz&amp;rsv_dl=gh_pc_zhidao" \t "_blank" </w:instrText>
            </w:r>
            <w:r>
              <w:fldChar w:fldCharType="separate"/>
            </w:r>
            <w:r>
              <w:rPr>
                <w:rStyle w:val="7"/>
                <w:rFonts w:hint="eastAsia" w:ascii="仿宋" w:hAnsi="仿宋" w:eastAsia="仿宋" w:cs="宋体"/>
                <w:color w:val="auto"/>
                <w:sz w:val="24"/>
                <w:u w:val="none"/>
              </w:rPr>
              <w:t>人才引进</w:t>
            </w:r>
            <w:r>
              <w:rPr>
                <w:rStyle w:val="7"/>
                <w:rFonts w:hint="eastAsia" w:ascii="仿宋" w:hAnsi="仿宋" w:eastAsia="仿宋" w:cs="宋体"/>
                <w:color w:val="auto"/>
                <w:sz w:val="24"/>
                <w:u w:val="none"/>
              </w:rPr>
              <w:fldChar w:fldCharType="end"/>
            </w:r>
            <w:r>
              <w:rPr>
                <w:rFonts w:hint="eastAsia" w:ascii="仿宋" w:hAnsi="仿宋" w:eastAsia="仿宋" w:cs="宋体"/>
                <w:sz w:val="24"/>
              </w:rPr>
              <w:t>项目开发，不断培育市场体系，组织</w:t>
            </w:r>
            <w:r>
              <w:fldChar w:fldCharType="begin"/>
            </w:r>
            <w:r>
              <w:instrText xml:space="preserve"> HYPERLINK "https://www.baidu.com/s?wd=%E7%BB%8F%E6%B5%8E%E8%BF%90%E8%A1%8C&amp;tn=SE_PcZhidaonwhc_ngpagmjz&amp;rsv_dl=gh_pc_zhidao" \t "_blank" </w:instrText>
            </w:r>
            <w:r>
              <w:fldChar w:fldCharType="separate"/>
            </w:r>
            <w:r>
              <w:rPr>
                <w:rStyle w:val="7"/>
                <w:rFonts w:hint="eastAsia" w:ascii="仿宋" w:hAnsi="仿宋" w:eastAsia="仿宋" w:cs="宋体"/>
                <w:color w:val="auto"/>
                <w:sz w:val="24"/>
                <w:u w:val="none"/>
              </w:rPr>
              <w:t>经济运行</w:t>
            </w:r>
            <w:r>
              <w:rPr>
                <w:rStyle w:val="7"/>
                <w:rFonts w:hint="eastAsia" w:ascii="仿宋" w:hAnsi="仿宋" w:eastAsia="仿宋" w:cs="宋体"/>
                <w:color w:val="auto"/>
                <w:sz w:val="24"/>
                <w:u w:val="none"/>
              </w:rPr>
              <w:fldChar w:fldCharType="end"/>
            </w:r>
            <w:r>
              <w:rPr>
                <w:rFonts w:hint="eastAsia" w:ascii="仿宋" w:hAnsi="仿宋" w:eastAsia="仿宋" w:cs="宋体"/>
                <w:sz w:val="24"/>
              </w:rPr>
              <w:t>，促进经济发展。</w:t>
            </w:r>
            <w:r>
              <w:rPr>
                <w:rFonts w:hint="eastAsia" w:ascii="仿宋" w:hAnsi="仿宋" w:eastAsia="仿宋" w:cs="宋体"/>
                <w:sz w:val="24"/>
              </w:rPr>
              <w:br w:type="textWrapping"/>
            </w:r>
            <w:r>
              <w:rPr>
                <w:rFonts w:hint="eastAsia" w:ascii="仿宋" w:hAnsi="仿宋" w:eastAsia="仿宋" w:cs="宋体"/>
                <w:sz w:val="24"/>
              </w:rPr>
              <w:t>（2）制定并组织实施村镇建设规划，部署重点工程建设，地方道路建设及公共设施，水利设施的管理，负责土地、林木、水等自然资源和生态环境的保护，做好护林防火工作。</w:t>
            </w:r>
            <w:r>
              <w:rPr>
                <w:rFonts w:hint="eastAsia" w:ascii="仿宋" w:hAnsi="仿宋" w:eastAsia="仿宋" w:cs="宋体"/>
                <w:sz w:val="24"/>
              </w:rPr>
              <w:br w:type="textWrapping"/>
            </w:r>
            <w:r>
              <w:rPr>
                <w:rFonts w:hint="eastAsia" w:ascii="仿宋" w:hAnsi="仿宋" w:eastAsia="仿宋" w:cs="宋体"/>
                <w:sz w:val="24"/>
              </w:rPr>
              <w:t>（3）负责本行政区域内的民政、计划生育、</w:t>
            </w:r>
            <w:r>
              <w:fldChar w:fldCharType="begin"/>
            </w:r>
            <w:r>
              <w:instrText xml:space="preserve"> HYPERLINK "https://www.baidu.com/s?wd=%E6%96%87%E5%8C%96%E6%95%99%E8%82%B2&amp;tn=SE_PcZhidaonwhc_ngpagmjz&amp;rsv_dl=gh_pc_zhidao" \t "_blank" </w:instrText>
            </w:r>
            <w:r>
              <w:fldChar w:fldCharType="separate"/>
            </w:r>
            <w:r>
              <w:rPr>
                <w:rStyle w:val="7"/>
                <w:rFonts w:hint="eastAsia" w:ascii="仿宋" w:hAnsi="仿宋" w:eastAsia="仿宋" w:cs="宋体"/>
                <w:color w:val="auto"/>
                <w:sz w:val="24"/>
                <w:u w:val="none"/>
              </w:rPr>
              <w:t>文化教育</w:t>
            </w:r>
            <w:r>
              <w:rPr>
                <w:rStyle w:val="7"/>
                <w:rFonts w:hint="eastAsia" w:ascii="仿宋" w:hAnsi="仿宋" w:eastAsia="仿宋" w:cs="宋体"/>
                <w:color w:val="auto"/>
                <w:sz w:val="24"/>
                <w:u w:val="none"/>
              </w:rPr>
              <w:fldChar w:fldCharType="end"/>
            </w:r>
            <w:r>
              <w:rPr>
                <w:rFonts w:hint="eastAsia" w:ascii="仿宋" w:hAnsi="仿宋" w:eastAsia="仿宋" w:cs="宋体"/>
                <w:sz w:val="24"/>
              </w:rPr>
              <w:t>、卫生、体育等社会公益事业的综合性工作，维护一切经济单位和个人的正当经济权益，取缔非法经济活动，调解和处理</w:t>
            </w:r>
            <w:r>
              <w:fldChar w:fldCharType="begin"/>
            </w:r>
            <w:r>
              <w:instrText xml:space="preserve"> HYPERLINK "https://www.baidu.com/s?wd=%E6%B0%91%E4%BA%8B%E7%BA%A0%E7%BA%B7&amp;tn=SE_PcZhidaonwhc_ngpagmjz&amp;rsv_dl=gh_pc_zhidao" \t "_blank" </w:instrText>
            </w:r>
            <w:r>
              <w:fldChar w:fldCharType="separate"/>
            </w:r>
            <w:r>
              <w:rPr>
                <w:rStyle w:val="7"/>
                <w:rFonts w:hint="eastAsia" w:ascii="仿宋" w:hAnsi="仿宋" w:eastAsia="仿宋" w:cs="宋体"/>
                <w:color w:val="auto"/>
                <w:sz w:val="24"/>
                <w:u w:val="none"/>
              </w:rPr>
              <w:t>民事纠纷</w:t>
            </w:r>
            <w:r>
              <w:rPr>
                <w:rStyle w:val="7"/>
                <w:rFonts w:hint="eastAsia" w:ascii="仿宋" w:hAnsi="仿宋" w:eastAsia="仿宋" w:cs="宋体"/>
                <w:color w:val="auto"/>
                <w:sz w:val="24"/>
                <w:u w:val="none"/>
              </w:rPr>
              <w:fldChar w:fldCharType="end"/>
            </w:r>
            <w:r>
              <w:rPr>
                <w:rFonts w:hint="eastAsia" w:ascii="仿宋" w:hAnsi="仿宋" w:eastAsia="仿宋" w:cs="宋体"/>
                <w:sz w:val="24"/>
              </w:rPr>
              <w:t>，打击刑事犯罪维护社会稳定。</w:t>
            </w:r>
            <w:r>
              <w:rPr>
                <w:rFonts w:hint="eastAsia" w:ascii="仿宋" w:hAnsi="仿宋" w:eastAsia="仿宋" w:cs="宋体"/>
                <w:sz w:val="24"/>
              </w:rPr>
              <w:br w:type="textWrapping"/>
            </w:r>
            <w:r>
              <w:rPr>
                <w:rFonts w:hint="eastAsia" w:ascii="仿宋" w:hAnsi="仿宋" w:eastAsia="仿宋" w:cs="宋体"/>
                <w:sz w:val="24"/>
              </w:rPr>
              <w:t>（4）按计划组织本级财政收入和地方税的征收，完成国家财政计划，不断培植税源，管好财政资金，增强财政实力。</w:t>
            </w:r>
            <w:r>
              <w:rPr>
                <w:rFonts w:hint="eastAsia" w:ascii="仿宋" w:hAnsi="仿宋" w:eastAsia="仿宋" w:cs="宋体"/>
                <w:sz w:val="24"/>
              </w:rPr>
              <w:br w:type="textWrapping"/>
            </w:r>
            <w:r>
              <w:rPr>
                <w:rFonts w:hint="eastAsia" w:ascii="仿宋" w:hAnsi="仿宋" w:eastAsia="仿宋" w:cs="宋体"/>
                <w:sz w:val="24"/>
              </w:rPr>
              <w:t>（5）抓好精神文明建设，丰富</w:t>
            </w:r>
            <w:r>
              <w:fldChar w:fldCharType="begin"/>
            </w:r>
            <w:r>
              <w:instrText xml:space="preserve"> HYPERLINK "https://www.baidu.com/s?wd=%E7%BE%A4%E4%BC%97%E6%96%87%E5%8C%96&amp;tn=SE_PcZhidaonwhc_ngpagmjz&amp;rsv_dl=gh_pc_zhidao" \t "_blank" </w:instrText>
            </w:r>
            <w:r>
              <w:fldChar w:fldCharType="separate"/>
            </w:r>
            <w:r>
              <w:rPr>
                <w:rStyle w:val="7"/>
                <w:rFonts w:hint="eastAsia" w:ascii="仿宋" w:hAnsi="仿宋" w:eastAsia="仿宋" w:cs="宋体"/>
                <w:color w:val="auto"/>
                <w:sz w:val="24"/>
                <w:u w:val="none"/>
              </w:rPr>
              <w:t>群众文化</w:t>
            </w:r>
            <w:r>
              <w:rPr>
                <w:rStyle w:val="7"/>
                <w:rFonts w:hint="eastAsia" w:ascii="仿宋" w:hAnsi="仿宋" w:eastAsia="仿宋" w:cs="宋体"/>
                <w:color w:val="auto"/>
                <w:sz w:val="24"/>
                <w:u w:val="none"/>
              </w:rPr>
              <w:fldChar w:fldCharType="end"/>
            </w:r>
            <w:r>
              <w:rPr>
                <w:rFonts w:hint="eastAsia" w:ascii="仿宋" w:hAnsi="仿宋" w:eastAsia="仿宋" w:cs="宋体"/>
                <w:sz w:val="24"/>
              </w:rPr>
              <w:t>生活，提倡移风易俗，反对封建迷信，破除陈规陋习，树立社会主义新风尚。</w:t>
            </w:r>
            <w:r>
              <w:rPr>
                <w:rFonts w:hint="eastAsia" w:ascii="仿宋" w:hAnsi="仿宋" w:eastAsia="仿宋" w:cs="宋体"/>
                <w:sz w:val="24"/>
              </w:rPr>
              <w:br w:type="textWrapping"/>
            </w:r>
            <w:r>
              <w:rPr>
                <w:rFonts w:hint="eastAsia" w:ascii="仿宋" w:hAnsi="仿宋" w:eastAsia="仿宋" w:cs="宋体"/>
                <w:sz w:val="24"/>
              </w:rPr>
              <w:t>（6）完成上级政府交办的其它事项。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384" w:type="dxa"/>
            <w:vMerge w:val="restart"/>
            <w:vAlign w:val="center"/>
          </w:tcPr>
          <w:p>
            <w:pPr>
              <w:spacing w:line="576" w:lineRule="exact"/>
              <w:jc w:val="center"/>
              <w:rPr>
                <w:rFonts w:ascii="仿宋" w:hAnsi="仿宋" w:eastAsia="仿宋" w:cs="宋体"/>
                <w:sz w:val="24"/>
              </w:rPr>
            </w:pPr>
            <w:r>
              <w:rPr>
                <w:rFonts w:hint="eastAsia" w:ascii="仿宋" w:hAnsi="仿宋" w:eastAsia="仿宋" w:cs="宋体"/>
                <w:sz w:val="24"/>
              </w:rPr>
              <w:t>绩效完成情况</w:t>
            </w:r>
          </w:p>
        </w:tc>
        <w:tc>
          <w:tcPr>
            <w:tcW w:w="1985" w:type="dxa"/>
            <w:vAlign w:val="center"/>
          </w:tcPr>
          <w:p>
            <w:pPr>
              <w:spacing w:line="576" w:lineRule="exact"/>
              <w:jc w:val="center"/>
              <w:rPr>
                <w:rFonts w:ascii="仿宋" w:hAnsi="仿宋" w:eastAsia="仿宋" w:cs="宋体"/>
                <w:sz w:val="24"/>
              </w:rPr>
            </w:pPr>
            <w:r>
              <w:rPr>
                <w:rFonts w:hint="eastAsia" w:ascii="仿宋" w:hAnsi="仿宋" w:eastAsia="仿宋" w:cs="宋体"/>
                <w:sz w:val="24"/>
              </w:rPr>
              <w:t>部门整体支出管理和使用基本情况</w:t>
            </w:r>
          </w:p>
        </w:tc>
        <w:tc>
          <w:tcPr>
            <w:tcW w:w="6666" w:type="dxa"/>
            <w:vAlign w:val="center"/>
          </w:tcPr>
          <w:p>
            <w:pPr>
              <w:spacing w:line="360" w:lineRule="auto"/>
              <w:jc w:val="left"/>
              <w:rPr>
                <w:rFonts w:ascii="仿宋" w:hAnsi="仿宋" w:eastAsia="仿宋" w:cs="宋体"/>
                <w:sz w:val="24"/>
              </w:rPr>
            </w:pPr>
            <w:r>
              <w:rPr>
                <w:rFonts w:hint="eastAsia" w:ascii="仿宋" w:hAnsi="仿宋" w:eastAsia="仿宋" w:cs="宋体"/>
                <w:sz w:val="24"/>
              </w:rPr>
              <w:t>始终认真贯彻执行《会计法》、《预算法》、《行政单位会计制度》等法律法规，各项经费支出严格按照政府采购、国库集中支付等有关规定执行。同时我镇先后制订了《湘潭县易俗河镇预算管理制度》、《湘潭县易俗河镇政府采购管理办法》、《湘潭县易俗河镇财务管理制度》、《湘潭县易俗河镇支出管理制度》、《湘潭县易俗河镇固定资产管理办法》等相关制度，明确了经费审批权限及程序，经费预算、核算管理、资产购置与处置、财务监督等。在“三公”经费管理方面，规范了公务接待的审批管理，较好地控制了行政运行成本。</w:t>
            </w:r>
          </w:p>
          <w:p>
            <w:pPr>
              <w:spacing w:line="360" w:lineRule="auto"/>
              <w:ind w:firstLine="480" w:firstLineChars="200"/>
              <w:jc w:val="left"/>
              <w:rPr>
                <w:rFonts w:ascii="仿宋" w:hAnsi="仿宋" w:eastAsia="仿宋" w:cs="宋体"/>
                <w:sz w:val="24"/>
              </w:rPr>
            </w:pPr>
            <w:r>
              <w:rPr>
                <w:rFonts w:hint="eastAsia" w:ascii="仿宋" w:hAnsi="仿宋" w:eastAsia="仿宋" w:cs="宋体"/>
                <w:sz w:val="24"/>
              </w:rPr>
              <w:t>202</w:t>
            </w:r>
            <w:r>
              <w:rPr>
                <w:rFonts w:hint="eastAsia" w:ascii="仿宋" w:hAnsi="仿宋" w:eastAsia="仿宋" w:cs="宋体"/>
                <w:sz w:val="24"/>
                <w:lang w:val="en-US" w:eastAsia="zh-CN"/>
              </w:rPr>
              <w:t>3</w:t>
            </w:r>
            <w:r>
              <w:rPr>
                <w:rFonts w:hint="eastAsia" w:ascii="仿宋" w:hAnsi="仿宋" w:eastAsia="仿宋" w:cs="宋体"/>
                <w:sz w:val="24"/>
              </w:rPr>
              <w:t>年部门整体支出</w:t>
            </w:r>
            <w:r>
              <w:rPr>
                <w:rFonts w:hint="eastAsia" w:ascii="仿宋" w:hAnsi="仿宋" w:eastAsia="仿宋" w:cs="宋体"/>
                <w:sz w:val="24"/>
                <w:lang w:val="en-US" w:eastAsia="zh-CN"/>
              </w:rPr>
              <w:t>8485</w:t>
            </w:r>
            <w:r>
              <w:rPr>
                <w:rFonts w:hint="eastAsia" w:ascii="仿宋" w:hAnsi="仿宋" w:eastAsia="仿宋" w:cs="宋体"/>
                <w:sz w:val="24"/>
              </w:rPr>
              <w:t>万元，按支出性质分类为：基本支出</w:t>
            </w:r>
            <w:r>
              <w:rPr>
                <w:rFonts w:hint="eastAsia" w:ascii="仿宋" w:hAnsi="仿宋" w:eastAsia="仿宋" w:cs="宋体"/>
                <w:sz w:val="24"/>
                <w:lang w:val="en-US" w:eastAsia="zh-CN"/>
              </w:rPr>
              <w:t>8472</w:t>
            </w:r>
            <w:r>
              <w:rPr>
                <w:rFonts w:hint="eastAsia" w:ascii="仿宋" w:hAnsi="仿宋" w:eastAsia="仿宋" w:cs="宋体"/>
                <w:sz w:val="24"/>
              </w:rPr>
              <w:t>万元（其中：一般公共服务支出</w:t>
            </w:r>
            <w:r>
              <w:rPr>
                <w:rFonts w:hint="eastAsia" w:ascii="仿宋" w:hAnsi="仿宋" w:eastAsia="仿宋" w:cs="宋体"/>
                <w:sz w:val="24"/>
                <w:lang w:val="en-US" w:eastAsia="zh-CN"/>
              </w:rPr>
              <w:t>5509.17</w:t>
            </w:r>
            <w:r>
              <w:rPr>
                <w:rFonts w:hint="eastAsia" w:ascii="仿宋" w:hAnsi="仿宋" w:eastAsia="仿宋" w:cs="宋体"/>
                <w:sz w:val="24"/>
              </w:rPr>
              <w:t>万元，公共安全支出</w:t>
            </w:r>
            <w:r>
              <w:rPr>
                <w:rFonts w:hint="eastAsia" w:ascii="仿宋" w:hAnsi="仿宋" w:eastAsia="仿宋" w:cs="宋体"/>
                <w:sz w:val="24"/>
                <w:lang w:val="en-US" w:eastAsia="zh-CN"/>
              </w:rPr>
              <w:t>155.89</w:t>
            </w:r>
            <w:r>
              <w:rPr>
                <w:rFonts w:hint="eastAsia" w:ascii="仿宋" w:hAnsi="仿宋" w:eastAsia="仿宋" w:cs="宋体"/>
                <w:sz w:val="24"/>
              </w:rPr>
              <w:t>万元，文化体育与传媒支出</w:t>
            </w:r>
            <w:r>
              <w:rPr>
                <w:rFonts w:hint="eastAsia" w:ascii="仿宋" w:hAnsi="仿宋" w:eastAsia="仿宋" w:cs="宋体"/>
                <w:sz w:val="24"/>
                <w:lang w:val="en-US" w:eastAsia="zh-CN"/>
              </w:rPr>
              <w:t>0.61</w:t>
            </w:r>
            <w:r>
              <w:rPr>
                <w:rFonts w:hint="eastAsia" w:ascii="仿宋" w:hAnsi="仿宋" w:eastAsia="仿宋" w:cs="宋体"/>
                <w:sz w:val="24"/>
              </w:rPr>
              <w:t>万元，社会保障和就业支出</w:t>
            </w:r>
            <w:r>
              <w:rPr>
                <w:rFonts w:ascii="仿宋" w:hAnsi="仿宋" w:eastAsia="仿宋" w:cs="宋体"/>
                <w:sz w:val="24"/>
              </w:rPr>
              <w:t>4</w:t>
            </w:r>
            <w:r>
              <w:rPr>
                <w:rFonts w:hint="eastAsia" w:ascii="仿宋" w:hAnsi="仿宋" w:eastAsia="仿宋" w:cs="宋体"/>
                <w:sz w:val="24"/>
                <w:lang w:val="en-US" w:eastAsia="zh-CN"/>
              </w:rPr>
              <w:t>9</w:t>
            </w:r>
            <w:r>
              <w:rPr>
                <w:rFonts w:ascii="仿宋" w:hAnsi="仿宋" w:eastAsia="仿宋" w:cs="宋体"/>
                <w:sz w:val="24"/>
              </w:rPr>
              <w:t>4.</w:t>
            </w:r>
            <w:r>
              <w:rPr>
                <w:rFonts w:hint="eastAsia" w:ascii="仿宋" w:hAnsi="仿宋" w:eastAsia="仿宋" w:cs="宋体"/>
                <w:sz w:val="24"/>
                <w:lang w:val="en-US" w:eastAsia="zh-CN"/>
              </w:rPr>
              <w:t>50</w:t>
            </w:r>
            <w:r>
              <w:rPr>
                <w:rFonts w:hint="eastAsia" w:ascii="仿宋" w:hAnsi="仿宋" w:eastAsia="仿宋" w:cs="宋体"/>
                <w:sz w:val="24"/>
              </w:rPr>
              <w:t>万元，卫健康支出</w:t>
            </w:r>
            <w:r>
              <w:rPr>
                <w:rFonts w:ascii="仿宋" w:hAnsi="仿宋" w:eastAsia="仿宋" w:cs="宋体"/>
                <w:sz w:val="24"/>
              </w:rPr>
              <w:t>3</w:t>
            </w:r>
            <w:r>
              <w:rPr>
                <w:rFonts w:hint="eastAsia" w:ascii="仿宋" w:hAnsi="仿宋" w:eastAsia="仿宋" w:cs="宋体"/>
                <w:sz w:val="24"/>
                <w:lang w:val="en-US" w:eastAsia="zh-CN"/>
              </w:rPr>
              <w:t>88</w:t>
            </w:r>
            <w:r>
              <w:rPr>
                <w:rFonts w:ascii="仿宋" w:hAnsi="仿宋" w:eastAsia="仿宋" w:cs="宋体"/>
                <w:sz w:val="24"/>
              </w:rPr>
              <w:t>.</w:t>
            </w:r>
            <w:r>
              <w:rPr>
                <w:rFonts w:hint="eastAsia" w:ascii="仿宋" w:hAnsi="仿宋" w:eastAsia="仿宋" w:cs="宋体"/>
                <w:sz w:val="24"/>
                <w:lang w:val="en-US" w:eastAsia="zh-CN"/>
              </w:rPr>
              <w:t>6</w:t>
            </w:r>
            <w:r>
              <w:rPr>
                <w:rFonts w:ascii="仿宋" w:hAnsi="仿宋" w:eastAsia="仿宋" w:cs="宋体"/>
                <w:sz w:val="24"/>
              </w:rPr>
              <w:t>5</w:t>
            </w:r>
            <w:r>
              <w:rPr>
                <w:rFonts w:hint="eastAsia" w:ascii="仿宋" w:hAnsi="仿宋" w:eastAsia="仿宋" w:cs="宋体"/>
                <w:sz w:val="24"/>
              </w:rPr>
              <w:t>万元，节能环保支出</w:t>
            </w:r>
            <w:r>
              <w:rPr>
                <w:rFonts w:hint="eastAsia" w:ascii="仿宋" w:hAnsi="仿宋" w:eastAsia="仿宋" w:cs="宋体"/>
                <w:sz w:val="24"/>
                <w:lang w:val="en-US" w:eastAsia="zh-CN"/>
              </w:rPr>
              <w:t>20.27</w:t>
            </w:r>
            <w:r>
              <w:rPr>
                <w:rFonts w:hint="eastAsia" w:ascii="仿宋" w:hAnsi="仿宋" w:eastAsia="仿宋" w:cs="宋体"/>
                <w:sz w:val="24"/>
              </w:rPr>
              <w:t>万元，城乡社区支出</w:t>
            </w:r>
            <w:r>
              <w:rPr>
                <w:rFonts w:ascii="仿宋" w:hAnsi="仿宋" w:eastAsia="仿宋" w:cs="宋体"/>
                <w:sz w:val="24"/>
              </w:rPr>
              <w:t>20</w:t>
            </w:r>
            <w:r>
              <w:rPr>
                <w:rFonts w:hint="eastAsia" w:ascii="仿宋" w:hAnsi="仿宋" w:eastAsia="仿宋" w:cs="宋体"/>
                <w:sz w:val="24"/>
              </w:rPr>
              <w:t>万元，农林水支出</w:t>
            </w:r>
            <w:r>
              <w:rPr>
                <w:rFonts w:ascii="仿宋" w:hAnsi="仿宋" w:eastAsia="仿宋" w:cs="宋体"/>
                <w:sz w:val="24"/>
              </w:rPr>
              <w:t>1</w:t>
            </w:r>
            <w:r>
              <w:rPr>
                <w:rFonts w:hint="eastAsia" w:ascii="仿宋" w:hAnsi="仿宋" w:eastAsia="仿宋" w:cs="宋体"/>
                <w:sz w:val="24"/>
                <w:lang w:val="en-US" w:eastAsia="zh-CN"/>
              </w:rPr>
              <w:t>562.34</w:t>
            </w:r>
            <w:r>
              <w:rPr>
                <w:rFonts w:hint="eastAsia" w:ascii="仿宋" w:hAnsi="仿宋" w:eastAsia="仿宋" w:cs="宋体"/>
                <w:sz w:val="24"/>
              </w:rPr>
              <w:t>万元，住房保障支出</w:t>
            </w:r>
            <w:r>
              <w:rPr>
                <w:rFonts w:hint="eastAsia" w:ascii="仿宋" w:hAnsi="仿宋" w:eastAsia="仿宋" w:cs="宋体"/>
                <w:sz w:val="24"/>
                <w:lang w:val="en-US" w:eastAsia="zh-CN"/>
              </w:rPr>
              <w:t>303.55万元</w:t>
            </w:r>
            <w:r>
              <w:rPr>
                <w:rFonts w:hint="eastAsia" w:ascii="仿宋" w:hAnsi="仿宋" w:eastAsia="仿宋" w:cs="宋体"/>
                <w:sz w:val="24"/>
              </w:rPr>
              <w:t>，灾害防治及应急管理支出</w:t>
            </w:r>
            <w:r>
              <w:rPr>
                <w:rFonts w:ascii="仿宋" w:hAnsi="仿宋" w:eastAsia="仿宋" w:cs="宋体"/>
                <w:sz w:val="24"/>
              </w:rPr>
              <w:t>1</w:t>
            </w:r>
            <w:r>
              <w:rPr>
                <w:rFonts w:hint="eastAsia" w:ascii="仿宋" w:hAnsi="仿宋" w:eastAsia="仿宋" w:cs="宋体"/>
                <w:sz w:val="24"/>
              </w:rPr>
              <w:t>万元），</w:t>
            </w:r>
            <w:r>
              <w:rPr>
                <w:rFonts w:hint="eastAsia" w:ascii="仿宋" w:hAnsi="仿宋" w:eastAsia="仿宋" w:cs="宋体"/>
                <w:sz w:val="24"/>
                <w:lang w:val="en-US" w:eastAsia="zh-CN"/>
              </w:rPr>
              <w:t>项目支出-福彩公益</w:t>
            </w:r>
            <w:r>
              <w:rPr>
                <w:rFonts w:hint="eastAsia" w:ascii="仿宋" w:hAnsi="仿宋" w:eastAsia="仿宋" w:cs="宋体"/>
                <w:sz w:val="24"/>
              </w:rPr>
              <w:t>支出1</w:t>
            </w:r>
            <w:r>
              <w:rPr>
                <w:rFonts w:ascii="仿宋" w:hAnsi="仿宋" w:eastAsia="仿宋" w:cs="宋体"/>
                <w:sz w:val="24"/>
              </w:rPr>
              <w:t>3</w:t>
            </w:r>
            <w:r>
              <w:rPr>
                <w:rFonts w:hint="eastAsia" w:ascii="仿宋" w:hAnsi="仿宋" w:eastAsia="仿宋" w:cs="宋体"/>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pPr>
              <w:spacing w:line="576" w:lineRule="exact"/>
              <w:jc w:val="center"/>
              <w:rPr>
                <w:rFonts w:ascii="仿宋" w:hAnsi="仿宋" w:eastAsia="仿宋" w:cs="宋体"/>
                <w:sz w:val="24"/>
              </w:rPr>
            </w:pPr>
          </w:p>
        </w:tc>
        <w:tc>
          <w:tcPr>
            <w:tcW w:w="1985" w:type="dxa"/>
            <w:vAlign w:val="center"/>
          </w:tcPr>
          <w:p>
            <w:pPr>
              <w:spacing w:line="576" w:lineRule="exact"/>
              <w:jc w:val="center"/>
              <w:rPr>
                <w:rFonts w:ascii="仿宋" w:hAnsi="仿宋" w:eastAsia="仿宋" w:cs="宋体"/>
                <w:sz w:val="24"/>
              </w:rPr>
            </w:pPr>
            <w:r>
              <w:rPr>
                <w:rFonts w:hint="eastAsia" w:ascii="仿宋" w:hAnsi="仿宋" w:eastAsia="仿宋" w:cs="宋体"/>
                <w:sz w:val="24"/>
              </w:rPr>
              <w:t>绩效目标完成情况</w:t>
            </w:r>
          </w:p>
        </w:tc>
        <w:tc>
          <w:tcPr>
            <w:tcW w:w="6666" w:type="dxa"/>
            <w:vAlign w:val="center"/>
          </w:tcPr>
          <w:p>
            <w:pPr>
              <w:spacing w:line="560" w:lineRule="exact"/>
              <w:ind w:firstLine="480" w:firstLineChars="200"/>
              <w:rPr>
                <w:rFonts w:hint="eastAsia" w:ascii="仿宋" w:hAnsi="仿宋" w:eastAsia="仿宋" w:cs="宋体"/>
                <w:sz w:val="24"/>
              </w:rPr>
            </w:pPr>
            <w:r>
              <w:rPr>
                <w:rFonts w:hint="eastAsia" w:ascii="仿宋" w:hAnsi="仿宋" w:eastAsia="仿宋" w:cs="宋体"/>
                <w:sz w:val="24"/>
              </w:rPr>
              <w:t>2023年，是全面贯彻党的二十大精神的开局之年，是“十四五”规划承上启下的关键之年。今年以来，在县委、县政府的坚强领导下，在镇人大的监督支持下，在社会各界的大力支持下，易俗河镇始终坚持以习近平新时代中国特色社会主义思想为指导，团结带领全镇人民，凝心聚力抓经济促发展，齐心协力稳大局惠民生。紧紧围绕打造“三高四新”的总体目标，努力实现“三提一领”发展目标，发挥区位优势，突出产业支撑，狠抓项目建设，全面发展社会各项事业，较好地完成了镇第二届人大三次会议确定的目标任务，全镇保持经济平稳发展、民生持续改善、社会和谐稳定的良好局面。</w:t>
            </w:r>
          </w:p>
          <w:p>
            <w:pPr>
              <w:spacing w:line="560" w:lineRule="exact"/>
              <w:ind w:firstLine="480" w:firstLineChars="200"/>
              <w:rPr>
                <w:rFonts w:hint="eastAsia" w:ascii="仿宋" w:hAnsi="仿宋" w:eastAsia="仿宋" w:cs="宋体"/>
                <w:sz w:val="24"/>
              </w:rPr>
            </w:pPr>
            <w:r>
              <w:rPr>
                <w:rFonts w:hint="eastAsia" w:ascii="仿宋" w:hAnsi="仿宋" w:eastAsia="仿宋" w:cs="宋体"/>
                <w:sz w:val="24"/>
              </w:rPr>
              <w:t>这一年，我们抓产业、促经济，发展质量日趋优化。一是经济发展情况稳中求进。截至11月30日，完成税收任务18800万元，非税收入260.4万元，固定资产投资入库9.86亿元，入统6.28亿元。镇规模以上企业16家，完成工业总产值7.2亿元，同比增长15%。</w:t>
            </w:r>
          </w:p>
          <w:p>
            <w:pPr>
              <w:spacing w:line="560" w:lineRule="exact"/>
              <w:ind w:firstLine="480" w:firstLineChars="200"/>
              <w:rPr>
                <w:rFonts w:hint="eastAsia" w:ascii="仿宋" w:hAnsi="仿宋" w:eastAsia="仿宋" w:cs="宋体"/>
                <w:sz w:val="24"/>
              </w:rPr>
            </w:pPr>
            <w:r>
              <w:rPr>
                <w:rFonts w:hint="eastAsia" w:ascii="仿宋" w:hAnsi="仿宋" w:eastAsia="仿宋" w:cs="宋体"/>
                <w:sz w:val="24"/>
              </w:rPr>
              <w:t>二是项目产业建设有序推进。坚持助企纾困和激发活力两措并举，有力有序地推进白云建材小镇招商引资。今年来共引进金蒽电机集团有限公司、新锌新材料有限公司、润钠金属有限公司3家“湘商回归”企业，完成白云建材小镇土地报批批文7.109公顷。完成了园区国防光缆等通信线路的迁改，四家企业组团入驻，共筹资1000余万元。</w:t>
            </w:r>
          </w:p>
          <w:p>
            <w:pPr>
              <w:spacing w:line="560" w:lineRule="exact"/>
              <w:ind w:firstLine="480" w:firstLineChars="200"/>
              <w:rPr>
                <w:rFonts w:hint="eastAsia" w:ascii="仿宋" w:hAnsi="仿宋" w:eastAsia="仿宋" w:cs="宋体"/>
                <w:sz w:val="24"/>
              </w:rPr>
            </w:pPr>
            <w:r>
              <w:rPr>
                <w:rFonts w:hint="eastAsia" w:ascii="仿宋" w:hAnsi="仿宋" w:eastAsia="仿宋" w:cs="宋体"/>
                <w:sz w:val="24"/>
              </w:rPr>
              <w:t>三是服务园区工作凝心聚力。成立服务天易经开区发展工作专班，切实做好天易经开区社会事务移交的承接工作，开展项目征拆及周边矛盾化解工作。完成柏屹工业园2.2期项目征拆工作，参与配合飞羊西路项目、中润科技项目、八角村电力管网项目、湘江一号项目等项目的征拆及周边群众工作，承接了因项目建设导致缺水的村（社区）灌井水、饮用水送水工程，坚定不移地助力“五好”园区和国家级经开区的创建。</w:t>
            </w:r>
          </w:p>
          <w:p>
            <w:pPr>
              <w:spacing w:line="560" w:lineRule="exact"/>
              <w:ind w:firstLine="480" w:firstLineChars="200"/>
              <w:rPr>
                <w:rFonts w:hint="eastAsia" w:ascii="仿宋" w:hAnsi="仿宋" w:eastAsia="仿宋" w:cs="宋体"/>
                <w:sz w:val="24"/>
              </w:rPr>
            </w:pPr>
            <w:r>
              <w:rPr>
                <w:rFonts w:hint="eastAsia" w:ascii="仿宋" w:hAnsi="仿宋" w:eastAsia="仿宋" w:cs="宋体"/>
                <w:sz w:val="24"/>
              </w:rPr>
              <w:t>四是政企营商环境持续优化。结合“百名干部进企业”活动，建立“一名党政负责人+一名联系干部”的结对联系走访机制，实地走访企业20余次，收集建议12条，发放惠企政策口袋书40余本。先后协助企业完成了润钠科技的申报立项、金蒽电机的税收转移和证照办理、新锌新材料的初创帮扶、洛口医药（批发）有限公司的指导和省级验收，帮助腾宇设备称重有限公司等6家企业从银行获得贷款资金1200万元。</w:t>
            </w:r>
          </w:p>
          <w:p>
            <w:pPr>
              <w:spacing w:line="560" w:lineRule="exact"/>
              <w:ind w:firstLine="480" w:firstLineChars="200"/>
              <w:rPr>
                <w:rFonts w:hint="eastAsia" w:ascii="仿宋" w:hAnsi="仿宋" w:eastAsia="仿宋" w:cs="宋体"/>
                <w:sz w:val="24"/>
              </w:rPr>
            </w:pPr>
            <w:r>
              <w:rPr>
                <w:rFonts w:hint="eastAsia" w:ascii="仿宋" w:hAnsi="仿宋" w:eastAsia="仿宋" w:cs="宋体"/>
                <w:sz w:val="24"/>
              </w:rPr>
              <w:t>这一年，我们抓民生、解民忧，发展局面更加和谐。一是基础设施建设不断完善。完成冬春水利建设检查验收43处；协调配合县级项目3个；汛前对13处排涝机埠、11座水库、29.14km堤防、82处涵闸等进行全面检查检修，确保汛期运转正常；完成水利图斑核查73处并全部上报录入影像资料；2023年全镇硬化村道2.327公里，麦子石至石塘公路资源产业路项目，全线1.66公里已按四级公路标准全面完成施工。总面积6019㎡破板维修项目今年已全面完成并验收合格。</w:t>
            </w:r>
          </w:p>
          <w:p>
            <w:pPr>
              <w:spacing w:line="560" w:lineRule="exact"/>
              <w:ind w:firstLine="480" w:firstLineChars="200"/>
              <w:rPr>
                <w:rFonts w:hint="eastAsia" w:ascii="仿宋" w:hAnsi="仿宋" w:eastAsia="仿宋" w:cs="宋体"/>
                <w:sz w:val="24"/>
              </w:rPr>
            </w:pPr>
            <w:r>
              <w:rPr>
                <w:rFonts w:hint="eastAsia" w:ascii="仿宋" w:hAnsi="仿宋" w:eastAsia="仿宋" w:cs="宋体"/>
                <w:sz w:val="24"/>
              </w:rPr>
              <w:t>二是民生实事全面落实。截至11月30日，完成就业失业登记1918人，为失业人员、就业困难人员提供“311”服务20398人次，推荐岗位16004人次，推荐职业培训57人次，职业指导4337人次。认真组织开展12期职业技能和就业创业培训，共组织培训学员600余人。100%完成0至6岁儿童康复训练；100%完成残疾人无障碍改造项目，12户都顺利通过验收。列入危房改造计划13户，其中第一批次完成验收9户；同时对城镇困难群体保障性住房申请进行前置审核把关，完成审核6次，保障人口数10人。</w:t>
            </w:r>
          </w:p>
          <w:p>
            <w:pPr>
              <w:spacing w:line="560" w:lineRule="exact"/>
              <w:ind w:firstLine="480" w:firstLineChars="200"/>
              <w:rPr>
                <w:rFonts w:hint="eastAsia" w:ascii="仿宋" w:hAnsi="仿宋" w:eastAsia="仿宋" w:cs="宋体"/>
                <w:sz w:val="24"/>
              </w:rPr>
            </w:pPr>
            <w:r>
              <w:rPr>
                <w:rFonts w:hint="eastAsia" w:ascii="仿宋" w:hAnsi="仿宋" w:eastAsia="仿宋" w:cs="宋体"/>
                <w:sz w:val="24"/>
              </w:rPr>
              <w:t>三是便民服务高效提质。通过利用“互联网+政务服务”一体化平台，镇村两级累计办件量达7000余件，事项覆盖率达到90%，即办件率达到65%。持续推进“一件事一次办”，积极开展“湘易办”APP推广，共完成推广注册28000余次。</w:t>
            </w:r>
          </w:p>
          <w:p>
            <w:pPr>
              <w:spacing w:line="560" w:lineRule="exact"/>
              <w:ind w:firstLine="480" w:firstLineChars="200"/>
              <w:rPr>
                <w:rFonts w:hint="eastAsia" w:ascii="仿宋" w:hAnsi="仿宋" w:eastAsia="仿宋" w:cs="宋体"/>
                <w:sz w:val="24"/>
              </w:rPr>
            </w:pPr>
            <w:r>
              <w:rPr>
                <w:rFonts w:hint="eastAsia" w:ascii="仿宋" w:hAnsi="仿宋" w:eastAsia="仿宋" w:cs="宋体"/>
                <w:sz w:val="24"/>
              </w:rPr>
              <w:t>四是社会保障不断加强。今年来共发放91项惠农惠民补贴5067.40万元，享受农机购置补贴5套，发放补贴资金2.4万元。城市低保享受对象723户1122人，月累计发放资金47.31万元；农村低保户1235户，月发放补贴34.62万元。严格落实医保收缴工作责任，落实上户收缴、代缴、催缴。切实做好特殊困难群体参保缴费工作，确保特殊困难群体参保率和代缴率达100%。</w:t>
            </w:r>
          </w:p>
          <w:p>
            <w:pPr>
              <w:spacing w:line="560" w:lineRule="exact"/>
              <w:ind w:firstLine="480" w:firstLineChars="200"/>
              <w:rPr>
                <w:rFonts w:hint="eastAsia" w:ascii="仿宋" w:hAnsi="仿宋" w:eastAsia="仿宋" w:cs="宋体"/>
                <w:sz w:val="24"/>
              </w:rPr>
            </w:pPr>
            <w:r>
              <w:rPr>
                <w:rFonts w:hint="eastAsia" w:ascii="仿宋" w:hAnsi="仿宋" w:eastAsia="仿宋" w:cs="宋体"/>
                <w:sz w:val="24"/>
              </w:rPr>
              <w:t>这一年，我们抓振兴、重宜居，发展面貌不断改善。一是粮食安全工作稳步推进。落实最严格的耕地保护制度，严防死守9.1161万亩耕地红线，坚决遏制耕地“非农化”、防止“非粮化”。全镇粮食总种植面积11.3279万亩，总产5.3437万吨。完成了48567亩污染耕地治理，受污染耕地安全利用率达到91％以上，推广8000亩镉低积累水稻品种“臻两优8612”。今年完成1556.8亩耕地恢复，超额完成任务数，此项工作得到市、县认可，全市耕地保护现场推进会于11月9日在我镇召开。</w:t>
            </w:r>
          </w:p>
          <w:p>
            <w:pPr>
              <w:spacing w:line="560" w:lineRule="exact"/>
              <w:ind w:firstLine="480" w:firstLineChars="200"/>
              <w:rPr>
                <w:rFonts w:hint="eastAsia" w:ascii="仿宋" w:hAnsi="仿宋" w:eastAsia="仿宋" w:cs="宋体"/>
                <w:sz w:val="24"/>
              </w:rPr>
            </w:pPr>
            <w:r>
              <w:rPr>
                <w:rFonts w:hint="eastAsia" w:ascii="仿宋" w:hAnsi="仿宋" w:eastAsia="仿宋" w:cs="宋体"/>
                <w:sz w:val="24"/>
              </w:rPr>
              <w:t>二是脱贫成果持续巩固。今年共开展两轮防止返贫监测帮扶集中排查工作，对258名对象进行“一户一画像”；接收并消除疑似返贫风险点预警180条；坚持“应贷尽贷”，完成161户脱贫人口小额信贷工作；帮扶低收入脱贫人口和监测户160户、376户，共发放淮南草鸡9776羽、4.8万斤化肥等生产资料；春季雨露计划申报学生70人，补助金额10.5万元；继续开发安置脱贫人口46人。</w:t>
            </w:r>
          </w:p>
          <w:p>
            <w:pPr>
              <w:spacing w:line="560" w:lineRule="exact"/>
              <w:ind w:firstLine="480" w:firstLineChars="200"/>
              <w:rPr>
                <w:rFonts w:hint="eastAsia" w:ascii="仿宋" w:hAnsi="仿宋" w:eastAsia="仿宋" w:cs="宋体"/>
                <w:sz w:val="24"/>
              </w:rPr>
            </w:pPr>
            <w:r>
              <w:rPr>
                <w:rFonts w:hint="eastAsia" w:ascii="仿宋" w:hAnsi="仿宋" w:eastAsia="仿宋" w:cs="宋体"/>
                <w:sz w:val="24"/>
              </w:rPr>
              <w:t>三是乡村经济结构明显优化。探索粮食生产“统分结合”模式，在银塘、双梅两村试行推动整村流转，其中银塘村已流转土地2100余亩；双梅村已实现全村全程的机械化作业。利用本地资源，发展特色农业，积极打造银塘—杉荫优质粮油板块、郭家桥特色蔬果板块、梅林文旅融合板块、白云工业板块四大产业板块。做好“农业+”文章，梅林桥村获评第四批湖南省乡村旅游重点村、乡泮拾光庄园获评2023年湖南省五星级乡村旅游区（点）。</w:t>
            </w:r>
          </w:p>
          <w:p>
            <w:pPr>
              <w:spacing w:line="560" w:lineRule="exact"/>
              <w:ind w:firstLine="480" w:firstLineChars="200"/>
              <w:rPr>
                <w:rFonts w:hint="eastAsia" w:ascii="仿宋" w:hAnsi="仿宋" w:eastAsia="仿宋" w:cs="宋体"/>
                <w:sz w:val="24"/>
              </w:rPr>
            </w:pPr>
            <w:r>
              <w:rPr>
                <w:rFonts w:hint="eastAsia" w:ascii="仿宋" w:hAnsi="仿宋" w:eastAsia="仿宋" w:cs="宋体"/>
                <w:sz w:val="24"/>
              </w:rPr>
              <w:t>四是农村人居环境有效改善。实行“户分类、村收集、镇转运”环境卫生治理模式，“村庄清洁行动”开展覆盖率100%，获评二季度市“五好乡镇”殊荣。坚持做好月评比、季考核，人居环境整治工作位居全县前列。改厕工作稳步推进，摸排25个行政村农村户厕3468座，发现问题厕所659座，现已全部完成整改。</w:t>
            </w:r>
          </w:p>
          <w:p>
            <w:pPr>
              <w:widowControl/>
              <w:spacing w:line="560" w:lineRule="exact"/>
              <w:ind w:firstLine="480" w:firstLineChars="200"/>
              <w:rPr>
                <w:rFonts w:hint="eastAsia" w:ascii="仿宋" w:hAnsi="仿宋" w:eastAsia="仿宋" w:cs="宋体"/>
                <w:sz w:val="24"/>
              </w:rPr>
            </w:pPr>
            <w:r>
              <w:rPr>
                <w:rFonts w:hint="eastAsia" w:ascii="仿宋" w:hAnsi="仿宋" w:eastAsia="仿宋" w:cs="宋体"/>
                <w:sz w:val="24"/>
              </w:rPr>
              <w:t>这一年，我们抓治理、守底线，社会风貌更加清新。一是基层治理体系日臻完善。以“五治融合+里手治理”为抓手，全力打造以云龙山庄、城塘小区为代表的无物业小区自治模式，发动865名“莲乡里手”，聚焦小区环境差、无人管理、偷盗猖獗等问题，让小区一跃成为管理有序、环境优美、治安良好、让人向往的“明星小区”。</w:t>
            </w:r>
          </w:p>
          <w:p>
            <w:pPr>
              <w:widowControl/>
              <w:spacing w:line="560" w:lineRule="exact"/>
              <w:ind w:firstLine="480" w:firstLineChars="200"/>
              <w:rPr>
                <w:rFonts w:hint="eastAsia" w:ascii="仿宋" w:hAnsi="仿宋" w:eastAsia="仿宋" w:cs="宋体"/>
                <w:sz w:val="24"/>
              </w:rPr>
            </w:pPr>
            <w:r>
              <w:rPr>
                <w:rFonts w:hint="eastAsia" w:ascii="仿宋" w:hAnsi="仿宋" w:eastAsia="仿宋" w:cs="宋体"/>
                <w:sz w:val="24"/>
              </w:rPr>
              <w:t>二是生产安全持续压实。我镇已连续45个月没有发生安全生产责任事故，安全生产形势持续稳定好转。深入开展燃气市场专项安全检查，对2家燃气总站和10家燃气经营网点开展日常巡查40余次，查安全隐患9条，下达整改通知书6份。做好住户保障工作存在安全隐患46户农村自建房全部完成整改销号；对城塘社区老街范围内所有房屋进行全面摸排，对整改情况进行“回头看”，更新完善房屋安全信息台账。严厉打击各类非法违法生产经营建设行为，今年立案12起，经济处罚2.9万元，收缴非法物资3.1万余元，责令停产整顿生产经营单位6家，行政拘留2人，</w:t>
            </w:r>
            <w:r>
              <w:rPr>
                <w:rFonts w:hint="eastAsia" w:ascii="仿宋" w:hAnsi="仿宋" w:eastAsia="仿宋" w:cs="宋体"/>
                <w:sz w:val="24"/>
                <w:lang w:eastAsia="zh-CN"/>
              </w:rPr>
              <w:t>刑事</w:t>
            </w:r>
            <w:r>
              <w:rPr>
                <w:rFonts w:hint="eastAsia" w:ascii="仿宋" w:hAnsi="仿宋" w:eastAsia="仿宋" w:cs="宋体"/>
                <w:sz w:val="24"/>
              </w:rPr>
              <w:t>拘留2人。特别是在8月3日，经多次追踪，在高岭村查获一处烟花爆竹非法生产窝点，得到市县应急部门的赞许。顺利完成云水支渠防洪排涝工程、盛世康城坍塌围墙修复工程等，切实维护人民群众生命财产安全。</w:t>
            </w:r>
          </w:p>
          <w:p>
            <w:pPr>
              <w:widowControl/>
              <w:spacing w:line="560" w:lineRule="exact"/>
              <w:ind w:firstLine="480" w:firstLineChars="200"/>
              <w:rPr>
                <w:rFonts w:hint="eastAsia" w:ascii="仿宋" w:hAnsi="仿宋" w:eastAsia="仿宋" w:cs="宋体"/>
                <w:sz w:val="24"/>
              </w:rPr>
            </w:pPr>
            <w:r>
              <w:rPr>
                <w:rFonts w:hint="eastAsia" w:ascii="仿宋" w:hAnsi="仿宋" w:eastAsia="仿宋" w:cs="宋体"/>
                <w:sz w:val="24"/>
              </w:rPr>
              <w:t>三是社会大局平稳有序。不断完善新时代“枫桥经验”“浦江经验”，落实领导干部坐班接访和下访制度、开展平安创建、矛盾纠纷大排查大化解活动。充分发挥退居二线职级干部作用，成立矛盾纠纷调解专班，明确七大员职责，实现了矛盾纠纷的源头化解、安全事故的源头防范、居民自治的源头发动和重点人员的源头稳定等。矛盾纠纷调解数量从去年的584件下降到今年的429件，整体下降7.3%，化解421件，化解率98%；信访秩序持续好转，到国家信访局上访量逐年下降，有效维护全镇社会大局稳定。</w:t>
            </w:r>
          </w:p>
          <w:p>
            <w:pPr>
              <w:spacing w:line="360" w:lineRule="auto"/>
              <w:ind w:firstLine="480" w:firstLineChars="200"/>
              <w:rPr>
                <w:rFonts w:hint="eastAsia" w:ascii="仿宋" w:hAnsi="仿宋" w:eastAsia="仿宋" w:cs="宋体"/>
                <w:sz w:val="24"/>
              </w:rPr>
            </w:pPr>
            <w:r>
              <w:rPr>
                <w:rFonts w:hint="eastAsia" w:ascii="仿宋" w:hAnsi="仿宋" w:eastAsia="仿宋" w:cs="宋体"/>
                <w:sz w:val="24"/>
              </w:rPr>
              <w:t>四是文明创建卓有实效。扎实推进创建工作，组建了共计10000余人的专项整治队伍，对141个无物业小区开展了多次整治，共清理楼道2800余次，杂物及卫生死角1300余处，垃圾1400余车，牛皮癣20000余处。劝阻飞线充电1000余例，拆除破损公益宣传100余块。对城郊结合部11条主干道多次进行集中清理，共清理垃圾300余吨。成立了易俗河镇城区生活垃圾分类工作领导小组办公室，并在全镇5个社区实行垃圾分类示范创建工作，先后通过省市两级专家组考核验收，得到了上级部门高度认可。</w:t>
            </w:r>
          </w:p>
          <w:p>
            <w:pPr>
              <w:spacing w:line="360" w:lineRule="auto"/>
              <w:ind w:firstLine="480" w:firstLineChars="200"/>
              <w:rPr>
                <w:rFonts w:hint="eastAsia" w:ascii="仿宋" w:hAnsi="仿宋" w:eastAsia="仿宋" w:cs="宋体"/>
                <w:sz w:val="24"/>
              </w:rPr>
            </w:pPr>
            <w:r>
              <w:rPr>
                <w:rFonts w:hint="eastAsia" w:ascii="仿宋" w:hAnsi="仿宋" w:eastAsia="仿宋" w:cs="宋体"/>
                <w:sz w:val="24"/>
              </w:rPr>
              <w:t>这一年，我们抓作风、增效能，政府自身建设更加扎实。一是财政管理更加优化。严格落实过“紧日子”要求，严控非生产性支出，对全镇各部门、各站所的非生产性支出从源头开始管理、监督，实打实压减一般性支出。非生产性支出比上年同期下降35%，其中办公费下降38%，宣传印刷费下降48%，超额完成年初目标任务。</w:t>
            </w:r>
          </w:p>
          <w:p>
            <w:pPr>
              <w:spacing w:line="360" w:lineRule="auto"/>
              <w:ind w:firstLine="480" w:firstLineChars="200"/>
              <w:rPr>
                <w:rFonts w:hint="eastAsia" w:ascii="仿宋" w:hAnsi="仿宋" w:eastAsia="仿宋" w:cs="宋体"/>
                <w:sz w:val="24"/>
              </w:rPr>
            </w:pPr>
            <w:r>
              <w:rPr>
                <w:rFonts w:hint="eastAsia" w:ascii="仿宋" w:hAnsi="仿宋" w:eastAsia="仿宋" w:cs="宋体"/>
                <w:sz w:val="24"/>
              </w:rPr>
              <w:t>二是法</w:t>
            </w:r>
            <w:r>
              <w:rPr>
                <w:rFonts w:hint="eastAsia" w:ascii="仿宋" w:hAnsi="仿宋" w:eastAsia="仿宋" w:cs="宋体"/>
                <w:sz w:val="24"/>
                <w:lang w:eastAsia="zh-CN"/>
              </w:rPr>
              <w:t>治</w:t>
            </w:r>
            <w:r>
              <w:rPr>
                <w:rFonts w:hint="eastAsia" w:ascii="仿宋" w:hAnsi="仿宋" w:eastAsia="仿宋" w:cs="宋体"/>
                <w:sz w:val="24"/>
              </w:rPr>
              <w:t>建设不断加强。牢固树立法治建设思维，加强法制政策业务培训。通过班子会议、镇村（社区）干部大会、支部党员会议、入党积极分子培训等形式组织党员干部深入学习贯彻习近平总书记全面依法治国新理念新思想新战略以及相关法律制度，专门邀请律师为镇村党员干部开展《中华人民共和国宪法》《中华人民共和国民法典》等专</w:t>
            </w:r>
            <w:bookmarkStart w:id="0" w:name="_GoBack"/>
            <w:bookmarkEnd w:id="0"/>
            <w:r>
              <w:rPr>
                <w:rFonts w:hint="eastAsia" w:ascii="仿宋" w:hAnsi="仿宋" w:eastAsia="仿宋" w:cs="宋体"/>
                <w:sz w:val="24"/>
              </w:rPr>
              <w:t>题学习培训会，全面提升镇村党员干部的法治思维、法治意识和依法办事能力。</w:t>
            </w:r>
          </w:p>
          <w:p>
            <w:pPr>
              <w:spacing w:line="360" w:lineRule="auto"/>
              <w:ind w:firstLine="480" w:firstLineChars="200"/>
              <w:rPr>
                <w:rFonts w:hint="eastAsia" w:ascii="仿宋" w:hAnsi="仿宋" w:eastAsia="仿宋" w:cs="宋体"/>
                <w:sz w:val="24"/>
              </w:rPr>
            </w:pPr>
            <w:r>
              <w:rPr>
                <w:rFonts w:hint="eastAsia" w:ascii="仿宋" w:hAnsi="仿宋" w:eastAsia="仿宋" w:cs="宋体"/>
                <w:sz w:val="24"/>
              </w:rPr>
              <w:t>三是廉政建设纵深推进。深入贯彻落实“正作风、提精神、鼓士气”专项行动要求，持续开展“四风”问题专项整治和干部作风督查，今年来，我镇共开展督查共计23次，下发督查通报9期，对工作中作风不实、敷衍应付的镇村干部开展提醒谈话9人次，诫勉谈话14人，清退资金19885元、整改问题7个。切实加强政务信息公开，推行“互联网+政务服务”模式，推动行政权力在阳光下运行。</w:t>
            </w:r>
          </w:p>
          <w:p>
            <w:pPr>
              <w:spacing w:line="360" w:lineRule="auto"/>
              <w:ind w:firstLine="480" w:firstLineChars="200"/>
              <w:rPr>
                <w:rFonts w:ascii="仿宋" w:hAnsi="仿宋" w:eastAsia="仿宋" w:cs="宋体"/>
                <w:sz w:val="24"/>
              </w:rPr>
            </w:pPr>
            <w:r>
              <w:rPr>
                <w:rFonts w:ascii="仿宋" w:hAnsi="仿宋" w:eastAsia="仿宋" w:cs="宋体"/>
                <w:sz w:val="24"/>
              </w:rPr>
              <w:t>以上成绩的取得，离不开县委、县政府的正确领导，也离不开社会各界人士的大力支持，是全镇上下勠力同心、共同奋斗的结果。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vAlign w:val="center"/>
          </w:tcPr>
          <w:p>
            <w:pPr>
              <w:spacing w:line="576" w:lineRule="exact"/>
              <w:jc w:val="center"/>
              <w:rPr>
                <w:rFonts w:ascii="仿宋" w:hAnsi="仿宋" w:eastAsia="仿宋" w:cs="宋体"/>
                <w:sz w:val="24"/>
              </w:rPr>
            </w:pPr>
            <w:r>
              <w:rPr>
                <w:rFonts w:hint="eastAsia" w:ascii="仿宋" w:hAnsi="仿宋" w:eastAsia="仿宋" w:cs="宋体"/>
                <w:sz w:val="24"/>
              </w:rPr>
              <w:t>存在的问题分析及改进措施</w:t>
            </w:r>
          </w:p>
        </w:tc>
        <w:tc>
          <w:tcPr>
            <w:tcW w:w="1985" w:type="dxa"/>
            <w:vAlign w:val="center"/>
          </w:tcPr>
          <w:p>
            <w:pPr>
              <w:spacing w:line="576" w:lineRule="exact"/>
              <w:jc w:val="center"/>
              <w:rPr>
                <w:rFonts w:ascii="仿宋" w:hAnsi="仿宋" w:eastAsia="仿宋" w:cs="宋体"/>
                <w:sz w:val="24"/>
              </w:rPr>
            </w:pPr>
            <w:r>
              <w:rPr>
                <w:rFonts w:hint="eastAsia" w:ascii="仿宋" w:hAnsi="仿宋" w:eastAsia="仿宋" w:cs="宋体"/>
                <w:sz w:val="24"/>
              </w:rPr>
              <w:t>存在的问题</w:t>
            </w:r>
          </w:p>
        </w:tc>
        <w:tc>
          <w:tcPr>
            <w:tcW w:w="6666" w:type="dxa"/>
            <w:tcBorders>
              <w:bottom w:val="single" w:color="auto" w:sz="4" w:space="0"/>
            </w:tcBorders>
            <w:vAlign w:val="center"/>
          </w:tcPr>
          <w:p>
            <w:pPr>
              <w:spacing w:line="360" w:lineRule="auto"/>
              <w:ind w:firstLine="480" w:firstLineChars="200"/>
              <w:rPr>
                <w:rFonts w:ascii="仿宋" w:hAnsi="仿宋" w:eastAsia="仿宋" w:cs="宋体"/>
                <w:sz w:val="24"/>
              </w:rPr>
            </w:pPr>
            <w:r>
              <w:rPr>
                <w:rFonts w:ascii="仿宋" w:hAnsi="仿宋" w:eastAsia="仿宋" w:cs="宋体"/>
                <w:sz w:val="24"/>
              </w:rPr>
              <w:t>1</w:t>
            </w:r>
            <w:r>
              <w:rPr>
                <w:rFonts w:hint="eastAsia" w:ascii="仿宋" w:hAnsi="仿宋" w:eastAsia="仿宋" w:cs="宋体"/>
                <w:sz w:val="24"/>
              </w:rPr>
              <w:t>、乡镇专项资金难以预计，且难以估计来源渠道。</w:t>
            </w:r>
          </w:p>
          <w:p>
            <w:pPr>
              <w:spacing w:line="360" w:lineRule="auto"/>
              <w:ind w:firstLine="480" w:firstLineChars="200"/>
              <w:rPr>
                <w:rFonts w:ascii="仿宋" w:hAnsi="仿宋" w:eastAsia="仿宋" w:cs="宋体"/>
                <w:sz w:val="24"/>
              </w:rPr>
            </w:pPr>
            <w:r>
              <w:rPr>
                <w:rFonts w:ascii="仿宋" w:hAnsi="仿宋" w:eastAsia="仿宋" w:cs="宋体"/>
                <w:sz w:val="24"/>
              </w:rPr>
              <w:t>2</w:t>
            </w:r>
            <w:r>
              <w:rPr>
                <w:rFonts w:hint="eastAsia" w:ascii="仿宋" w:hAnsi="仿宋" w:eastAsia="仿宋" w:cs="宋体"/>
                <w:sz w:val="24"/>
              </w:rPr>
              <w:t>、预算指标下达不及时，造成实际支出与预算不匹配。</w:t>
            </w:r>
          </w:p>
          <w:p>
            <w:pPr>
              <w:spacing w:line="360" w:lineRule="auto"/>
              <w:ind w:firstLine="480" w:firstLineChars="200"/>
              <w:rPr>
                <w:rFonts w:ascii="仿宋" w:hAnsi="仿宋" w:eastAsia="仿宋" w:cs="宋体"/>
                <w:sz w:val="24"/>
              </w:rPr>
            </w:pPr>
            <w:r>
              <w:rPr>
                <w:rFonts w:ascii="仿宋" w:hAnsi="仿宋" w:eastAsia="仿宋" w:cs="宋体"/>
                <w:sz w:val="24"/>
              </w:rPr>
              <w:t>3</w:t>
            </w:r>
            <w:r>
              <w:rPr>
                <w:rFonts w:hint="eastAsia" w:ascii="仿宋" w:hAnsi="仿宋" w:eastAsia="仿宋" w:cs="宋体"/>
                <w:sz w:val="24"/>
              </w:rPr>
              <w:t>、体制基数与财政总预算支出不匹配。</w:t>
            </w:r>
          </w:p>
          <w:p>
            <w:pPr>
              <w:spacing w:line="360" w:lineRule="auto"/>
              <w:ind w:firstLine="480" w:firstLineChars="200"/>
              <w:rPr>
                <w:rFonts w:ascii="仿宋" w:hAnsi="仿宋" w:eastAsia="仿宋" w:cs="宋体"/>
                <w:sz w:val="24"/>
              </w:rPr>
            </w:pPr>
            <w:r>
              <w:rPr>
                <w:rFonts w:ascii="仿宋" w:hAnsi="仿宋" w:eastAsia="仿宋" w:cs="宋体"/>
                <w:sz w:val="24"/>
              </w:rPr>
              <w:t>4</w:t>
            </w:r>
            <w:r>
              <w:rPr>
                <w:rFonts w:hint="eastAsia" w:ascii="仿宋" w:hAnsi="仿宋" w:eastAsia="仿宋" w:cs="宋体"/>
                <w:sz w:val="24"/>
              </w:rPr>
              <w:t>、</w:t>
            </w:r>
            <w:r>
              <w:rPr>
                <w:rFonts w:ascii="仿宋" w:hAnsi="仿宋" w:eastAsia="仿宋" w:cs="宋体"/>
                <w:sz w:val="24"/>
              </w:rPr>
              <w:t>道路交通、农田水利等方面仍有欠账</w:t>
            </w:r>
            <w:r>
              <w:rPr>
                <w:rFonts w:hint="eastAsia" w:ascii="仿宋" w:hAnsi="仿宋" w:eastAsia="仿宋" w:cs="宋体"/>
                <w:sz w:val="24"/>
              </w:rPr>
              <w:t>。</w:t>
            </w:r>
          </w:p>
          <w:p>
            <w:pPr>
              <w:spacing w:line="360" w:lineRule="auto"/>
              <w:ind w:firstLine="480" w:firstLineChars="200"/>
              <w:rPr>
                <w:rFonts w:ascii="仿宋" w:hAnsi="仿宋" w:eastAsia="仿宋" w:cs="宋体"/>
                <w:sz w:val="24"/>
              </w:rPr>
            </w:pPr>
            <w:r>
              <w:rPr>
                <w:rFonts w:ascii="仿宋" w:hAnsi="仿宋" w:eastAsia="仿宋" w:cs="宋体"/>
                <w:sz w:val="24"/>
              </w:rPr>
              <w:t>5</w:t>
            </w:r>
            <w:r>
              <w:rPr>
                <w:rFonts w:hint="eastAsia" w:ascii="仿宋" w:hAnsi="仿宋" w:eastAsia="仿宋" w:cs="宋体"/>
                <w:sz w:val="24"/>
              </w:rPr>
              <w:t>、</w:t>
            </w:r>
            <w:r>
              <w:rPr>
                <w:rFonts w:ascii="仿宋" w:hAnsi="仿宋" w:eastAsia="仿宋" w:cs="宋体"/>
                <w:sz w:val="24"/>
              </w:rPr>
              <w:t>镇村治理管控能力有待提升；少数干部作风不够扎实，攻坚克难韧性还不足</w:t>
            </w:r>
            <w:r>
              <w:rPr>
                <w:rFonts w:hint="eastAsia" w:ascii="仿宋" w:hAnsi="仿宋" w:eastAsia="仿宋"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1" w:hRule="exact"/>
          <w:jc w:val="center"/>
        </w:trPr>
        <w:tc>
          <w:tcPr>
            <w:tcW w:w="1384" w:type="dxa"/>
            <w:vMerge w:val="continue"/>
          </w:tcPr>
          <w:p>
            <w:pPr>
              <w:spacing w:line="576" w:lineRule="exact"/>
              <w:jc w:val="center"/>
              <w:rPr>
                <w:rFonts w:ascii="仿宋" w:hAnsi="仿宋" w:eastAsia="仿宋" w:cs="宋体"/>
                <w:sz w:val="24"/>
              </w:rPr>
            </w:pPr>
          </w:p>
        </w:tc>
        <w:tc>
          <w:tcPr>
            <w:tcW w:w="1985" w:type="dxa"/>
            <w:tcBorders>
              <w:right w:val="single" w:color="auto" w:sz="4" w:space="0"/>
            </w:tcBorders>
            <w:vAlign w:val="center"/>
          </w:tcPr>
          <w:p>
            <w:pPr>
              <w:spacing w:line="576" w:lineRule="exact"/>
              <w:jc w:val="center"/>
              <w:rPr>
                <w:rFonts w:ascii="仿宋" w:hAnsi="仿宋" w:eastAsia="仿宋" w:cs="宋体"/>
                <w:sz w:val="24"/>
              </w:rPr>
            </w:pPr>
            <w:r>
              <w:rPr>
                <w:rFonts w:hint="eastAsia" w:ascii="仿宋" w:hAnsi="仿宋" w:eastAsia="仿宋" w:cs="宋体"/>
                <w:sz w:val="24"/>
              </w:rPr>
              <w:t>改进措施</w:t>
            </w:r>
          </w:p>
        </w:tc>
        <w:tc>
          <w:tcPr>
            <w:tcW w:w="6666"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仿宋" w:hAnsi="仿宋" w:eastAsia="仿宋" w:cs="宋体"/>
                <w:sz w:val="24"/>
              </w:rPr>
            </w:pPr>
            <w:r>
              <w:rPr>
                <w:rFonts w:hint="eastAsia" w:ascii="仿宋" w:hAnsi="仿宋" w:eastAsia="仿宋" w:cs="宋体"/>
                <w:sz w:val="24"/>
              </w:rPr>
              <w:t>1、按照预算单位实际情况做足预算，减少非政策性预算调整。</w:t>
            </w:r>
          </w:p>
          <w:p>
            <w:pPr>
              <w:spacing w:line="360" w:lineRule="auto"/>
              <w:ind w:firstLine="480" w:firstLineChars="200"/>
              <w:rPr>
                <w:rFonts w:ascii="仿宋" w:hAnsi="仿宋" w:eastAsia="仿宋" w:cs="宋体"/>
                <w:sz w:val="24"/>
              </w:rPr>
            </w:pPr>
            <w:r>
              <w:rPr>
                <w:rFonts w:hint="eastAsia" w:ascii="仿宋" w:hAnsi="仿宋" w:eastAsia="仿宋" w:cs="宋体"/>
                <w:sz w:val="24"/>
              </w:rPr>
              <w:t>2、公用经费定额管理需待代完善。</w:t>
            </w:r>
          </w:p>
          <w:p>
            <w:pPr>
              <w:spacing w:line="360" w:lineRule="auto"/>
              <w:ind w:firstLine="480" w:firstLineChars="200"/>
              <w:rPr>
                <w:rFonts w:ascii="仿宋" w:hAnsi="仿宋" w:eastAsia="仿宋" w:cs="宋体"/>
                <w:sz w:val="24"/>
              </w:rPr>
            </w:pPr>
            <w:r>
              <w:rPr>
                <w:rFonts w:hint="eastAsia" w:ascii="仿宋" w:hAnsi="仿宋" w:eastAsia="仿宋" w:cs="宋体"/>
                <w:sz w:val="24"/>
              </w:rPr>
              <w:t>3、乡镇资金应在年初的时候根据政府下达的工作任务，合理的预算好专项项目的成本费用列支情况，必要的时候聘请中介机构进行造价的合理估算，集体决议后统一上报，大力整合各项财政资金，集中投向专项项目，保证项目的正常运转。</w:t>
            </w:r>
          </w:p>
          <w:p>
            <w:pPr>
              <w:spacing w:line="360" w:lineRule="auto"/>
              <w:ind w:firstLine="480" w:firstLineChars="200"/>
              <w:rPr>
                <w:rFonts w:ascii="仿宋" w:hAnsi="仿宋" w:eastAsia="仿宋" w:cs="宋体"/>
                <w:sz w:val="24"/>
              </w:rPr>
            </w:pPr>
            <w:r>
              <w:rPr>
                <w:rFonts w:hint="eastAsia" w:ascii="仿宋" w:hAnsi="仿宋" w:eastAsia="仿宋" w:cs="宋体"/>
                <w:sz w:val="24"/>
              </w:rPr>
              <w:t>4、多方位提高财政收入，积极清理现有的负债、欠账。</w:t>
            </w:r>
          </w:p>
          <w:p>
            <w:pPr>
              <w:spacing w:line="360" w:lineRule="auto"/>
              <w:ind w:firstLine="480" w:firstLineChars="200"/>
              <w:rPr>
                <w:rFonts w:hint="eastAsia" w:ascii="仿宋" w:hAnsi="仿宋" w:eastAsia="仿宋" w:cs="宋体"/>
                <w:sz w:val="24"/>
              </w:rPr>
            </w:pPr>
            <w:r>
              <w:rPr>
                <w:rFonts w:hint="eastAsia" w:ascii="仿宋" w:hAnsi="仿宋" w:eastAsia="仿宋" w:cs="宋体"/>
                <w:sz w:val="24"/>
              </w:rPr>
              <w:t>5、提升管控能力，加强干部作风建设。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pPr>
              <w:spacing w:line="576" w:lineRule="exact"/>
              <w:jc w:val="center"/>
              <w:rPr>
                <w:rFonts w:ascii="仿宋" w:hAnsi="仿宋" w:eastAsia="仿宋" w:cs="宋体"/>
                <w:sz w:val="24"/>
              </w:rPr>
            </w:pPr>
          </w:p>
        </w:tc>
        <w:tc>
          <w:tcPr>
            <w:tcW w:w="1985" w:type="dxa"/>
            <w:tcBorders>
              <w:right w:val="single" w:color="auto" w:sz="4" w:space="0"/>
            </w:tcBorders>
            <w:vAlign w:val="center"/>
          </w:tcPr>
          <w:p>
            <w:pPr>
              <w:spacing w:line="576" w:lineRule="exact"/>
              <w:jc w:val="center"/>
              <w:rPr>
                <w:rFonts w:ascii="仿宋" w:hAnsi="仿宋" w:eastAsia="仿宋" w:cs="宋体"/>
                <w:sz w:val="24"/>
              </w:rPr>
            </w:pPr>
            <w:r>
              <w:rPr>
                <w:rFonts w:hint="eastAsia" w:ascii="仿宋" w:hAnsi="仿宋" w:eastAsia="仿宋" w:cs="宋体"/>
                <w:sz w:val="24"/>
              </w:rPr>
              <w:t>其他需要说明问题</w:t>
            </w:r>
          </w:p>
        </w:tc>
        <w:tc>
          <w:tcPr>
            <w:tcW w:w="6666"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仿宋" w:hAnsi="仿宋" w:eastAsia="仿宋" w:cs="宋体"/>
                <w:sz w:val="24"/>
              </w:rPr>
            </w:pPr>
            <w:r>
              <w:rPr>
                <w:rFonts w:hint="eastAsia" w:ascii="仿宋" w:hAnsi="仿宋" w:eastAsia="仿宋" w:cs="宋体"/>
                <w:sz w:val="24"/>
              </w:rPr>
              <w:t>1、因乡镇人员安排全部由县里统一安排，乡镇无权安排，造成乡镇财政供养人员控制率过高。</w:t>
            </w:r>
          </w:p>
          <w:p>
            <w:pPr>
              <w:spacing w:line="360" w:lineRule="auto"/>
              <w:ind w:firstLine="480" w:firstLineChars="200"/>
              <w:rPr>
                <w:rFonts w:ascii="仿宋" w:hAnsi="仿宋" w:eastAsia="仿宋" w:cs="宋体"/>
                <w:sz w:val="24"/>
              </w:rPr>
            </w:pPr>
            <w:r>
              <w:rPr>
                <w:rFonts w:hint="eastAsia" w:ascii="仿宋" w:hAnsi="仿宋" w:eastAsia="仿宋" w:cs="宋体"/>
                <w:sz w:val="24"/>
              </w:rPr>
              <w:t>2、</w:t>
            </w:r>
            <w:r>
              <w:rPr>
                <w:rFonts w:ascii="仿宋" w:hAnsi="仿宋" w:eastAsia="仿宋" w:cs="宋体"/>
                <w:sz w:val="24"/>
              </w:rPr>
              <w:t>农村地区基础设施比较薄弱，水、电、路等基础设施还需进一步完善</w:t>
            </w:r>
            <w:r>
              <w:rPr>
                <w:rFonts w:hint="eastAsia" w:ascii="仿宋" w:hAnsi="仿宋" w:eastAsia="仿宋" w:cs="宋体"/>
                <w:sz w:val="24"/>
              </w:rPr>
              <w:t>。</w:t>
            </w:r>
          </w:p>
          <w:p>
            <w:pPr>
              <w:spacing w:line="360" w:lineRule="auto"/>
              <w:ind w:firstLine="480" w:firstLineChars="200"/>
              <w:rPr>
                <w:rFonts w:ascii="仿宋" w:hAnsi="仿宋" w:eastAsia="仿宋" w:cs="宋体"/>
                <w:sz w:val="24"/>
              </w:rPr>
            </w:pPr>
            <w:r>
              <w:rPr>
                <w:rFonts w:hint="eastAsia" w:ascii="仿宋" w:hAnsi="仿宋" w:eastAsia="仿宋" w:cs="宋体"/>
                <w:sz w:val="24"/>
              </w:rPr>
              <w:t>3、推进脱贫攻坚与乡村振兴有效衔接，抓好农业生产，实施“藏粮于地、藏粮于技”战略，守好“基本农田”红线，确保粮食安全，进一步做好抛荒治理和耕地恢复工作。</w:t>
            </w:r>
          </w:p>
        </w:tc>
      </w:tr>
    </w:tbl>
    <w:p>
      <w:pPr>
        <w:rPr>
          <w:rFonts w:ascii="仿宋" w:hAnsi="仿宋" w:eastAsia="仿宋"/>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IyZGVhMTVkZDYwZjg2YjMxNDE3MmMyOGU5NDQwNTMifQ=="/>
  </w:docVars>
  <w:rsids>
    <w:rsidRoot w:val="00B86CF5"/>
    <w:rsid w:val="00023B67"/>
    <w:rsid w:val="00074AC7"/>
    <w:rsid w:val="00090A25"/>
    <w:rsid w:val="000C3168"/>
    <w:rsid w:val="0011104E"/>
    <w:rsid w:val="001157FC"/>
    <w:rsid w:val="00181616"/>
    <w:rsid w:val="002676A4"/>
    <w:rsid w:val="0036258C"/>
    <w:rsid w:val="003801EF"/>
    <w:rsid w:val="003A2D32"/>
    <w:rsid w:val="00425117"/>
    <w:rsid w:val="004629E1"/>
    <w:rsid w:val="0052466A"/>
    <w:rsid w:val="005447A8"/>
    <w:rsid w:val="00575DF2"/>
    <w:rsid w:val="0058295D"/>
    <w:rsid w:val="005E6462"/>
    <w:rsid w:val="005E6FD7"/>
    <w:rsid w:val="00664995"/>
    <w:rsid w:val="006A63EB"/>
    <w:rsid w:val="006E1B6B"/>
    <w:rsid w:val="007273C4"/>
    <w:rsid w:val="00916B79"/>
    <w:rsid w:val="0092115C"/>
    <w:rsid w:val="00934F1A"/>
    <w:rsid w:val="00AB3354"/>
    <w:rsid w:val="00AE5FC4"/>
    <w:rsid w:val="00AF3736"/>
    <w:rsid w:val="00B25247"/>
    <w:rsid w:val="00B86CF5"/>
    <w:rsid w:val="00B91570"/>
    <w:rsid w:val="00B9461F"/>
    <w:rsid w:val="00BB5CF7"/>
    <w:rsid w:val="00BF7029"/>
    <w:rsid w:val="00BF7BF6"/>
    <w:rsid w:val="00C03624"/>
    <w:rsid w:val="00D34ECB"/>
    <w:rsid w:val="00D6290C"/>
    <w:rsid w:val="00E7036A"/>
    <w:rsid w:val="00EC30BB"/>
    <w:rsid w:val="00FC38FE"/>
    <w:rsid w:val="00FC443D"/>
    <w:rsid w:val="00FC7CCD"/>
    <w:rsid w:val="217768DB"/>
    <w:rsid w:val="2A077671"/>
    <w:rsid w:val="2DC149E7"/>
    <w:rsid w:val="5AFEAFD0"/>
    <w:rsid w:val="7552525D"/>
    <w:rsid w:val="7DEF6175"/>
    <w:rsid w:val="AF9766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0"/>
    <w:pPr>
      <w:tabs>
        <w:tab w:val="center" w:pos="4153"/>
        <w:tab w:val="right" w:pos="8306"/>
      </w:tabs>
      <w:snapToGrid w:val="0"/>
      <w:jc w:val="left"/>
    </w:pPr>
    <w:rPr>
      <w:sz w:val="18"/>
      <w:szCs w:val="18"/>
    </w:rPr>
  </w:style>
  <w:style w:type="paragraph" w:styleId="3">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7">
    <w:name w:val="Hyperlink"/>
    <w:basedOn w:val="6"/>
    <w:qFormat/>
    <w:uiPriority w:val="0"/>
    <w:rPr>
      <w:color w:val="0000FF" w:themeColor="hyperlink"/>
      <w:u w:val="single"/>
    </w:rPr>
  </w:style>
  <w:style w:type="character" w:customStyle="1" w:styleId="8">
    <w:name w:val="页眉 字符"/>
    <w:basedOn w:val="6"/>
    <w:link w:val="3"/>
    <w:qFormat/>
    <w:uiPriority w:val="0"/>
    <w:rPr>
      <w:kern w:val="2"/>
      <w:sz w:val="18"/>
      <w:szCs w:val="18"/>
    </w:rPr>
  </w:style>
  <w:style w:type="character" w:customStyle="1" w:styleId="9">
    <w:name w:val="页脚 字符"/>
    <w:basedOn w:val="6"/>
    <w:link w:val="2"/>
    <w:qFormat/>
    <w:uiPriority w:val="0"/>
    <w:rPr>
      <w:kern w:val="2"/>
      <w:sz w:val="18"/>
      <w:szCs w:val="18"/>
    </w:rPr>
  </w:style>
  <w:style w:type="character" w:customStyle="1" w:styleId="10">
    <w:name w:val="未处理的提及1"/>
    <w:basedOn w:val="6"/>
    <w:semiHidden/>
    <w:unhideWhenUsed/>
    <w:qFormat/>
    <w:uiPriority w:val="99"/>
    <w:rPr>
      <w:color w:val="605E5C"/>
      <w:shd w:val="clear" w:color="auto" w:fill="E1DFDD"/>
    </w:rPr>
  </w:style>
  <w:style w:type="paragraph" w:customStyle="1" w:styleId="11">
    <w:name w:val="无间隔1"/>
    <w:qFormat/>
    <w:uiPriority w:val="1"/>
    <w:pPr>
      <w:widowControl w:val="0"/>
      <w:jc w:val="both"/>
    </w:pPr>
    <w:rPr>
      <w:rFonts w:ascii="Calibri" w:hAnsi="Calibri" w:eastAsia="宋体" w:cs="Times New Roman"/>
      <w:kern w:val="2"/>
      <w:sz w:val="21"/>
      <w:szCs w:val="22"/>
      <w:lang w:val="en-US" w:eastAsia="zh-CN" w:bidi="ar-SA"/>
    </w:rPr>
  </w:style>
  <w:style w:type="paragraph" w:customStyle="1" w:styleId="12">
    <w:name w:val="无间隔2"/>
    <w:qFormat/>
    <w:uiPriority w:val="1"/>
    <w:pPr>
      <w:widowControl w:val="0"/>
      <w:jc w:val="both"/>
    </w:pPr>
    <w:rPr>
      <w:rFonts w:ascii="Calibri" w:hAnsi="Calibri" w:eastAsia="宋体" w:cs="Times New Roman"/>
      <w:kern w:val="2"/>
      <w:sz w:val="21"/>
      <w:szCs w:val="22"/>
      <w:lang w:val="en-US" w:eastAsia="zh-CN" w:bidi="ar-SA"/>
    </w:rPr>
  </w:style>
  <w:style w:type="paragraph" w:styleId="1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783</Words>
  <Characters>4467</Characters>
  <Lines>37</Lines>
  <Paragraphs>10</Paragraphs>
  <TotalTime>25</TotalTime>
  <ScaleCrop>false</ScaleCrop>
  <LinksUpToDate>false</LinksUpToDate>
  <CharactersWithSpaces>5240</CharactersWithSpaces>
  <Application>WPS Office_11.8.2.1122_F1E327BC-269C-435d-A152-05C5408002CA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2019-08-19T21:45:00Z</dcterms:created>
  <dc:creator>kin</dc:creator>
  <cp:lastModifiedBy>kyin-dzb</cp:lastModifiedBy>
  <dcterms:modified xsi:type="dcterms:W3CDTF">2024-05-29T16:41:49Z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2052-11.8.2.1122</vt:lpwstr>
  </property>
  <property fmtid="{D5CDD505-2E9C-101B-9397-08002B2CF9AE}" pid="3" name="ICV">
    <vt:lpwstr>BB60129B16D94648B37EC45C23481CFF</vt:lpwstr>
  </property>
</Properties>
</file>