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ascii="微软雅黑" w:hAnsi="微软雅黑" w:cs="宋体"/>
          <w:b/>
          <w:bCs/>
          <w:color w:val="000000" w:themeColor="text1"/>
          <w:kern w:val="0"/>
          <w:sz w:val="39"/>
          <w:szCs w:val="39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微软雅黑" w:hAnsi="微软雅黑" w:cs="宋体"/>
          <w:b/>
          <w:bCs/>
          <w:color w:val="000000" w:themeColor="text1"/>
          <w:kern w:val="0"/>
          <w:sz w:val="39"/>
          <w:szCs w:val="39"/>
          <w14:textFill>
            <w14:solidFill>
              <w14:schemeClr w14:val="tx1"/>
            </w14:solidFill>
          </w14:textFill>
        </w:rPr>
        <w:t>湘潭县谭家山镇人民政府202</w:t>
      </w:r>
      <w:r>
        <w:rPr>
          <w:rFonts w:hint="eastAsia" w:ascii="微软雅黑" w:hAnsi="微软雅黑" w:cs="宋体"/>
          <w:b/>
          <w:bCs/>
          <w:color w:val="000000" w:themeColor="text1"/>
          <w:kern w:val="0"/>
          <w:sz w:val="39"/>
          <w:szCs w:val="39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微软雅黑" w:hAnsi="微软雅黑" w:cs="宋体"/>
          <w:b/>
          <w:bCs/>
          <w:color w:val="000000" w:themeColor="text1"/>
          <w:kern w:val="0"/>
          <w:sz w:val="39"/>
          <w:szCs w:val="39"/>
          <w14:textFill>
            <w14:solidFill>
              <w14:schemeClr w14:val="tx1"/>
            </w14:solidFill>
          </w14:textFill>
        </w:rPr>
        <w:t>年度部门整体支出绩效评价报告</w:t>
      </w:r>
    </w:p>
    <w:bookmarkEnd w:id="0"/>
    <w:tbl>
      <w:tblPr>
        <w:tblStyle w:val="10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697"/>
        <w:gridCol w:w="5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部门概况</w:t>
            </w:r>
          </w:p>
        </w:tc>
        <w:tc>
          <w:tcPr>
            <w:tcW w:w="169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单位名称</w:t>
            </w:r>
          </w:p>
        </w:tc>
        <w:tc>
          <w:tcPr>
            <w:tcW w:w="5958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湘潭县谭家山镇人民政府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69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年度预算金额</w:t>
            </w:r>
          </w:p>
        </w:tc>
        <w:tc>
          <w:tcPr>
            <w:tcW w:w="5958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  <w:lang w:val="en-US" w:eastAsia="zh-CN"/>
              </w:rPr>
              <w:t>4302万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69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主管部门</w:t>
            </w:r>
          </w:p>
        </w:tc>
        <w:tc>
          <w:tcPr>
            <w:tcW w:w="5958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湘潭县人民政府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69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单位基本职能</w:t>
            </w:r>
          </w:p>
        </w:tc>
        <w:tc>
          <w:tcPr>
            <w:tcW w:w="5958" w:type="dxa"/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1.制定和组织实施经济、科技和社会发展计划，制定矿区综合治理改造和产业结构调整方案，组织指导好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各产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业生产，搞好商品流通，协调好本镇与外地区的经济交流与合作，抓好招商引资，人才引进项目开发，不断培育市场体系，组织经济运行，促进经济发展。  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2.制定并组织实施村镇建设规划，部署重点工程建设，地方道路建设及公共设施，水利设施的管理，负责土地、林木、水等自然资源和生态环境的保护，做好护林防火工作。    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.负责本行政区域内的民政、计划生育、文化教育、卫生、体育等社会公益事业的综合性工作，维护一切经济单位和个人的正当经济权益，取缔非法经济活动，调解和处理民事纠纷，打击刑事犯罪维护社会稳定。    </w:t>
            </w:r>
          </w:p>
          <w:p>
            <w:pPr>
              <w:spacing w:line="360" w:lineRule="auto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4.按计划组织本级财政收入和地方税的征收，完成国家财政计划，不断培植税源，管好财政资金，增强财政实力。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绩效完成情况</w:t>
            </w:r>
          </w:p>
        </w:tc>
        <w:tc>
          <w:tcPr>
            <w:tcW w:w="169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部门整体支出管理和使用基本情况</w:t>
            </w:r>
          </w:p>
        </w:tc>
        <w:tc>
          <w:tcPr>
            <w:tcW w:w="5958" w:type="dxa"/>
            <w:shd w:val="clear" w:color="auto" w:fill="auto"/>
            <w:vAlign w:val="center"/>
          </w:tcPr>
          <w:p>
            <w:pPr>
              <w:spacing w:line="360" w:lineRule="auto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始终认真贯彻执行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《中华人民共和国会计法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》《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中华人民共和国预算法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》《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行政单位会计制度》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等法律法规，各项经费支出严格按照政府采购、国库集中支付等有关规定执行。同时我镇先后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制定了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《湘潭县谭家山镇预算管理制度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》《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湘潭县谭家山镇政府采购管理办法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》《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湘潭县谭家山镇财务管理制度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》《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湘潭县谭家山镇支出管理制度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》《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谭家山镇固定资产管理办法》等相关制度，明确了经费审批权限及程序，经费预算、核算管理、资产购置与处置、财务监督等。在“三公”经费管理方面，规范了公务接待的审批管理，较好地控制了行政运行成本。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20</w:t>
            </w:r>
            <w:r>
              <w:rPr>
                <w:rFonts w:ascii="仿宋_GB2312" w:hAnsi="仿宋_GB2312" w:eastAsia="仿宋_GB2312" w:cs="仿宋_GB2312"/>
                <w:sz w:val="24"/>
              </w:rPr>
              <w:t>23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年本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镇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实际收入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3717.91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万元，其中一般公共预算财政拨款收入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3036.88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万元，其他收入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681.03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万元；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2023年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部门整体支出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3717.91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万元，支出按支出性质分类为：基本支出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3426.04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万元（其中：人员经费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2320.78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万元，日常公用经费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1105.26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，项目支出：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291.87万元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。支出按经济分类为：工资福利支出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1903.15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万元，商品和服务支出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1218.79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万元，对个人和家庭的补助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593.50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万元，资本性支出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2.47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万元。202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年“三公”经费支出：无。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360" w:lineRule="auto"/>
              <w:ind w:firstLine="480" w:firstLineChars="200"/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1697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绩效目标完成情况</w:t>
            </w:r>
          </w:p>
        </w:tc>
        <w:tc>
          <w:tcPr>
            <w:tcW w:w="5958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2023年是全面贯彻党的二十大精神的开局之年，在以习近平同志为核心的党中央坚强领导下，以习近平新时代中国特色社会主义思想为指导，全面贯彻落实党的二十大精神，根据省、市、县的安排部署，以“三高四新”战略为根本遵循，以“三提一领”为导向，坚定不移“转作风、提效能”“办实事、求实效”，充分发扬“三牛”精神，落实“四敢”要求。面对外部环境复杂性、严峻性和内部经济压力，坚持稳中求进工作总基调，扎实推进经济发展，纵深推动产业升级，巩固夯实生产安全，有效保障民生福祉，保持社会大局稳定，为县域经济发展和稳定助好力、稳好点。</w:t>
            </w:r>
          </w:p>
          <w:p>
            <w:pPr>
              <w:spacing w:line="360" w:lineRule="auto"/>
              <w:ind w:firstLine="480" w:firstLineChars="200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2023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，面对经济压力，我们坚持稳中求进，以进促稳，保障了经济平稳向好。截至11月底完成税收收入2070万元，非税收入共计完成48.3万元，在财政紧张、经济下行的压力下，圆满完成税收任务。实现工业化发展有序可控，全年规模工业经济总产值达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4.25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亿元，营业收入达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4.24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亿元，利润总额达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2686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万元，同比增长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4.2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%。</w:t>
            </w:r>
          </w:p>
          <w:p>
            <w:pPr>
              <w:spacing w:line="360" w:lineRule="auto"/>
              <w:ind w:firstLine="480" w:firstLineChars="200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2023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，面对发展难题，我们夯实产业根基，推动项目建设，促进产业良性发展。一是做好企业服务工作。今年我镇接待项目投资洽谈共8批次，跟踪服务投资企业4家，招商引资项目2个，分别为在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石垅村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投资2000万元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的湖南小马哥食品有限公司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和在茶金村投资1500万元的健身器材项目。今年还通过完善党政负责人联系企业制度，切实解决企业实际需求和困难，对镇上5家中小企业反映的12个涉及融资需求、用工、周边环境协调等问题进行了有效解决。二是扎实推进项目进度。醴娄高速项目完成了铁竹村、霞峰村、棠霞村、长岭村、月仙村5个村37个组土地征收。“三改”完成90%，34个组已完成分配，完成率达92%，全面落实3号文件补差。边线房屋震损目前正在进行鉴定、评估、协调，有10户房屋已进行评估和鉴损，协调工作在持续跟进。全线造塘还塘完成率60%，已完成3个机埠改造，预估年底前基本完成路基建设。500千伏线路工程建设项目，涉及的6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个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村已全面进驻，项目推进顺畅，已完成塔基浇筑64个，完成率近90%，预计年底前完成全部塔基建设，当前对红线内23栋房屋完成初步丈量，下一步启动协调拆除问题。</w:t>
            </w:r>
          </w:p>
          <w:p>
            <w:pPr>
              <w:spacing w:line="360" w:lineRule="auto"/>
              <w:ind w:firstLine="480" w:firstLineChars="200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2023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，面对“三农”问题，我们促进乡村振兴，保障粮食安全，提升人民生活水平。一是村级集体经济综合提升，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红星村通过整村土地流转、苗圃基地、承担基建工程等项目，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2023年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集体经济收入已达到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67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万元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，棠霞村成功突破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50万元，铁竹村、石荷村也达到30万元以上，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谭家山村成功申报了2023年国省项目，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实现村集体经济的全面提升。二是粮食种植稳定，今年早稻任务面积7540亩，综合完成7549亩，水稻低镉品种示范推广面积3000亩，完成3009亩，一季稻任务面积21785亩，完成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21773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亩，再生稻任务面积3000亩，完成3009亩，晚稻任务面积7980亩，完成5428亩，玉米大豆复合种植任务面积460亩，全部完成。三是农业补贴全面落实，指导组织申报并审核稻油轮作及菜籽油大县奖补资金项目面积3070亩、早稻集中育秧补贴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Hans"/>
              </w:rPr>
              <w:t>5090亩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、一次性补贴9526亩以及耕地地力补贴和稻谷补贴，将惠民惠农政策补贴全面落实到位。四是牢牢守住耕地红线，在耕地恢复方面，我镇全年总任务900亩，前期完成900亩，通过初审面积810亩达90%以上。切实落实严格管控类耕地种植结构，全镇严格管控类耕地面积1138.1亩，调整作物种植537.24亩，蔬菜种植210.39亩，旱粮油菜种植168.82亩，水产养殖182.74亩。五是持续优化人居环境，全面推行农村生活垃圾付费制和上户收集制，全面完成农村生活垃圾治理付费服务工作，共计完成11300户共计901550元收缴，群众参与率、企业参与率及收费率达98%。全力推进生活垃圾上户收集制度，从源头进行管控，年均处理生活垃圾3160余吨，与去年同期减少30%的生活垃圾处理量，有效地做到了从源头减少垃圾处理量。同时，为进一步节约开支，今年3月取消了镇域垃圾处理第三方服务，全年为财政节约支出近16万元，同时省去了第三方管理环节，让工作开展更高效。全面完成农村厕所“回头看”检查1873座，进行整改重建厕所9座，新建厕所65座。六是兜好生态环保底线。全年开展秸秆禁烧巡查100余次，处理焚烧秸秆垃圾43起，处罚1起。及时处理各类环保问题31个。同时加强与县级部门的配合。下达现场监测文书16份整改指令22条。省环保督察期间共收到投诉的信访件共计9件，当前已办结8件，另1件问题正在办结中。2023年国土绿化造林在红星村、石垅村、紫竹村、谭家山村、月仙村、石荷村规划完成任务合计5113.9亩。油茶林抚育项目2800亩已全面完成。月仙村70亩林地的松线虫病疫问题，正在全面拔除中，将在年底全面完成。七是不断夯实基础建设。完成全镇乡道40.64公里的日常养护工作，完成镇污水处理厂建设、管网铺设并投入使用。持续推进水利建设，完成榜塘湖样板河建设，争取上级各类水利建设资金200多万元，以林山塘水库除险加固和小水源工程建设为主，项目涉棠霞、紫竹、谭家山、红星、月仙、茶金等6个村，12月底已基本完成建设。根据“七个一”标准完成村级文化综合服务中心建设，实现每周免费开放42小时，全年开放300天以上。</w:t>
            </w:r>
          </w:p>
          <w:p>
            <w:pPr>
              <w:spacing w:line="360" w:lineRule="auto"/>
              <w:ind w:firstLine="480" w:firstLineChars="200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2023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，面对民生问题，我们强化社会保障，增进民生福祉，持续提高居民生活基础。一是全面加强社会保障，对我镇农村低保436户708人，城镇低保 52 户 72人，农村特困人员201 人，城镇分散供养人员2人，农村低收入边缘家庭 10 户 29 人，城市低保边缘户2户5人，做到应保尽保，应兜尽兜，应退尽退。对城乡困难群众开展临时救助73人次，资金10.4万元。通过“惠民光明行”为600余老人进行白内障检查和养老资格认证，为23名残疾人开展托养服务，向残疾人赠送19台轮椅，为4户残疾人改造厨房、6户改造厕所。二是持续做好就业服务，全年新增农村劳动力转移就业任务168人，完成168人。新增城镇转移就业任务300人，完成300人，失业人员再就业任务190人，完成239人，困难人员再就业任务19人，完成25人。举办电子商务培训班，技能培训和电工培训班各一期，培训人员150人。开展迎老乡，回故乡，创三湘活动，鼓励在外人士回乡创业，已有石荷村刘花香在本村创办了“犇跃农业公司”，解决10个贫困劳动力就业。铁竹村葛小龙回乡创办家庭农场。石垅村段启明投资200余万元创办了小马哥食品有限公司，解决20个贫困劳动力就业。三是不断提升便民服务，全年受理各类行政审批和服务事项260余件。一体化平台办件2229件，办结率100%，事项覆盖率全镇达到了94.21%。群众在家门口即可享受“一站式”“一门式”政务服务。完成1500余人“幸福卡”办理。完成“湘易办”6431名用户注册。依托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12345公共服务和投诉举报平台，提升了民众诉求解决效率，全年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共接到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12345公共服务投诉举报平台群众拨打市（县）长热线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296个，同比下降33%，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群众投诉大幅下降。四是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打造亮点志愿服务，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今年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4月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紫竹村争取到广东绿芽乡村妇女发展基金会“半乡学堂”项目配套资金支持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3万余元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，打造了“圆梦紫竹乡村图书室”，通过吸纳志愿者支教，全年组织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青少年培训活动20余期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，暑期开展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学生心理健康、防溺水、防性侵等安全教育2期，65名学生从中受益。</w:t>
            </w:r>
          </w:p>
          <w:p>
            <w:pPr>
              <w:spacing w:line="360" w:lineRule="auto"/>
              <w:ind w:firstLine="480" w:firstLineChars="200"/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2023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，面对安全问题，我们夯实安全责任，推动综合治理，守护镇域安全发展。一是提升综合治理能力，深化社会治理现代化试点创建行动，启动“数字乡村”基层治理平台建设，推进社会治理创新“智慧乡镇”建设，完善云视频系统、云广播系统平台建设，安装监控系统摄像头达3000户，并与雪亮工程协同发力促进乡村平安稳定，建立了运行维护工作机制，实现数字技术服务日常工作机制常态长效。开展“利剑护蕾”专项普法行动，对学校、集市等人口集中区域开展“扫黄打非”排查行动。广泛宣传反诈APP，开展打击整治养老诈骗专项行动和打击治理电信网络诈骗工作4次。二是抓好信访维稳工作，深化矛盾纠纷排查化解专项行动，广泛收集各类矛盾纠纷254条，其中重大矛盾纠纷20条，一般矛盾纠纷234条，化解202条，缓解34条，稳控11条，进一步跟踪7条。做好信访及社会稳定重点人员稳控工作，针对61名重点稳控人员和5个重点群体分类管控，其中中央四部委交办7人，省市交办15人，县交办16人。劝阻赴省进京信访23人次。做好禁毒工作，对于在册吸毒人员296人，社区戒毒（康复）18人。落实好高风险2人、中风险18人稳控措施，落实走访摸排重点人员情况，做好社会面吸毒人员风险评估，确保六个不发生。三是坚守安全发展底线，集中开展大检查6批次，检查企业、零售店、问题区域共100余处，排查出重大安全隐患49条，整改治理49条，其余一般隐患立行立改全部整治到位。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强化对道路交通、马路市场的整治工作，集中开展了道路超限超载检查4次、卡点检查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60余次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、出动人员360余人次，查处超限超载车辆6台、摩托车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400余台，确保了集贸市场周边持续稳定。开展好学生防溺水工作，组织开展防溺水专题会议3场，设置防溺水警告警示牌200余块，横幅100余条，救生圈200余个，有效地防范了学生溺水事件。对全镇经营性自建房开展回头看检查471处，并张贴经营性居民自建房安全明白卡。对10户农村危房争取10万元危改补助金。对燃气点进行了日常巡查30次，出动175人次，对25户28处安全隐患下达整改，已限期完成。四是严厉开展执法工作，全年各类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巡查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483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次，立案数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9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件，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其中林业案件7起、罚款228884元，环保1起、罚款1000元，国土1起罚款3000元。共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处罚案件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9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件，到位罚没款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23.2万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元。五是持续开展民情走访，切实解决群众问题，提高群众满意度，实现民调工作从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末尾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  <w:t>到全市第五、全县第一的大进步。</w:t>
            </w:r>
          </w:p>
          <w:p>
            <w:pPr>
              <w:spacing w:line="360" w:lineRule="auto"/>
              <w:ind w:firstLine="480" w:firstLineChars="200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2023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年，我们以“三牛四敢”为底色，以“办实事，求实效”为要求。我们以“越是艰难越是向前”的精神，收紧腰带，进一步完善财务制度流程，通过强化财政管理、严控“三公”消费、财务集中会审等一系列方法，实现全年预算和专项拨款等财政总收入3329.6万元，支出3268.04万元，做到了收支平衡，略有结余。我们以“刀刃向内、刮骨疗毒”的意志，扎实开展“转作风”行动，举一反三，严查各类资金数据，增强教育整顿力度和深度，加强督查督办，严格落实政策。聚焦惠农资金发放等169条存疑数据，生态公益林、高龄津贴等资金的问题，约谈12人，提醒谈话3人，收回资金2250元。我们以“一锤接着一锤敲，不达目标不松劲”的韧劲，扎实推动醴娄高速和500千伏线路工程项目建设，目前醴娄高速项目路基部分已完成80%以上，但后期边线房问题仍任务艰巨、责任重大。500千伏线路工程项目塔基建设仍未完工，房屋征拆还未启动。要实现醴娄高速2024年通车，实现500千伏线路工程项目在明年6月前全面完成，唯有保持不懈怠、不松劲的工作态势、顽强的韧劲才能实现。我们以“脚步丈量土地”“积跬步以至千里”的态度，一条条一遍遍对标对表工作要求，一步步一户户扎实走访千家万户，扎扎实实做好“河长”“田长”“林长”制任务，认认真真落实乡村振兴、房屋安全、医保收缴、防溺水、防中毒和民情走访工作。</w:t>
            </w:r>
          </w:p>
          <w:p>
            <w:pPr>
              <w:spacing w:line="360" w:lineRule="auto"/>
              <w:ind w:firstLine="480" w:firstLineChars="200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除此之外，机关事务、民族宗教、消防、武装、工会、共青团、妇联、残联、老干等各项工作扎实开展，各民主党派和其他社会团体工作不断加强。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360" w:lineRule="auto"/>
              <w:ind w:firstLine="480" w:firstLineChars="200"/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存在的问题分析及改进措施</w:t>
            </w:r>
          </w:p>
        </w:tc>
        <w:tc>
          <w:tcPr>
            <w:tcW w:w="1697" w:type="dxa"/>
            <w:vAlign w:val="center"/>
          </w:tcPr>
          <w:p>
            <w:pPr>
              <w:spacing w:line="360" w:lineRule="auto"/>
              <w:ind w:firstLine="240" w:firstLineChars="100"/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存在的问题</w:t>
            </w:r>
          </w:p>
        </w:tc>
        <w:tc>
          <w:tcPr>
            <w:tcW w:w="5958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在肯定成绩的同时，我们必须清醒地认识到我们的工作还存在着一些困难和不足，主要表现在以下几个方面：一是预算控制有待加强：体制基数与财政总预算支出不匹配，专项资金难预计和难确定资金来源；二是重点项目建设资金缺口较大，工程进展较慢；三是预算编制工作有待细化，预算编制不够科学合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360" w:lineRule="auto"/>
              <w:ind w:firstLine="480" w:firstLineChars="200"/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1697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改进措施</w:t>
            </w:r>
          </w:p>
        </w:tc>
        <w:tc>
          <w:tcPr>
            <w:tcW w:w="5958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这些问题，是本单位工作的重中之重，镇党委、政府必将高度重视，并切实加以解决。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、加强预算的科学性、计划性。坚守“先有预算，后有支出”的底线，无预算不得支出，且严格要求在预算范围内开支；优化预算编制的合理性，强化内部控制制度。预算的合理性是行政事业单位内部控制的精髓，应重视部门预算，增强预算业务控制，充分发挥预算控制在内部控制中的重要作用。本单位在部门预算编制环节，均采用“二上二下”的形式进行编制。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、乡镇专项资金应在年初的时候根据政府下达的工作任务，合理地预算好专项项目的成本费用列支情况，必要的时候聘请中介机构进行造价的合理估算，集体决议后统一上报，大力整合各项财政资金，集中投向专项项目，保证项目的正常运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360" w:lineRule="auto"/>
              <w:ind w:firstLine="480" w:firstLineChars="200"/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1697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其他需要说明问题</w:t>
            </w:r>
          </w:p>
        </w:tc>
        <w:tc>
          <w:tcPr>
            <w:tcW w:w="5958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hint="default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无</w:t>
            </w:r>
          </w:p>
        </w:tc>
      </w:tr>
    </w:tbl>
    <w:p>
      <w:pPr>
        <w:spacing w:line="360" w:lineRule="auto"/>
        <w:ind w:firstLine="480" w:firstLineChars="200"/>
        <w:rPr>
          <w:rFonts w:hint="default" w:ascii="仿宋_GB2312" w:hAnsi="宋体" w:eastAsia="仿宋_GB2312" w:cs="宋体"/>
          <w:kern w:val="0"/>
          <w:sz w:val="24"/>
          <w:lang w:eastAsia="zh-CN"/>
        </w:rPr>
      </w:pPr>
    </w:p>
    <w:p>
      <w:pPr>
        <w:spacing w:line="360" w:lineRule="auto"/>
        <w:ind w:firstLine="480" w:firstLineChars="200"/>
        <w:rPr>
          <w:rFonts w:hint="default" w:ascii="仿宋_GB2312" w:hAnsi="宋体" w:eastAsia="仿宋_GB2312" w:cs="宋体"/>
          <w:kern w:val="0"/>
          <w:sz w:val="24"/>
          <w:lang w:eastAsia="zh-CN"/>
        </w:rPr>
      </w:pPr>
    </w:p>
    <w:sectPr>
      <w:pgSz w:w="11906" w:h="16838"/>
      <w:pgMar w:top="1440" w:right="141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E5ZTEwZDA2M2NkODNiMTZhZjI1MGY4NjEwYzI0NDcifQ=="/>
  </w:docVars>
  <w:rsids>
    <w:rsidRoot w:val="00B86CF5"/>
    <w:rsid w:val="00021C6A"/>
    <w:rsid w:val="00090A25"/>
    <w:rsid w:val="000C3168"/>
    <w:rsid w:val="00181616"/>
    <w:rsid w:val="002300C3"/>
    <w:rsid w:val="002E5B04"/>
    <w:rsid w:val="002E68B1"/>
    <w:rsid w:val="00394F29"/>
    <w:rsid w:val="0048553F"/>
    <w:rsid w:val="004E1662"/>
    <w:rsid w:val="00533C68"/>
    <w:rsid w:val="005678F6"/>
    <w:rsid w:val="006F4F0C"/>
    <w:rsid w:val="008D0458"/>
    <w:rsid w:val="00942636"/>
    <w:rsid w:val="00957619"/>
    <w:rsid w:val="009C5C83"/>
    <w:rsid w:val="00A81527"/>
    <w:rsid w:val="00A86CFC"/>
    <w:rsid w:val="00AE5FC4"/>
    <w:rsid w:val="00B6562C"/>
    <w:rsid w:val="00B86CF5"/>
    <w:rsid w:val="00B90944"/>
    <w:rsid w:val="00BB1A54"/>
    <w:rsid w:val="00BE186B"/>
    <w:rsid w:val="00BE1BF3"/>
    <w:rsid w:val="00BF058A"/>
    <w:rsid w:val="00BF7029"/>
    <w:rsid w:val="00C12E57"/>
    <w:rsid w:val="00C478BC"/>
    <w:rsid w:val="00D06DCB"/>
    <w:rsid w:val="00D24B37"/>
    <w:rsid w:val="00D34ECB"/>
    <w:rsid w:val="00E01049"/>
    <w:rsid w:val="00E84C79"/>
    <w:rsid w:val="00EA575D"/>
    <w:rsid w:val="00EA7EF2"/>
    <w:rsid w:val="00EE4BED"/>
    <w:rsid w:val="00F1448A"/>
    <w:rsid w:val="00F80D41"/>
    <w:rsid w:val="00FA7908"/>
    <w:rsid w:val="00FB3514"/>
    <w:rsid w:val="05BA3E5F"/>
    <w:rsid w:val="08042101"/>
    <w:rsid w:val="11F1099F"/>
    <w:rsid w:val="16DA2904"/>
    <w:rsid w:val="1B1C798F"/>
    <w:rsid w:val="237D553A"/>
    <w:rsid w:val="261E558D"/>
    <w:rsid w:val="289B5D9F"/>
    <w:rsid w:val="28DC12E8"/>
    <w:rsid w:val="2962390D"/>
    <w:rsid w:val="298B7451"/>
    <w:rsid w:val="35452569"/>
    <w:rsid w:val="367E24BE"/>
    <w:rsid w:val="49DE7B72"/>
    <w:rsid w:val="4D34390D"/>
    <w:rsid w:val="59C0701E"/>
    <w:rsid w:val="5E1208BD"/>
    <w:rsid w:val="5EE513A4"/>
    <w:rsid w:val="69B6668F"/>
    <w:rsid w:val="70F06AA9"/>
    <w:rsid w:val="74C61876"/>
    <w:rsid w:val="7A160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qFormat="1" w:unhideWhenUsed="0" w:uiPriority="0" w:semiHidden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qFormat="1" w:unhideWhenUsed="0" w:uiPriority="0" w:semiHidden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qFormat="1" w:unhideWhenUsed="0" w:uiPriority="0" w:semiHidden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next w:val="3"/>
    <w:qFormat/>
    <w:uiPriority w:val="0"/>
    <w:pPr>
      <w:widowControl w:val="0"/>
      <w:snapToGrid w:val="0"/>
      <w:jc w:val="left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toc 5"/>
    <w:next w:val="1"/>
    <w:qFormat/>
    <w:uiPriority w:val="0"/>
    <w:pPr>
      <w:widowControl w:val="0"/>
      <w:ind w:left="168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index 5"/>
    <w:basedOn w:val="1"/>
    <w:next w:val="1"/>
    <w:qFormat/>
    <w:uiPriority w:val="0"/>
    <w:pPr>
      <w:ind w:left="1680"/>
    </w:pPr>
    <w:rPr>
      <w:rFonts w:ascii="Times New Roman" w:hAnsi="Times New Roman" w:cs="Times New Roman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Body Text First Indent"/>
    <w:basedOn w:val="3"/>
    <w:next w:val="5"/>
    <w:qFormat/>
    <w:uiPriority w:val="0"/>
    <w:pPr>
      <w:ind w:firstLine="420" w:firstLineChars="100"/>
    </w:pPr>
  </w:style>
  <w:style w:type="character" w:styleId="12">
    <w:name w:val="Hyperlink"/>
    <w:basedOn w:val="11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字符"/>
    <w:basedOn w:val="11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11"/>
    <w:link w:val="6"/>
    <w:qFormat/>
    <w:uiPriority w:val="0"/>
    <w:rPr>
      <w:kern w:val="2"/>
      <w:sz w:val="18"/>
      <w:szCs w:val="18"/>
    </w:rPr>
  </w:style>
  <w:style w:type="paragraph" w:styleId="15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6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7">
    <w:name w:val="NormalCharacter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9</Pages>
  <Words>5598</Words>
  <Characters>6047</Characters>
  <Lines>67</Lines>
  <Paragraphs>19</Paragraphs>
  <TotalTime>21</TotalTime>
  <ScaleCrop>false</ScaleCrop>
  <LinksUpToDate>false</LinksUpToDate>
  <CharactersWithSpaces>6055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2022-05-24T02:33:00Z</dcterms:created>
  <dc:creator>kin</dc:creator>
  <cp:lastModifiedBy>KAI</cp:lastModifiedBy>
  <cp:lastPrinted>2019-08-29T02:25:00Z</cp:lastPrinted>
  <dcterms:modified xsi:type="dcterms:W3CDTF">2024-05-27T08:46:57Z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04D0A70C260245549FE335A8192A203D_13</vt:lpwstr>
  </property>
</Properties>
</file>