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0F1" w:rsidRDefault="00440C9C">
      <w:pPr>
        <w:widowControl/>
        <w:jc w:val="left"/>
        <w:rPr>
          <w:rFonts w:ascii="黑体" w:eastAsia="黑体" w:hAnsi="黑体" w:cs="黑体"/>
          <w:color w:val="000000"/>
          <w:sz w:val="32"/>
          <w:szCs w:val="32"/>
        </w:rPr>
      </w:pPr>
      <w:r>
        <w:rPr>
          <w:rFonts w:ascii="黑体" w:eastAsia="黑体" w:hAnsi="黑体" w:cs="黑体" w:hint="eastAsia"/>
          <w:color w:val="000000"/>
          <w:sz w:val="32"/>
          <w:szCs w:val="32"/>
        </w:rPr>
        <w:t>附件5</w:t>
      </w:r>
    </w:p>
    <w:p w:rsidR="008010F1" w:rsidRDefault="00440C9C">
      <w:pPr>
        <w:widowControl/>
        <w:jc w:val="center"/>
        <w:rPr>
          <w:rFonts w:ascii="仿宋_GB2312" w:eastAsia="仿宋_GB2312" w:hAnsi="仿宋_GB2312" w:cs="仿宋_GB2312"/>
          <w:b/>
          <w:bCs/>
          <w:kern w:val="0"/>
          <w:sz w:val="32"/>
          <w:szCs w:val="32"/>
        </w:rPr>
      </w:pPr>
      <w:r>
        <w:rPr>
          <w:rFonts w:ascii="宋体" w:hAnsi="宋体" w:cs="仿宋_GB2312" w:hint="eastAsia"/>
          <w:b/>
          <w:bCs/>
          <w:color w:val="000000"/>
          <w:kern w:val="0"/>
          <w:sz w:val="36"/>
          <w:szCs w:val="36"/>
        </w:rPr>
        <w:t>部门整体支出绩效</w:t>
      </w:r>
    </w:p>
    <w:p w:rsidR="008010F1" w:rsidRDefault="00440C9C">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bCs/>
          <w:color w:val="000000"/>
          <w:kern w:val="0"/>
          <w:sz w:val="36"/>
          <w:szCs w:val="36"/>
        </w:rPr>
        <w:t>项目支出绩效评价报告</w:t>
      </w:r>
    </w:p>
    <w:tbl>
      <w:tblPr>
        <w:tblpPr w:leftFromText="180" w:rightFromText="180" w:vertAnchor="text" w:horzAnchor="margin" w:tblpXSpec="center" w:tblpY="18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7"/>
        <w:gridCol w:w="1985"/>
        <w:gridCol w:w="5670"/>
      </w:tblGrid>
      <w:tr w:rsidR="008010F1">
        <w:trPr>
          <w:trHeight w:val="675"/>
          <w:jc w:val="center"/>
        </w:trPr>
        <w:tc>
          <w:tcPr>
            <w:tcW w:w="1567" w:type="dxa"/>
            <w:vMerge w:val="restart"/>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部门概况</w:t>
            </w: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专项名称</w:t>
            </w:r>
          </w:p>
        </w:tc>
        <w:tc>
          <w:tcPr>
            <w:tcW w:w="5670" w:type="dxa"/>
            <w:vAlign w:val="center"/>
          </w:tcPr>
          <w:p w:rsidR="008010F1" w:rsidRDefault="00440C9C">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部门整体支出绩效</w:t>
            </w:r>
          </w:p>
        </w:tc>
      </w:tr>
      <w:tr w:rsidR="008010F1">
        <w:trPr>
          <w:trHeight w:val="675"/>
          <w:jc w:val="center"/>
        </w:trPr>
        <w:tc>
          <w:tcPr>
            <w:tcW w:w="1567" w:type="dxa"/>
            <w:vMerge/>
          </w:tcPr>
          <w:p w:rsidR="008010F1" w:rsidRDefault="008010F1">
            <w:pPr>
              <w:spacing w:line="576" w:lineRule="exact"/>
              <w:jc w:val="center"/>
              <w:rPr>
                <w:rFonts w:ascii="仿宋_GB2312" w:eastAsia="仿宋_GB2312" w:hAnsi="宋体" w:cs="宋体"/>
                <w:szCs w:val="32"/>
              </w:rPr>
            </w:pP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年度预算金额</w:t>
            </w:r>
          </w:p>
        </w:tc>
        <w:tc>
          <w:tcPr>
            <w:tcW w:w="5670" w:type="dxa"/>
            <w:vAlign w:val="center"/>
          </w:tcPr>
          <w:p w:rsidR="008010F1" w:rsidRDefault="004241A4">
            <w:pPr>
              <w:spacing w:line="576" w:lineRule="exact"/>
              <w:ind w:rightChars="419" w:right="880"/>
              <w:jc w:val="center"/>
              <w:rPr>
                <w:rFonts w:ascii="仿宋_GB2312" w:eastAsia="仿宋_GB2312" w:hAnsi="宋体" w:cs="宋体"/>
                <w:szCs w:val="32"/>
              </w:rPr>
            </w:pPr>
            <w:r w:rsidRPr="004241A4">
              <w:rPr>
                <w:rFonts w:ascii="仿宋_GB2312" w:eastAsia="仿宋_GB2312" w:hAnsi="宋体" w:cs="宋体" w:hint="eastAsia"/>
                <w:szCs w:val="32"/>
              </w:rPr>
              <w:t>111820.55</w:t>
            </w:r>
            <w:r w:rsidR="00440C9C">
              <w:rPr>
                <w:rFonts w:ascii="仿宋_GB2312" w:eastAsia="仿宋_GB2312" w:hAnsi="宋体" w:cs="宋体" w:hint="eastAsia"/>
                <w:szCs w:val="32"/>
              </w:rPr>
              <w:t>万元</w:t>
            </w:r>
          </w:p>
        </w:tc>
      </w:tr>
      <w:tr w:rsidR="008010F1">
        <w:trPr>
          <w:trHeight w:val="675"/>
          <w:jc w:val="center"/>
        </w:trPr>
        <w:tc>
          <w:tcPr>
            <w:tcW w:w="1567" w:type="dxa"/>
            <w:vMerge/>
          </w:tcPr>
          <w:p w:rsidR="008010F1" w:rsidRDefault="008010F1">
            <w:pPr>
              <w:spacing w:line="576" w:lineRule="exact"/>
              <w:jc w:val="center"/>
              <w:rPr>
                <w:rFonts w:ascii="仿宋_GB2312" w:eastAsia="仿宋_GB2312" w:hAnsi="宋体" w:cs="宋体"/>
                <w:szCs w:val="32"/>
              </w:rPr>
            </w:pP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项目主管部门</w:t>
            </w:r>
          </w:p>
        </w:tc>
        <w:tc>
          <w:tcPr>
            <w:tcW w:w="5670" w:type="dxa"/>
            <w:vAlign w:val="center"/>
          </w:tcPr>
          <w:p w:rsidR="008010F1" w:rsidRDefault="00440C9C">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湘潭县教育局</w:t>
            </w:r>
          </w:p>
        </w:tc>
      </w:tr>
      <w:tr w:rsidR="008010F1">
        <w:trPr>
          <w:trHeight w:val="680"/>
          <w:jc w:val="center"/>
        </w:trPr>
        <w:tc>
          <w:tcPr>
            <w:tcW w:w="1567" w:type="dxa"/>
            <w:vMerge/>
          </w:tcPr>
          <w:p w:rsidR="008010F1" w:rsidRDefault="008010F1">
            <w:pPr>
              <w:spacing w:line="576" w:lineRule="exact"/>
              <w:jc w:val="center"/>
              <w:rPr>
                <w:rFonts w:ascii="仿宋_GB2312" w:eastAsia="仿宋_GB2312" w:hAnsi="宋体" w:cs="宋体"/>
                <w:szCs w:val="32"/>
              </w:rPr>
            </w:pP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项目立项目的</w:t>
            </w:r>
          </w:p>
        </w:tc>
        <w:tc>
          <w:tcPr>
            <w:tcW w:w="5670" w:type="dxa"/>
            <w:vAlign w:val="center"/>
          </w:tcPr>
          <w:p w:rsidR="008010F1" w:rsidRDefault="00440C9C">
            <w:pPr>
              <w:spacing w:line="276" w:lineRule="exact"/>
              <w:ind w:rightChars="419" w:right="880" w:firstLineChars="200" w:firstLine="420"/>
              <w:jc w:val="center"/>
              <w:rPr>
                <w:rFonts w:ascii="仿宋_GB2312" w:eastAsia="仿宋_GB2312" w:hAnsi="宋体" w:cs="宋体"/>
                <w:szCs w:val="32"/>
              </w:rPr>
            </w:pPr>
            <w:r>
              <w:rPr>
                <w:rFonts w:ascii="仿宋_GB2312" w:eastAsia="仿宋_GB2312" w:hAnsi="宋体" w:cs="宋体" w:hint="eastAsia"/>
                <w:szCs w:val="32"/>
              </w:rPr>
              <w:t>通过绩效评价，改进预算管理，优化资源配置，控制节约成本，提高管理效能和服务水平。</w:t>
            </w:r>
          </w:p>
        </w:tc>
      </w:tr>
      <w:tr w:rsidR="008010F1">
        <w:trPr>
          <w:trHeight w:val="1357"/>
          <w:jc w:val="center"/>
        </w:trPr>
        <w:tc>
          <w:tcPr>
            <w:tcW w:w="1567" w:type="dxa"/>
            <w:vMerge w:val="restart"/>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绩效情况</w:t>
            </w: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项目支出管理和使用基本情况</w:t>
            </w:r>
          </w:p>
        </w:tc>
        <w:tc>
          <w:tcPr>
            <w:tcW w:w="5670" w:type="dxa"/>
            <w:vAlign w:val="center"/>
          </w:tcPr>
          <w:p w:rsidR="008010F1" w:rsidRDefault="00440C9C">
            <w:pPr>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根据绩效评价的有关要求和《湘潭县财政局202</w:t>
            </w:r>
            <w:r w:rsidR="004241A4">
              <w:rPr>
                <w:rFonts w:ascii="仿宋_GB2312" w:eastAsia="仿宋_GB2312" w:hAnsi="宋体" w:cs="宋体" w:hint="eastAsia"/>
                <w:szCs w:val="32"/>
              </w:rPr>
              <w:t>4</w:t>
            </w:r>
            <w:r>
              <w:rPr>
                <w:rFonts w:ascii="仿宋_GB2312" w:eastAsia="仿宋_GB2312" w:hAnsi="宋体" w:cs="宋体" w:hint="eastAsia"/>
                <w:szCs w:val="32"/>
              </w:rPr>
              <w:t>年预算绩效管理工作方案的通知》等文件精神，我局成立了湘潭县教育局绩效评价工作领导小组，由局长任组长，分管财务的副局长任副组长，党委成员和各股室负责人为领导小组成员；并制定了《湘潭县教育局202</w:t>
            </w:r>
            <w:r w:rsidR="004241A4">
              <w:rPr>
                <w:rFonts w:ascii="仿宋_GB2312" w:eastAsia="仿宋_GB2312" w:hAnsi="宋体" w:cs="宋体" w:hint="eastAsia"/>
                <w:szCs w:val="32"/>
              </w:rPr>
              <w:t>3</w:t>
            </w:r>
            <w:r>
              <w:rPr>
                <w:rFonts w:ascii="仿宋_GB2312" w:eastAsia="仿宋_GB2312" w:hAnsi="宋体" w:cs="宋体" w:hint="eastAsia"/>
                <w:szCs w:val="32"/>
              </w:rPr>
              <w:t>年绩效自评工作方案》，成立了工作小组。</w:t>
            </w:r>
          </w:p>
          <w:p w:rsidR="004241A4" w:rsidRDefault="00440C9C" w:rsidP="004241A4">
            <w:pPr>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按照《湘潭县教育局202</w:t>
            </w:r>
            <w:r w:rsidR="004241A4">
              <w:rPr>
                <w:rFonts w:ascii="仿宋_GB2312" w:eastAsia="仿宋_GB2312" w:hAnsi="宋体" w:cs="宋体" w:hint="eastAsia"/>
                <w:szCs w:val="32"/>
              </w:rPr>
              <w:t>3</w:t>
            </w:r>
            <w:r>
              <w:rPr>
                <w:rFonts w:ascii="仿宋_GB2312" w:eastAsia="仿宋_GB2312" w:hAnsi="宋体" w:cs="宋体" w:hint="eastAsia"/>
                <w:szCs w:val="32"/>
              </w:rPr>
              <w:t>年度财政支出项目资金绩效自评工作方案》要求，我局召开了专题会议，明确了分工和责任。由各单位组织人员查阅相关资料，提交工作小组讨论并对照评价指标体系进行自评打分，最后撰写自评报告，并将有关的材料汇总装订成册交发展规划和财务股。</w:t>
            </w:r>
          </w:p>
          <w:p w:rsidR="004241A4" w:rsidRDefault="004241A4" w:rsidP="004241A4">
            <w:pPr>
              <w:spacing w:line="240" w:lineRule="exact"/>
              <w:ind w:firstLineChars="200" w:firstLine="420"/>
              <w:jc w:val="left"/>
              <w:rPr>
                <w:rFonts w:ascii="仿宋_GB2312" w:eastAsia="仿宋_GB2312" w:hAnsi="宋体" w:cs="宋体"/>
                <w:szCs w:val="32"/>
              </w:rPr>
            </w:pPr>
            <w:r w:rsidRPr="004241A4">
              <w:rPr>
                <w:rFonts w:ascii="仿宋_GB2312" w:eastAsia="仿宋_GB2312" w:hAnsi="宋体" w:cs="宋体" w:hint="eastAsia"/>
                <w:szCs w:val="32"/>
              </w:rPr>
              <w:t>1、2023年预算收入111820.55万元，其中一般公共预算拨款87127.18万元，上级补助收入17551.65万元，纳入专户管理的非税收入拨款7141.72万元。</w:t>
            </w:r>
          </w:p>
          <w:p w:rsidR="004241A4" w:rsidRDefault="004241A4" w:rsidP="004241A4">
            <w:pPr>
              <w:spacing w:line="240" w:lineRule="exact"/>
              <w:ind w:firstLineChars="200" w:firstLine="420"/>
              <w:jc w:val="left"/>
              <w:rPr>
                <w:rFonts w:ascii="仿宋_GB2312" w:eastAsia="仿宋_GB2312" w:hAnsi="宋体" w:cs="宋体"/>
                <w:szCs w:val="32"/>
              </w:rPr>
            </w:pPr>
            <w:r w:rsidRPr="004241A4">
              <w:rPr>
                <w:rFonts w:ascii="仿宋_GB2312" w:eastAsia="仿宋_GB2312" w:hAnsi="宋体" w:cs="宋体" w:hint="eastAsia"/>
                <w:szCs w:val="32"/>
              </w:rPr>
              <w:t>2、2023年预算支出111820.55万元，其中：基本支出82680.59万元（其中工资福利支出78397.25万元，商品和服务支出2322.52万元，对个人和家庭的补助支出1960.82万元）；项目支出29139.96万元（县本级部门预算支出4446.59万元）。</w:t>
            </w:r>
          </w:p>
          <w:p w:rsidR="004241A4" w:rsidRPr="004241A4" w:rsidRDefault="004241A4" w:rsidP="004241A4">
            <w:pPr>
              <w:spacing w:line="240" w:lineRule="exact"/>
              <w:ind w:firstLineChars="200" w:firstLine="420"/>
              <w:jc w:val="left"/>
              <w:rPr>
                <w:rFonts w:ascii="仿宋_GB2312" w:eastAsia="仿宋_GB2312" w:hAnsi="宋体" w:cs="宋体"/>
                <w:szCs w:val="32"/>
              </w:rPr>
            </w:pPr>
            <w:r w:rsidRPr="004241A4">
              <w:rPr>
                <w:rFonts w:ascii="仿宋_GB2312" w:eastAsia="仿宋_GB2312" w:hAnsi="宋体" w:cs="宋体" w:hint="eastAsia"/>
                <w:szCs w:val="32"/>
              </w:rPr>
              <w:t>3、年中调整预算情况：2023年一般公共预算基本支出年初预算内82680.59万元，追加预算19047.39万元。2023年一般公共预算项目支出年初预算4446.59万元，追加预算7642.53万元。</w:t>
            </w:r>
          </w:p>
          <w:p w:rsidR="008010F1" w:rsidRDefault="008010F1">
            <w:pPr>
              <w:spacing w:line="240" w:lineRule="exact"/>
              <w:ind w:firstLineChars="200" w:firstLine="420"/>
              <w:jc w:val="left"/>
              <w:rPr>
                <w:rFonts w:ascii="仿宋_GB2312" w:eastAsia="仿宋_GB2312" w:hAnsi="宋体" w:cs="宋体"/>
                <w:szCs w:val="32"/>
              </w:rPr>
            </w:pPr>
          </w:p>
        </w:tc>
      </w:tr>
      <w:tr w:rsidR="008010F1">
        <w:trPr>
          <w:trHeight w:val="1230"/>
          <w:jc w:val="center"/>
        </w:trPr>
        <w:tc>
          <w:tcPr>
            <w:tcW w:w="1567" w:type="dxa"/>
            <w:vMerge/>
          </w:tcPr>
          <w:p w:rsidR="008010F1" w:rsidRDefault="008010F1">
            <w:pPr>
              <w:spacing w:line="576" w:lineRule="exact"/>
              <w:jc w:val="center"/>
              <w:rPr>
                <w:rFonts w:ascii="仿宋_GB2312" w:eastAsia="仿宋_GB2312" w:hAnsi="宋体" w:cs="宋体"/>
                <w:szCs w:val="32"/>
              </w:rPr>
            </w:pP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项目绩效目标完成情况</w:t>
            </w:r>
          </w:p>
        </w:tc>
        <w:tc>
          <w:tcPr>
            <w:tcW w:w="5670" w:type="dxa"/>
            <w:vAlign w:val="center"/>
          </w:tcPr>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2023年收入支出预算执行情况：</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1、总收入：139114.44万元。（1）一般公共预算收入113817.09万元,占总收入的81.82%；（2） 事业收入5825.15万元，占总收入的4.18%；（3）政府性基金1.98万元，占总收入0.01%（4） 其他收入19470.22万元，占总收入的13.99%</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2、总支出：138775.82万元。（1） 基本支出119431.55万元，其中一般公共预算支出101727.97万元；（2） 项目支出19344.27万元，其中一般公共预算支出12089.12万元。</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3、年初余额2169.85万元（其中使用非财政拨款结余633.96万元，年初结转和结余1535.99万元），年末余额</w:t>
            </w:r>
            <w:r w:rsidRPr="004241A4">
              <w:rPr>
                <w:rFonts w:ascii="仿宋_GB2312" w:eastAsia="仿宋_GB2312" w:hAnsi="宋体" w:cs="宋体" w:hint="eastAsia"/>
                <w:szCs w:val="32"/>
              </w:rPr>
              <w:lastRenderedPageBreak/>
              <w:t>2508.47万元（其中结余分配1969.37万元，年末结转和结余539.10万元）</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 xml:space="preserve"> “三公”经费支出情况：</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1、2023年公务接待费支出13.23（总支出20.37，一般预算支出13.23，一般预算基本支出12.81）万元，公务用车运行维护费1.86万元，因公出国出境费用0万元，合计“三公经费支出15.09万元。</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2、2023年公务接待费支出预算1.5万元，公务用车运行维护费预算数4.8万元，因公出国出境费用预算数0万元，合计“三公”经费预算支出6.3万元，2023年的实际支出高于预算支出。主要原因是各下属单位均为一级预算单位，年初预算未包含他们的公务招待费用预算支出。</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3、2022年公务接待支出26.09万元，公务用车运行维护费1.87万元，因公出国出境费用2022年费用0万元，2022年“三公”经费支出27.96万元。2023年比2022年减少支出12.87万元，减少46.03%，其中公务接待支出减少12.86万元，原因主要是落实过紧日子要求，厉行节约，从严控制和压缩“三公”经费支出。</w:t>
            </w:r>
          </w:p>
          <w:p w:rsidR="004241A4"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一般运行经费支出情况</w:t>
            </w:r>
            <w:r>
              <w:rPr>
                <w:rFonts w:ascii="仿宋_GB2312" w:eastAsia="仿宋_GB2312" w:hAnsi="宋体" w:cs="宋体" w:hint="eastAsia"/>
                <w:szCs w:val="32"/>
              </w:rPr>
              <w:t>：</w:t>
            </w:r>
          </w:p>
          <w:p w:rsidR="008010F1" w:rsidRDefault="004241A4"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2023年基本支出中的商品和服务支出10390.91万元，2022年基本支出中的商品和服务支出10178.36万元，增加了212.55万元，主要是在办公费和电费增加，因2022年财政资金紧张，部分支出在2023年产生。</w:t>
            </w:r>
          </w:p>
          <w:p w:rsidR="008010F1" w:rsidRPr="004241A4" w:rsidRDefault="00440C9C" w:rsidP="004241A4">
            <w:pPr>
              <w:ind w:firstLineChars="200" w:firstLine="420"/>
              <w:rPr>
                <w:rFonts w:ascii="仿宋_GB2312" w:eastAsia="仿宋_GB2312" w:hAnsi="宋体" w:cs="宋体"/>
                <w:szCs w:val="32"/>
              </w:rPr>
            </w:pPr>
            <w:r w:rsidRPr="004241A4">
              <w:rPr>
                <w:rFonts w:ascii="仿宋_GB2312" w:eastAsia="仿宋_GB2312" w:hAnsi="宋体" w:cs="宋体" w:hint="eastAsia"/>
                <w:szCs w:val="32"/>
              </w:rPr>
              <w:t>根据各单位和部门202</w:t>
            </w:r>
            <w:r w:rsidR="004241A4">
              <w:rPr>
                <w:rFonts w:ascii="仿宋_GB2312" w:eastAsia="仿宋_GB2312" w:hAnsi="宋体" w:cs="宋体" w:hint="eastAsia"/>
                <w:szCs w:val="32"/>
              </w:rPr>
              <w:t>3</w:t>
            </w:r>
            <w:r w:rsidRPr="004241A4">
              <w:rPr>
                <w:rFonts w:ascii="仿宋_GB2312" w:eastAsia="仿宋_GB2312" w:hAnsi="宋体" w:cs="宋体" w:hint="eastAsia"/>
                <w:szCs w:val="32"/>
              </w:rPr>
              <w:t>年绩效自评的基础数据和自评材料，局绩效评价工作小组逐个对照部门整体支出绩效评价指标体系和标准, 分析从决策到实施再到绩效自评过程中的经验与存在的问题，自评打分</w:t>
            </w:r>
            <w:r w:rsidR="004241A4">
              <w:rPr>
                <w:rFonts w:ascii="仿宋_GB2312" w:eastAsia="仿宋_GB2312" w:hAnsi="宋体" w:cs="宋体" w:hint="eastAsia"/>
                <w:szCs w:val="32"/>
              </w:rPr>
              <w:t>100</w:t>
            </w:r>
            <w:r w:rsidRPr="004241A4">
              <w:rPr>
                <w:rFonts w:ascii="仿宋_GB2312" w:eastAsia="仿宋_GB2312" w:hAnsi="宋体" w:cs="宋体" w:hint="eastAsia"/>
                <w:szCs w:val="32"/>
              </w:rPr>
              <w:t>分，评定等次为优秀。</w:t>
            </w:r>
          </w:p>
        </w:tc>
      </w:tr>
      <w:tr w:rsidR="008010F1">
        <w:trPr>
          <w:trHeight w:val="1592"/>
          <w:jc w:val="center"/>
        </w:trPr>
        <w:tc>
          <w:tcPr>
            <w:tcW w:w="1567" w:type="dxa"/>
            <w:vMerge w:val="restart"/>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lastRenderedPageBreak/>
              <w:t>存在的问题分析及改进措施</w:t>
            </w: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w:t>
            </w:r>
          </w:p>
        </w:tc>
        <w:tc>
          <w:tcPr>
            <w:tcW w:w="5670" w:type="dxa"/>
            <w:vAlign w:val="center"/>
          </w:tcPr>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（一）预算方面</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受疫情经济的影响，很多年初预算项目因财政经费保障不足。</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（二）内部控制方面</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内部控制管</w:t>
            </w:r>
            <w:bookmarkStart w:id="0" w:name="_GoBack"/>
            <w:bookmarkEnd w:id="0"/>
            <w:r>
              <w:rPr>
                <w:rFonts w:ascii="仿宋_GB2312" w:eastAsia="仿宋_GB2312" w:hAnsi="宋体" w:cs="宋体" w:hint="eastAsia"/>
                <w:szCs w:val="32"/>
              </w:rPr>
              <w:t>理制度操作的便利性不强</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（三）资金使用方面</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资金的拨付和支付的时效性不够。</w:t>
            </w:r>
          </w:p>
        </w:tc>
      </w:tr>
      <w:tr w:rsidR="008010F1">
        <w:trPr>
          <w:trHeight w:val="1690"/>
          <w:jc w:val="center"/>
        </w:trPr>
        <w:tc>
          <w:tcPr>
            <w:tcW w:w="1567" w:type="dxa"/>
            <w:vMerge/>
          </w:tcPr>
          <w:p w:rsidR="008010F1" w:rsidRDefault="008010F1">
            <w:pPr>
              <w:spacing w:line="576" w:lineRule="exact"/>
              <w:jc w:val="center"/>
              <w:rPr>
                <w:rFonts w:ascii="仿宋_GB2312" w:eastAsia="仿宋_GB2312" w:hAnsi="宋体" w:cs="宋体"/>
                <w:szCs w:val="32"/>
              </w:rPr>
            </w:pP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改进措施</w:t>
            </w:r>
          </w:p>
        </w:tc>
        <w:tc>
          <w:tcPr>
            <w:tcW w:w="5670" w:type="dxa"/>
            <w:vAlign w:val="center"/>
          </w:tcPr>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（一）预算方面</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受疫情经济的影响，很多年初预算项目因财政经费保障不足，预算的执行和完成情况加强。</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（二）内部控制方面</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内部控制需要制定更加方便操作的管理制度。</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（三）资金使用方面</w:t>
            </w:r>
          </w:p>
          <w:p w:rsidR="008010F1" w:rsidRDefault="00440C9C">
            <w:pPr>
              <w:pStyle w:val="a4"/>
              <w:spacing w:line="24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资金的拨付和支付的时效性进一步提高。</w:t>
            </w:r>
          </w:p>
        </w:tc>
      </w:tr>
      <w:tr w:rsidR="008010F1">
        <w:trPr>
          <w:trHeight w:val="1500"/>
          <w:jc w:val="center"/>
        </w:trPr>
        <w:tc>
          <w:tcPr>
            <w:tcW w:w="1567" w:type="dxa"/>
            <w:vMerge/>
          </w:tcPr>
          <w:p w:rsidR="008010F1" w:rsidRDefault="008010F1">
            <w:pPr>
              <w:spacing w:line="576" w:lineRule="exact"/>
              <w:jc w:val="center"/>
              <w:rPr>
                <w:rFonts w:ascii="仿宋_GB2312" w:eastAsia="仿宋_GB2312" w:hAnsi="宋体" w:cs="宋体"/>
                <w:szCs w:val="32"/>
              </w:rPr>
            </w:pPr>
          </w:p>
        </w:tc>
        <w:tc>
          <w:tcPr>
            <w:tcW w:w="1985" w:type="dxa"/>
            <w:vAlign w:val="center"/>
          </w:tcPr>
          <w:p w:rsidR="008010F1" w:rsidRDefault="00440C9C">
            <w:pPr>
              <w:spacing w:line="576" w:lineRule="exact"/>
              <w:jc w:val="center"/>
              <w:rPr>
                <w:rFonts w:ascii="仿宋_GB2312" w:eastAsia="仿宋_GB2312" w:hAnsi="宋体" w:cs="宋体"/>
                <w:szCs w:val="32"/>
              </w:rPr>
            </w:pPr>
            <w:r>
              <w:rPr>
                <w:rFonts w:ascii="仿宋_GB2312" w:eastAsia="仿宋_GB2312" w:hAnsi="宋体" w:cs="宋体" w:hint="eastAsia"/>
                <w:szCs w:val="32"/>
              </w:rPr>
              <w:t>其他需要说明问题</w:t>
            </w:r>
          </w:p>
        </w:tc>
        <w:tc>
          <w:tcPr>
            <w:tcW w:w="5670" w:type="dxa"/>
            <w:vAlign w:val="center"/>
          </w:tcPr>
          <w:p w:rsidR="008010F1" w:rsidRDefault="008010F1">
            <w:pPr>
              <w:spacing w:line="576" w:lineRule="exact"/>
              <w:ind w:rightChars="419" w:right="880"/>
              <w:jc w:val="center"/>
              <w:rPr>
                <w:rFonts w:ascii="仿宋_GB2312" w:eastAsia="仿宋_GB2312" w:hAnsi="宋体" w:cs="宋体"/>
                <w:szCs w:val="32"/>
              </w:rPr>
            </w:pPr>
          </w:p>
        </w:tc>
      </w:tr>
    </w:tbl>
    <w:p w:rsidR="008010F1" w:rsidRDefault="008010F1"/>
    <w:sectPr w:rsidR="008010F1" w:rsidSect="008010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4BEF" w:rsidRDefault="003A4BEF" w:rsidP="004241A4">
      <w:r>
        <w:separator/>
      </w:r>
    </w:p>
  </w:endnote>
  <w:endnote w:type="continuationSeparator" w:id="0">
    <w:p w:rsidR="003A4BEF" w:rsidRDefault="003A4BEF" w:rsidP="004241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4BEF" w:rsidRDefault="003A4BEF" w:rsidP="004241A4">
      <w:r>
        <w:separator/>
      </w:r>
    </w:p>
  </w:footnote>
  <w:footnote w:type="continuationSeparator" w:id="0">
    <w:p w:rsidR="003A4BEF" w:rsidRDefault="003A4BEF" w:rsidP="004241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lmY2M3NDM0MGJlNTY4YzQ2ZjIzMDA2YTY3YWU5ZmIifQ=="/>
  </w:docVars>
  <w:rsids>
    <w:rsidRoot w:val="4B164DAC"/>
    <w:rsid w:val="001C4221"/>
    <w:rsid w:val="003A4BEF"/>
    <w:rsid w:val="004241A4"/>
    <w:rsid w:val="00440C9C"/>
    <w:rsid w:val="008010F1"/>
    <w:rsid w:val="009F6B6B"/>
    <w:rsid w:val="0CA44193"/>
    <w:rsid w:val="1C0B3165"/>
    <w:rsid w:val="4B164D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10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qFormat/>
    <w:rsid w:val="008010F1"/>
    <w:rPr>
      <w:sz w:val="24"/>
    </w:rPr>
  </w:style>
  <w:style w:type="paragraph" w:styleId="a4">
    <w:name w:val="No Spacing"/>
    <w:uiPriority w:val="99"/>
    <w:qFormat/>
    <w:rsid w:val="008010F1"/>
    <w:pPr>
      <w:widowControl w:val="0"/>
      <w:jc w:val="both"/>
    </w:pPr>
    <w:rPr>
      <w:rFonts w:ascii="Calibri" w:hAnsi="Calibri" w:cs="Calibri"/>
      <w:kern w:val="2"/>
      <w:sz w:val="21"/>
      <w:szCs w:val="21"/>
    </w:rPr>
  </w:style>
  <w:style w:type="paragraph" w:styleId="a5">
    <w:name w:val="header"/>
    <w:basedOn w:val="a"/>
    <w:link w:val="Char"/>
    <w:rsid w:val="004241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241A4"/>
    <w:rPr>
      <w:kern w:val="2"/>
      <w:sz w:val="18"/>
      <w:szCs w:val="18"/>
    </w:rPr>
  </w:style>
  <w:style w:type="paragraph" w:styleId="a6">
    <w:name w:val="footer"/>
    <w:basedOn w:val="a"/>
    <w:link w:val="Char0"/>
    <w:rsid w:val="004241A4"/>
    <w:pPr>
      <w:tabs>
        <w:tab w:val="center" w:pos="4153"/>
        <w:tab w:val="right" w:pos="8306"/>
      </w:tabs>
      <w:snapToGrid w:val="0"/>
      <w:jc w:val="left"/>
    </w:pPr>
    <w:rPr>
      <w:sz w:val="18"/>
      <w:szCs w:val="18"/>
    </w:rPr>
  </w:style>
  <w:style w:type="character" w:customStyle="1" w:styleId="Char0">
    <w:name w:val="页脚 Char"/>
    <w:basedOn w:val="a0"/>
    <w:link w:val="a6"/>
    <w:rsid w:val="004241A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296</Words>
  <Characters>1688</Characters>
  <Application>Microsoft Office Word</Application>
  <DocSecurity>0</DocSecurity>
  <Lines>14</Lines>
  <Paragraphs>3</Paragraphs>
  <ScaleCrop>false</ScaleCrop>
  <Company/>
  <LinksUpToDate>false</LinksUpToDate>
  <CharactersWithSpaces>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雨与晴</dc:creator>
  <cp:lastModifiedBy>Administrator</cp:lastModifiedBy>
  <cp:revision>3</cp:revision>
  <cp:lastPrinted>2024-05-20T23:37:00Z</cp:lastPrinted>
  <dcterms:created xsi:type="dcterms:W3CDTF">2021-05-27T07:09:00Z</dcterms:created>
  <dcterms:modified xsi:type="dcterms:W3CDTF">2024-05-20T23:39:00Z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8E1B59649AFB472B833DE635A5848823</vt:lpwstr>
  </property>
</Properties>
</file>