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湘潭县司法局2020年</w:t>
      </w:r>
      <w:r>
        <w:rPr>
          <w:rFonts w:hint="eastAsia" w:ascii="宋体" w:hAnsi="宋体" w:cs="方正小标宋_GBK"/>
          <w:b/>
          <w:bCs/>
          <w:sz w:val="36"/>
          <w:szCs w:val="36"/>
        </w:rPr>
        <w:t>部门整体支出绩效</w:t>
      </w:r>
      <w:r>
        <w:rPr>
          <w:rFonts w:hint="eastAsia" w:ascii="宋体" w:hAnsi="宋体" w:cs="方正小标宋_GBK"/>
          <w:b/>
          <w:bCs/>
          <w:sz w:val="36"/>
          <w:szCs w:val="36"/>
          <w:lang w:eastAsia="zh-CN"/>
        </w:rPr>
        <w:t>自评</w:t>
      </w:r>
      <w:r>
        <w:rPr>
          <w:rFonts w:hint="eastAsia" w:ascii="宋体" w:hAnsi="宋体" w:cs="方正小标宋_GBK"/>
          <w:b/>
          <w:bCs/>
          <w:sz w:val="36"/>
          <w:szCs w:val="36"/>
        </w:rPr>
        <w:t>报告</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napToGrid w:val="0"/>
              <w:spacing w:line="520" w:lineRule="exact"/>
              <w:ind w:left="420" w:leftChars="200"/>
              <w:jc w:val="center"/>
              <w:rPr>
                <w:rFonts w:ascii="仿宋_GB2312" w:hAnsi="宋体" w:eastAsia="仿宋_GB2312" w:cs="宋体"/>
                <w:szCs w:val="21"/>
              </w:rPr>
            </w:pPr>
            <w:r>
              <w:rPr>
                <w:rFonts w:hint="eastAsia" w:ascii="宋体" w:hAnsi="宋体" w:cs="宋体"/>
                <w:color w:val="333333"/>
                <w:kern w:val="0"/>
                <w:sz w:val="24"/>
              </w:rPr>
              <w:t>湘潭县司法局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snapToGrid w:val="0"/>
              <w:spacing w:line="520" w:lineRule="exact"/>
              <w:ind w:left="420" w:leftChars="200"/>
              <w:jc w:val="center"/>
              <w:rPr>
                <w:rFonts w:ascii="宋体" w:hAnsi="宋体" w:cs="宋体"/>
                <w:color w:val="333333"/>
                <w:kern w:val="0"/>
                <w:sz w:val="24"/>
              </w:rPr>
            </w:pPr>
            <w:r>
              <w:rPr>
                <w:rFonts w:hint="eastAsia" w:ascii="宋体" w:hAnsi="宋体" w:cs="宋体"/>
                <w:color w:val="333333"/>
                <w:kern w:val="0"/>
                <w:sz w:val="24"/>
              </w:rPr>
              <w:t>1776.56万元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napToGrid w:val="0"/>
              <w:spacing w:line="520" w:lineRule="exact"/>
              <w:ind w:left="420" w:leftChars="200"/>
              <w:jc w:val="center"/>
              <w:rPr>
                <w:rFonts w:hint="eastAsia" w:ascii="宋体" w:hAnsi="宋体" w:eastAsia="宋体" w:cs="宋体"/>
                <w:color w:val="333333"/>
                <w:kern w:val="0"/>
                <w:sz w:val="24"/>
                <w:lang w:eastAsia="zh-CN"/>
              </w:rPr>
            </w:pPr>
            <w:r>
              <w:rPr>
                <w:rFonts w:hint="eastAsia" w:ascii="宋体" w:hAnsi="宋体" w:cs="宋体"/>
                <w:color w:val="333333"/>
                <w:kern w:val="0"/>
                <w:sz w:val="24"/>
              </w:rPr>
              <w:t>湘潭县</w:t>
            </w:r>
            <w:r>
              <w:rPr>
                <w:rFonts w:hint="eastAsia" w:ascii="宋体" w:hAnsi="宋体" w:cs="宋体"/>
                <w:color w:val="333333"/>
                <w:kern w:val="0"/>
                <w:sz w:val="24"/>
                <w:lang w:eastAsia="zh-CN"/>
              </w:rPr>
              <w:t>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snapToGrid w:val="0"/>
              <w:spacing w:line="520" w:lineRule="exact"/>
              <w:ind w:left="420" w:leftChars="200"/>
              <w:rPr>
                <w:rFonts w:ascii="宋体" w:hAnsi="宋体"/>
                <w:iCs/>
                <w:sz w:val="24"/>
              </w:rPr>
            </w:pPr>
            <w:r>
              <w:rPr>
                <w:rFonts w:hint="eastAsia" w:ascii="宋体" w:hAnsi="宋体"/>
                <w:iCs/>
                <w:sz w:val="24"/>
              </w:rPr>
              <w:t>1）承担全面依法治县重大问题的政策研究，协调有关方面提出全面依法治县中长期规划建议，负责有关重大政策部署督察工作。负责开展依法治县和法治政府建设考核工作。</w:t>
            </w:r>
          </w:p>
          <w:p>
            <w:pPr>
              <w:snapToGrid w:val="0"/>
              <w:spacing w:line="520" w:lineRule="exact"/>
              <w:ind w:left="420" w:leftChars="200"/>
              <w:rPr>
                <w:rFonts w:ascii="宋体" w:hAnsi="宋体"/>
                <w:iCs/>
                <w:sz w:val="24"/>
              </w:rPr>
            </w:pPr>
            <w:r>
              <w:rPr>
                <w:rFonts w:hint="eastAsia" w:ascii="宋体" w:hAnsi="宋体"/>
                <w:iCs/>
                <w:sz w:val="24"/>
              </w:rPr>
              <w:t>2）贯彻执行国家、省、市有关司法行政的方针、政策和法律法规；拟定全县司法行政工作发展中、长期规划和年度计划并监督实施。</w:t>
            </w:r>
          </w:p>
          <w:p>
            <w:pPr>
              <w:snapToGrid w:val="0"/>
              <w:spacing w:line="520" w:lineRule="exact"/>
              <w:ind w:left="420" w:leftChars="200"/>
              <w:rPr>
                <w:rFonts w:ascii="宋体" w:hAnsi="宋体"/>
                <w:iCs/>
                <w:sz w:val="24"/>
              </w:rPr>
            </w:pPr>
            <w:r>
              <w:rPr>
                <w:rFonts w:hint="eastAsia" w:ascii="宋体" w:hAnsi="宋体"/>
                <w:iCs/>
                <w:sz w:val="24"/>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pPr>
              <w:snapToGrid w:val="0"/>
              <w:spacing w:line="520" w:lineRule="exact"/>
              <w:ind w:left="420" w:leftChars="200"/>
              <w:rPr>
                <w:rFonts w:ascii="宋体" w:hAnsi="宋体"/>
                <w:iCs/>
                <w:sz w:val="24"/>
              </w:rPr>
            </w:pPr>
            <w:r>
              <w:rPr>
                <w:rFonts w:hint="eastAsia" w:ascii="宋体" w:hAnsi="宋体"/>
                <w:iCs/>
                <w:sz w:val="24"/>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pPr>
              <w:snapToGrid w:val="0"/>
              <w:spacing w:line="520" w:lineRule="exact"/>
              <w:ind w:left="420" w:leftChars="200"/>
              <w:rPr>
                <w:rFonts w:ascii="宋体" w:hAnsi="宋体"/>
                <w:iCs/>
                <w:sz w:val="24"/>
              </w:rPr>
            </w:pPr>
            <w:r>
              <w:rPr>
                <w:rFonts w:hint="eastAsia" w:ascii="宋体" w:hAnsi="宋体"/>
                <w:iCs/>
                <w:sz w:val="24"/>
              </w:rPr>
              <w:t>5）督促指导县直有关单位规范政府合同管理，负责县政府重大投资项目合同的起草或审核。</w:t>
            </w:r>
          </w:p>
          <w:p>
            <w:pPr>
              <w:snapToGrid w:val="0"/>
              <w:spacing w:line="520" w:lineRule="exact"/>
              <w:ind w:left="420" w:leftChars="200"/>
              <w:rPr>
                <w:rFonts w:ascii="宋体" w:hAnsi="宋体"/>
                <w:iCs/>
                <w:sz w:val="24"/>
              </w:rPr>
            </w:pPr>
            <w:r>
              <w:rPr>
                <w:rFonts w:hint="eastAsia" w:ascii="宋体" w:hAnsi="宋体"/>
                <w:iCs/>
                <w:sz w:val="24"/>
              </w:rPr>
              <w:t>6）承担统筹规划全县法治社会建设的责任。负责拟订法治宣传教育规划，组织实施普法宣传工作，组织对外法制宣传。组织县政府常务会议学法活动。推动人民参与和促进法治建设。指导依法治理和法治创建工作。指导监督人民调解工作和人民陪审员、人民监督员选任管理工作，推进司法所建设。</w:t>
            </w:r>
          </w:p>
          <w:p>
            <w:pPr>
              <w:snapToGrid w:val="0"/>
              <w:spacing w:line="520" w:lineRule="exact"/>
              <w:ind w:left="420" w:leftChars="200"/>
              <w:rPr>
                <w:rFonts w:ascii="宋体" w:hAnsi="宋体"/>
                <w:iCs/>
                <w:sz w:val="24"/>
              </w:rPr>
            </w:pPr>
            <w:r>
              <w:rPr>
                <w:rFonts w:hint="eastAsia" w:ascii="宋体" w:hAnsi="宋体"/>
                <w:iCs/>
                <w:sz w:val="24"/>
              </w:rPr>
              <w:t>7）指导管理全县社区矫正工作；指导全县刑满释放人员的安置帮教工作。</w:t>
            </w:r>
          </w:p>
          <w:p>
            <w:pPr>
              <w:snapToGrid w:val="0"/>
              <w:spacing w:line="520" w:lineRule="exact"/>
              <w:ind w:left="420" w:leftChars="200"/>
              <w:rPr>
                <w:rFonts w:ascii="宋体" w:hAnsi="宋体"/>
                <w:iCs/>
                <w:sz w:val="24"/>
              </w:rPr>
            </w:pPr>
            <w:r>
              <w:rPr>
                <w:rFonts w:hint="eastAsia" w:ascii="宋体" w:hAnsi="宋体"/>
                <w:iCs/>
                <w:sz w:val="24"/>
              </w:rPr>
              <w:t>8）负责拟订公共法律服务体系建设规划并指导实施，统筹和布局城乡、区域法律服务资源。指导、监督、管理律师、法律援助、司法鉴定、公证、仲裁和基层法律服务工作。</w:t>
            </w:r>
          </w:p>
          <w:p>
            <w:pPr>
              <w:snapToGrid w:val="0"/>
              <w:spacing w:line="520" w:lineRule="exact"/>
              <w:ind w:left="420" w:leftChars="200"/>
              <w:rPr>
                <w:rFonts w:ascii="宋体" w:hAnsi="宋体"/>
                <w:iCs/>
                <w:sz w:val="24"/>
              </w:rPr>
            </w:pPr>
            <w:r>
              <w:rPr>
                <w:rFonts w:hint="eastAsia" w:ascii="宋体" w:hAnsi="宋体"/>
                <w:iCs/>
                <w:sz w:val="24"/>
              </w:rPr>
              <w:t>9）负责全县法治对外合作工作。组织开展法治对外合作交流。</w:t>
            </w:r>
          </w:p>
          <w:p>
            <w:pPr>
              <w:snapToGrid w:val="0"/>
              <w:spacing w:line="520" w:lineRule="exact"/>
              <w:ind w:left="420" w:leftChars="200"/>
              <w:rPr>
                <w:rFonts w:ascii="宋体" w:hAnsi="宋体"/>
                <w:iCs/>
                <w:sz w:val="24"/>
              </w:rPr>
            </w:pPr>
            <w:r>
              <w:rPr>
                <w:rFonts w:hint="eastAsia" w:ascii="宋体" w:hAnsi="宋体"/>
                <w:iCs/>
                <w:sz w:val="24"/>
              </w:rPr>
              <w:t>10）负责本系统服装和警车管理工作，指导、监督本系统财务、装备、设施、场所等保障工作。</w:t>
            </w:r>
          </w:p>
          <w:p>
            <w:pPr>
              <w:snapToGrid w:val="0"/>
              <w:spacing w:line="520" w:lineRule="exact"/>
              <w:ind w:left="420" w:leftChars="200"/>
              <w:rPr>
                <w:rFonts w:ascii="宋体" w:hAnsi="宋体"/>
                <w:iCs/>
                <w:sz w:val="24"/>
              </w:rPr>
            </w:pPr>
            <w:r>
              <w:rPr>
                <w:rFonts w:hint="eastAsia" w:ascii="宋体" w:hAnsi="宋体"/>
                <w:iCs/>
                <w:sz w:val="24"/>
              </w:rPr>
              <w:t>11）规划、协调、指导法治人才队伍建设相关工作。指导、监督本系统队伍建设。</w:t>
            </w:r>
          </w:p>
          <w:p>
            <w:pPr>
              <w:snapToGrid w:val="0"/>
              <w:spacing w:line="520" w:lineRule="exact"/>
              <w:ind w:left="420" w:leftChars="200"/>
              <w:rPr>
                <w:rFonts w:ascii="宋体" w:hAnsi="宋体"/>
                <w:iCs/>
                <w:sz w:val="24"/>
              </w:rPr>
            </w:pPr>
            <w:r>
              <w:rPr>
                <w:rFonts w:hint="eastAsia" w:ascii="宋体" w:hAnsi="宋体"/>
                <w:iCs/>
                <w:sz w:val="24"/>
              </w:rPr>
              <w:t>12）完成县委、县人民政府交办的其他事项。</w:t>
            </w:r>
          </w:p>
          <w:p>
            <w:pPr>
              <w:snapToGrid w:val="0"/>
              <w:spacing w:line="520" w:lineRule="exact"/>
              <w:ind w:left="420" w:leftChars="200" w:right="880" w:rightChars="419"/>
              <w:jc w:val="center"/>
              <w:rPr>
                <w:rFonts w:ascii="宋体" w:hAnsi="宋体" w:cs="宋体"/>
                <w:i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2"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pPr>
              <w:snapToGrid w:val="0"/>
              <w:spacing w:line="520" w:lineRule="exact"/>
              <w:ind w:left="420" w:leftChars="200"/>
              <w:rPr>
                <w:rFonts w:ascii="宋体" w:hAnsi="宋体"/>
                <w:iCs/>
                <w:sz w:val="24"/>
              </w:rPr>
            </w:pPr>
            <w:r>
              <w:rPr>
                <w:rFonts w:hint="eastAsia" w:ascii="宋体" w:hAnsi="宋体"/>
                <w:iCs/>
                <w:sz w:val="24"/>
                <w:lang w:eastAsia="zh-CN"/>
              </w:rPr>
              <w:t>一、组织构架、人员编制</w:t>
            </w:r>
          </w:p>
          <w:p>
            <w:pPr>
              <w:snapToGrid w:val="0"/>
              <w:spacing w:line="520" w:lineRule="exact"/>
              <w:ind w:firstLine="480" w:firstLineChars="200"/>
              <w:rPr>
                <w:rFonts w:hint="eastAsia" w:ascii="宋体" w:hAnsi="宋体"/>
                <w:iCs/>
                <w:sz w:val="24"/>
              </w:rPr>
            </w:pPr>
            <w:r>
              <w:rPr>
                <w:rFonts w:hint="eastAsia" w:ascii="宋体" w:hAnsi="宋体"/>
                <w:iCs/>
                <w:sz w:val="24"/>
                <w:lang w:val="en-US" w:eastAsia="zh-CN"/>
              </w:rPr>
              <w:t>根据“三定方案”，</w:t>
            </w:r>
            <w:r>
              <w:rPr>
                <w:rFonts w:hint="eastAsia" w:ascii="宋体" w:hAnsi="宋体"/>
                <w:iCs/>
                <w:sz w:val="24"/>
                <w:lang w:eastAsia="zh-CN"/>
              </w:rPr>
              <w:t>我局机关设</w:t>
            </w:r>
            <w:r>
              <w:rPr>
                <w:rFonts w:hint="eastAsia" w:ascii="宋体" w:hAnsi="宋体"/>
                <w:iCs/>
                <w:sz w:val="24"/>
              </w:rPr>
              <w:t>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w:t>
            </w:r>
            <w:r>
              <w:rPr>
                <w:rFonts w:hint="eastAsia" w:ascii="宋体" w:hAnsi="宋体"/>
                <w:iCs/>
                <w:sz w:val="24"/>
                <w:lang w:val="en-US" w:eastAsia="zh-CN"/>
              </w:rPr>
              <w:t>13个内设机构，派驻乡镇17个司法所，2个二级机构：湘潭县人民政府法律顾问工作室、湘潭县公证处。全局共有人员编制数100名（</w:t>
            </w:r>
            <w:r>
              <w:rPr>
                <w:rFonts w:hint="eastAsia" w:ascii="宋体" w:hAnsi="宋体"/>
                <w:iCs/>
                <w:sz w:val="24"/>
                <w:lang w:eastAsia="zh-CN"/>
              </w:rPr>
              <w:t>政法专项编制</w:t>
            </w:r>
            <w:r>
              <w:rPr>
                <w:rFonts w:hint="eastAsia" w:ascii="宋体" w:hAnsi="宋体"/>
                <w:iCs/>
                <w:sz w:val="24"/>
                <w:lang w:val="en-US" w:eastAsia="zh-CN"/>
              </w:rPr>
              <w:t>84</w:t>
            </w:r>
            <w:r>
              <w:rPr>
                <w:rFonts w:hint="eastAsia" w:ascii="宋体" w:hAnsi="宋体"/>
                <w:iCs/>
                <w:sz w:val="24"/>
              </w:rPr>
              <w:t>人，非参公事业人员16人</w:t>
            </w:r>
            <w:r>
              <w:rPr>
                <w:rFonts w:hint="eastAsia" w:ascii="宋体" w:hAnsi="宋体"/>
                <w:iCs/>
                <w:sz w:val="24"/>
                <w:lang w:val="en-US" w:eastAsia="zh-CN"/>
              </w:rPr>
              <w:t>），截至2020年12月31日，实有89人（</w:t>
            </w:r>
            <w:r>
              <w:rPr>
                <w:rFonts w:hint="eastAsia" w:ascii="宋体" w:hAnsi="宋体"/>
                <w:iCs/>
                <w:sz w:val="24"/>
                <w:lang w:eastAsia="zh-CN"/>
              </w:rPr>
              <w:t>政法专项编制</w:t>
            </w:r>
            <w:r>
              <w:rPr>
                <w:rFonts w:hint="eastAsia" w:ascii="宋体" w:hAnsi="宋体"/>
                <w:iCs/>
                <w:sz w:val="24"/>
              </w:rPr>
              <w:t>73人，非参公事业人员16人</w:t>
            </w:r>
            <w:r>
              <w:rPr>
                <w:rFonts w:hint="eastAsia" w:ascii="宋体" w:hAnsi="宋体"/>
                <w:iCs/>
                <w:sz w:val="24"/>
                <w:lang w:val="en-US" w:eastAsia="zh-CN"/>
              </w:rPr>
              <w:t>）。离退休人员25人，其中退休人员26人。</w:t>
            </w:r>
            <w:r>
              <w:rPr>
                <w:rFonts w:hint="eastAsia" w:ascii="宋体" w:hAnsi="宋体"/>
                <w:iCs/>
                <w:sz w:val="24"/>
              </w:rPr>
              <w:t>遗属5人。</w:t>
            </w:r>
          </w:p>
          <w:p>
            <w:pPr>
              <w:snapToGrid w:val="0"/>
              <w:spacing w:line="520" w:lineRule="exact"/>
              <w:ind w:firstLine="480" w:firstLineChars="200"/>
              <w:rPr>
                <w:rFonts w:hint="eastAsia" w:ascii="宋体" w:hAnsi="宋体"/>
                <w:iCs/>
                <w:sz w:val="24"/>
                <w:lang w:val="en-US" w:eastAsia="zh-CN"/>
              </w:rPr>
            </w:pPr>
            <w:r>
              <w:rPr>
                <w:rFonts w:hint="eastAsia" w:ascii="宋体" w:hAnsi="宋体"/>
                <w:iCs/>
                <w:sz w:val="24"/>
                <w:lang w:eastAsia="zh-CN"/>
              </w:rPr>
              <w:t>二、</w:t>
            </w:r>
            <w:r>
              <w:rPr>
                <w:rFonts w:hint="eastAsia" w:ascii="宋体" w:hAnsi="宋体"/>
                <w:iCs/>
                <w:sz w:val="24"/>
                <w:lang w:val="en-US" w:eastAsia="zh-CN"/>
              </w:rPr>
              <w:t>年度重点工作</w:t>
            </w:r>
          </w:p>
          <w:p>
            <w:pPr>
              <w:numPr>
                <w:ilvl w:val="0"/>
                <w:numId w:val="0"/>
              </w:numPr>
              <w:snapToGrid w:val="0"/>
              <w:spacing w:line="520" w:lineRule="exact"/>
              <w:ind w:firstLine="240" w:firstLineChars="100"/>
              <w:rPr>
                <w:rFonts w:hint="eastAsia" w:ascii="宋体" w:hAnsi="宋体"/>
                <w:iCs/>
                <w:sz w:val="24"/>
                <w:lang w:eastAsia="zh-CN"/>
              </w:rPr>
            </w:pPr>
            <w:r>
              <w:rPr>
                <w:rFonts w:hint="eastAsia" w:ascii="宋体" w:hAnsi="宋体"/>
                <w:iCs/>
                <w:sz w:val="24"/>
                <w:lang w:val="en-US" w:eastAsia="zh-CN"/>
              </w:rPr>
              <w:t>1.疫情防控和维稳工作。在坚持疫情防控值班值守的同时，积极开展新冠肺炎疫情防控法治宣传教育活动，并利用线上载体来化解矛盾纠纷。2.全面依法治县工作。部署了当前及今后一个时期的依法治县工作任务；落实了述法考核制；加强了执法监督和合法性审查。3.社区矫正工作。做好社区矫正调查评估，抓实社区矫正日常管理工作。4.重点人员管控和安置帮教工作。做好疫情期间刑释人员接送工作；做到了“五个及时”来防止人员脱管、漏管，促使他们遵纪守法；做好“三无”人员安置工作，并深入开展“五个一”帮教活动。6.人民调解工作。建立多元化矛盾纠纷化解机制，构建大化解工作格局，规范建设了人民调解员队伍。7.普法依法治理工作。加强城乡依法治理工作；开展法治宣传教育工作，创建民主示范村（社区），实施“法律明白人”培养工程。8.公共法律服务工作。拓展公共法律服务平台，增强公共法律服务水平专业化，落实法律援助民生工程。9.扫黑除恶工作。开展巡回宣传，发放宣传资料；开展排查活动，排查涉黑涉恶线索。</w:t>
            </w:r>
          </w:p>
          <w:p>
            <w:pPr>
              <w:snapToGrid w:val="0"/>
              <w:spacing w:line="520" w:lineRule="exact"/>
              <w:ind w:firstLine="240" w:firstLineChars="100"/>
              <w:rPr>
                <w:rFonts w:hint="eastAsia" w:ascii="宋体" w:hAnsi="宋体" w:eastAsia="宋体"/>
                <w:iCs/>
                <w:sz w:val="24"/>
                <w:lang w:eastAsia="zh-CN"/>
              </w:rPr>
            </w:pPr>
            <w:r>
              <w:rPr>
                <w:rFonts w:hint="eastAsia" w:ascii="宋体" w:hAnsi="宋体"/>
                <w:iCs/>
                <w:sz w:val="24"/>
                <w:lang w:eastAsia="zh-CN"/>
              </w:rPr>
              <w:t>三、预算情况</w:t>
            </w:r>
          </w:p>
          <w:p>
            <w:pPr>
              <w:snapToGrid w:val="0"/>
              <w:spacing w:line="520" w:lineRule="exact"/>
              <w:rPr>
                <w:rFonts w:hint="eastAsia" w:ascii="宋体" w:hAnsi="宋体"/>
                <w:iCs/>
                <w:sz w:val="24"/>
                <w:lang w:eastAsia="zh-CN"/>
              </w:rPr>
            </w:pPr>
            <w:r>
              <w:rPr>
                <w:rFonts w:hint="eastAsia" w:ascii="宋体" w:hAnsi="宋体"/>
                <w:iCs/>
                <w:sz w:val="24"/>
                <w:lang w:eastAsia="zh-CN"/>
              </w:rPr>
              <w:t>（一）年初预算情况</w:t>
            </w:r>
          </w:p>
          <w:p>
            <w:pPr>
              <w:snapToGrid w:val="0"/>
              <w:spacing w:line="520" w:lineRule="exact"/>
              <w:rPr>
                <w:rFonts w:hint="eastAsia" w:ascii="宋体" w:hAnsi="宋体"/>
                <w:iCs/>
                <w:sz w:val="24"/>
                <w:lang w:eastAsia="zh-CN"/>
              </w:rPr>
            </w:pPr>
            <w:r>
              <w:rPr>
                <w:rFonts w:hint="eastAsia" w:ascii="宋体" w:hAnsi="宋体"/>
                <w:iCs/>
                <w:sz w:val="24"/>
              </w:rPr>
              <w:t>2020年我局年初部门预算</w:t>
            </w:r>
            <w:r>
              <w:rPr>
                <w:rFonts w:hint="eastAsia" w:ascii="宋体" w:hAnsi="宋体"/>
                <w:iCs/>
                <w:sz w:val="24"/>
                <w:lang w:eastAsia="zh-CN"/>
              </w:rPr>
              <w:t>批复</w:t>
            </w:r>
            <w:r>
              <w:rPr>
                <w:rFonts w:hint="eastAsia" w:ascii="宋体" w:hAnsi="宋体"/>
                <w:iCs/>
                <w:sz w:val="24"/>
                <w:lang w:val="en-US" w:eastAsia="zh-CN"/>
              </w:rPr>
              <w:t>:部门预算</w:t>
            </w:r>
            <w:r>
              <w:rPr>
                <w:rFonts w:hint="eastAsia" w:ascii="宋体" w:hAnsi="宋体"/>
                <w:iCs/>
                <w:sz w:val="24"/>
                <w:lang w:eastAsia="zh-CN"/>
              </w:rPr>
              <w:t>收入为</w:t>
            </w:r>
            <w:r>
              <w:rPr>
                <w:rFonts w:hint="eastAsia" w:ascii="宋体" w:hAnsi="宋体"/>
                <w:iCs/>
                <w:sz w:val="24"/>
                <w:lang w:val="en-US" w:eastAsia="zh-CN"/>
              </w:rPr>
              <w:t>1776.56万</w:t>
            </w:r>
            <w:r>
              <w:rPr>
                <w:rFonts w:hint="eastAsia" w:ascii="宋体" w:hAnsi="宋体"/>
                <w:iCs/>
                <w:sz w:val="24"/>
              </w:rPr>
              <w:t>元</w:t>
            </w:r>
            <w:r>
              <w:rPr>
                <w:rFonts w:hint="eastAsia" w:ascii="宋体" w:hAnsi="宋体"/>
                <w:iCs/>
                <w:sz w:val="24"/>
                <w:lang w:eastAsia="zh-CN"/>
              </w:rPr>
              <w:t>（预算内拨款</w:t>
            </w:r>
            <w:r>
              <w:rPr>
                <w:rFonts w:hint="eastAsia" w:ascii="宋体" w:hAnsi="宋体"/>
                <w:iCs/>
                <w:sz w:val="24"/>
                <w:lang w:val="en-US" w:eastAsia="zh-CN"/>
              </w:rPr>
              <w:t>1555.56万元，上级补助221万元）；部门预算支出为1776.56万元，其中</w:t>
            </w:r>
            <w:r>
              <w:rPr>
                <w:rFonts w:hint="eastAsia" w:ascii="宋体" w:hAnsi="宋体"/>
                <w:iCs/>
                <w:sz w:val="24"/>
              </w:rPr>
              <w:t>基本支出</w:t>
            </w:r>
            <w:r>
              <w:rPr>
                <w:rFonts w:hint="eastAsia" w:ascii="宋体" w:hAnsi="宋体"/>
                <w:iCs/>
                <w:sz w:val="24"/>
                <w:lang w:val="en-US" w:eastAsia="zh-CN"/>
              </w:rPr>
              <w:t>1239.56万</w:t>
            </w:r>
            <w:r>
              <w:rPr>
                <w:rFonts w:hint="eastAsia" w:ascii="宋体" w:hAnsi="宋体"/>
                <w:iCs/>
                <w:sz w:val="24"/>
              </w:rPr>
              <w:t>元</w:t>
            </w:r>
            <w:r>
              <w:rPr>
                <w:rFonts w:hint="eastAsia" w:ascii="宋体" w:hAnsi="宋体"/>
                <w:iCs/>
                <w:sz w:val="24"/>
                <w:lang w:eastAsia="zh-CN"/>
              </w:rPr>
              <w:t>（含</w:t>
            </w:r>
            <w:r>
              <w:rPr>
                <w:rFonts w:hint="eastAsia" w:ascii="宋体" w:hAnsi="宋体"/>
                <w:iCs/>
                <w:sz w:val="24"/>
              </w:rPr>
              <w:t>人员经费105</w:t>
            </w:r>
            <w:r>
              <w:rPr>
                <w:rFonts w:hint="eastAsia" w:ascii="宋体" w:hAnsi="宋体"/>
                <w:iCs/>
                <w:sz w:val="24"/>
                <w:lang w:val="en-US" w:eastAsia="zh-CN"/>
              </w:rPr>
              <w:t>.4</w:t>
            </w:r>
            <w:r>
              <w:rPr>
                <w:rFonts w:hint="eastAsia" w:ascii="宋体" w:hAnsi="宋体"/>
                <w:iCs/>
                <w:sz w:val="24"/>
              </w:rPr>
              <w:t>4元，日常公用经费184</w:t>
            </w:r>
            <w:r>
              <w:rPr>
                <w:rFonts w:hint="eastAsia" w:ascii="宋体" w:hAnsi="宋体"/>
                <w:iCs/>
                <w:sz w:val="24"/>
                <w:lang w:val="en-US" w:eastAsia="zh-CN"/>
              </w:rPr>
              <w:t>.</w:t>
            </w:r>
            <w:r>
              <w:rPr>
                <w:rFonts w:hint="eastAsia" w:ascii="宋体" w:hAnsi="宋体"/>
                <w:iCs/>
                <w:sz w:val="24"/>
              </w:rPr>
              <w:t>1</w:t>
            </w:r>
            <w:r>
              <w:rPr>
                <w:rFonts w:hint="eastAsia" w:ascii="宋体" w:hAnsi="宋体"/>
                <w:iCs/>
                <w:sz w:val="24"/>
                <w:lang w:val="en-US" w:eastAsia="zh-CN"/>
              </w:rPr>
              <w:t>2万</w:t>
            </w:r>
            <w:r>
              <w:rPr>
                <w:rFonts w:hint="eastAsia" w:ascii="宋体" w:hAnsi="宋体"/>
                <w:iCs/>
                <w:sz w:val="24"/>
              </w:rPr>
              <w:t>元)，项目支出</w:t>
            </w:r>
            <w:r>
              <w:rPr>
                <w:rFonts w:hint="eastAsia" w:ascii="宋体" w:hAnsi="宋体"/>
                <w:iCs/>
                <w:sz w:val="24"/>
                <w:lang w:eastAsia="zh-CN"/>
              </w:rPr>
              <w:t>（全部为业务性专项）</w:t>
            </w:r>
            <w:r>
              <w:rPr>
                <w:rFonts w:hint="eastAsia" w:ascii="宋体" w:hAnsi="宋体"/>
                <w:iCs/>
                <w:sz w:val="24"/>
              </w:rPr>
              <w:t>537</w:t>
            </w:r>
            <w:r>
              <w:rPr>
                <w:rFonts w:hint="eastAsia" w:ascii="宋体" w:hAnsi="宋体"/>
                <w:iCs/>
                <w:sz w:val="24"/>
                <w:lang w:val="en-US" w:eastAsia="zh-CN"/>
              </w:rPr>
              <w:t>.00</w:t>
            </w:r>
            <w:r>
              <w:rPr>
                <w:rFonts w:hint="eastAsia" w:ascii="宋体" w:hAnsi="宋体"/>
                <w:iCs/>
                <w:sz w:val="24"/>
                <w:lang w:eastAsia="zh-CN"/>
              </w:rPr>
              <w:t>万</w:t>
            </w:r>
            <w:r>
              <w:rPr>
                <w:rFonts w:hint="eastAsia" w:ascii="宋体" w:hAnsi="宋体"/>
                <w:iCs/>
                <w:sz w:val="24"/>
              </w:rPr>
              <w:t>元</w:t>
            </w:r>
            <w:r>
              <w:rPr>
                <w:rFonts w:hint="eastAsia" w:ascii="宋体" w:hAnsi="宋体"/>
                <w:iCs/>
                <w:sz w:val="24"/>
                <w:lang w:eastAsia="zh-CN"/>
              </w:rPr>
              <w:t>。</w:t>
            </w:r>
          </w:p>
          <w:p>
            <w:pPr>
              <w:snapToGrid w:val="0"/>
              <w:spacing w:line="520" w:lineRule="exact"/>
              <w:rPr>
                <w:rFonts w:hint="eastAsia" w:ascii="宋体" w:hAnsi="宋体"/>
                <w:iCs/>
                <w:sz w:val="24"/>
                <w:lang w:val="en-US" w:eastAsia="zh-CN"/>
              </w:rPr>
            </w:pPr>
            <w:r>
              <w:rPr>
                <w:rFonts w:hint="eastAsia" w:ascii="宋体" w:hAnsi="宋体"/>
                <w:iCs/>
                <w:sz w:val="24"/>
              </w:rPr>
              <w:t>2020年度</w:t>
            </w:r>
            <w:r>
              <w:rPr>
                <w:rFonts w:hint="eastAsia" w:ascii="宋体" w:hAnsi="宋体"/>
                <w:iCs/>
                <w:sz w:val="24"/>
                <w:lang w:eastAsia="zh-CN"/>
              </w:rPr>
              <w:t>核定我局</w:t>
            </w:r>
            <w:r>
              <w:rPr>
                <w:rFonts w:hint="eastAsia" w:ascii="宋体" w:hAnsi="宋体"/>
                <w:iCs/>
                <w:sz w:val="24"/>
              </w:rPr>
              <w:t>“三公经费”为</w:t>
            </w:r>
            <w:r>
              <w:rPr>
                <w:rFonts w:hint="eastAsia" w:ascii="宋体" w:hAnsi="宋体"/>
                <w:iCs/>
                <w:sz w:val="24"/>
                <w:lang w:val="en-US" w:eastAsia="zh-CN"/>
              </w:rPr>
              <w:t>26.44</w:t>
            </w:r>
            <w:r>
              <w:rPr>
                <w:rFonts w:hint="eastAsia" w:ascii="宋体" w:hAnsi="宋体"/>
                <w:iCs/>
                <w:sz w:val="24"/>
              </w:rPr>
              <w:t>万元,其中公务用车运行维护费</w:t>
            </w:r>
            <w:r>
              <w:rPr>
                <w:rFonts w:hint="eastAsia" w:ascii="宋体" w:hAnsi="宋体"/>
                <w:iCs/>
                <w:sz w:val="24"/>
                <w:lang w:val="en-US" w:eastAsia="zh-CN"/>
              </w:rPr>
              <w:t>14.4万</w:t>
            </w:r>
            <w:r>
              <w:rPr>
                <w:rFonts w:hint="eastAsia" w:ascii="宋体" w:hAnsi="宋体"/>
                <w:iCs/>
                <w:sz w:val="24"/>
              </w:rPr>
              <w:t>元，公务接待费</w:t>
            </w:r>
            <w:r>
              <w:rPr>
                <w:rFonts w:hint="eastAsia" w:ascii="宋体" w:hAnsi="宋体"/>
                <w:iCs/>
                <w:sz w:val="24"/>
                <w:lang w:val="en-US" w:eastAsia="zh-CN"/>
              </w:rPr>
              <w:t>12.04万</w:t>
            </w:r>
            <w:r>
              <w:rPr>
                <w:rFonts w:hint="eastAsia" w:ascii="宋体" w:hAnsi="宋体"/>
                <w:iCs/>
                <w:sz w:val="24"/>
              </w:rPr>
              <w:t>元</w:t>
            </w:r>
            <w:r>
              <w:rPr>
                <w:rFonts w:hint="eastAsia" w:ascii="宋体" w:hAnsi="宋体"/>
                <w:iCs/>
                <w:sz w:val="24"/>
                <w:lang w:eastAsia="zh-CN"/>
              </w:rPr>
              <w:t>，因公出境</w:t>
            </w:r>
            <w:r>
              <w:rPr>
                <w:rFonts w:hint="eastAsia" w:ascii="宋体" w:hAnsi="宋体"/>
                <w:iCs/>
                <w:sz w:val="24"/>
                <w:lang w:val="en-US" w:eastAsia="zh-CN"/>
              </w:rPr>
              <w:t>0元。</w:t>
            </w:r>
          </w:p>
          <w:p>
            <w:pPr>
              <w:snapToGrid w:val="0"/>
              <w:spacing w:line="520" w:lineRule="exact"/>
              <w:rPr>
                <w:rFonts w:hint="eastAsia" w:ascii="宋体" w:hAnsi="宋体" w:eastAsia="宋体" w:cs="宋体"/>
                <w:sz w:val="24"/>
                <w:szCs w:val="24"/>
                <w:lang w:eastAsia="zh-CN"/>
              </w:rPr>
            </w:pPr>
            <w:r>
              <w:rPr>
                <w:rFonts w:ascii="宋体" w:hAnsi="宋体" w:eastAsia="宋体" w:cs="宋体"/>
                <w:sz w:val="24"/>
                <w:szCs w:val="24"/>
              </w:rPr>
              <w:t>年中追加和调减预算情况</w:t>
            </w:r>
          </w:p>
          <w:p>
            <w:pPr>
              <w:snapToGrid w:val="0"/>
              <w:spacing w:line="520" w:lineRule="exact"/>
              <w:rPr>
                <w:rFonts w:hint="eastAsia" w:ascii="宋体" w:hAnsi="宋体"/>
                <w:iCs/>
                <w:sz w:val="24"/>
                <w:lang w:val="en-US" w:eastAsia="zh-CN"/>
              </w:rPr>
            </w:pPr>
            <w:r>
              <w:rPr>
                <w:rFonts w:ascii="宋体" w:hAnsi="宋体" w:eastAsia="宋体" w:cs="宋体"/>
                <w:color w:val="auto"/>
                <w:sz w:val="24"/>
                <w:szCs w:val="24"/>
              </w:rPr>
              <w:t>年中</w:t>
            </w:r>
            <w:r>
              <w:rPr>
                <w:rFonts w:hint="eastAsia" w:ascii="宋体" w:hAnsi="宋体" w:cs="宋体"/>
                <w:color w:val="auto"/>
                <w:sz w:val="24"/>
                <w:szCs w:val="24"/>
                <w:lang w:eastAsia="zh-CN"/>
              </w:rPr>
              <w:t>预算内拨款追加</w:t>
            </w:r>
            <w:r>
              <w:rPr>
                <w:rFonts w:hint="eastAsia" w:ascii="宋体" w:hAnsi="宋体" w:cs="宋体"/>
                <w:color w:val="auto"/>
                <w:sz w:val="24"/>
                <w:szCs w:val="24"/>
                <w:lang w:val="en-US" w:eastAsia="zh-CN"/>
              </w:rPr>
              <w:t>146.94万元，为绩效考核奖金和公务交通补贴等政策性原因人员经费的增加，其他收入（结算户）88.14万元，上级补助调减41万元，为业务性专项拨款的减少，年中预算调整总体增加了</w:t>
            </w:r>
            <w:r>
              <w:rPr>
                <w:rFonts w:hint="eastAsia" w:ascii="宋体" w:hAnsi="宋体"/>
                <w:iCs/>
                <w:sz w:val="24"/>
                <w:lang w:val="en-US" w:eastAsia="zh-CN"/>
              </w:rPr>
              <w:t>194.08万元。</w:t>
            </w:r>
          </w:p>
          <w:p>
            <w:pPr>
              <w:snapToGrid w:val="0"/>
              <w:spacing w:line="520" w:lineRule="exact"/>
              <w:rPr>
                <w:rFonts w:hint="eastAsia" w:ascii="宋体" w:hAnsi="宋体" w:eastAsia="宋体" w:cs="宋体"/>
                <w:color w:val="auto"/>
                <w:sz w:val="24"/>
                <w:szCs w:val="24"/>
                <w:lang w:eastAsia="zh-CN"/>
              </w:rPr>
            </w:pPr>
            <w:r>
              <w:rPr>
                <w:rFonts w:hint="eastAsia" w:ascii="宋体" w:hAnsi="宋体"/>
                <w:iCs/>
                <w:sz w:val="24"/>
                <w:lang w:val="en-US" w:eastAsia="zh-CN"/>
              </w:rPr>
              <w:t>（三）全年总预算情</w:t>
            </w:r>
            <w:r>
              <w:rPr>
                <w:rFonts w:ascii="宋体" w:hAnsi="宋体" w:eastAsia="宋体" w:cs="宋体"/>
                <w:color w:val="auto"/>
                <w:sz w:val="24"/>
                <w:szCs w:val="24"/>
              </w:rPr>
              <w:t>况</w:t>
            </w:r>
          </w:p>
          <w:p>
            <w:pPr>
              <w:snapToGrid w:val="0"/>
              <w:spacing w:line="520" w:lineRule="exact"/>
              <w:rPr>
                <w:rFonts w:hint="eastAsia" w:ascii="宋体" w:hAnsi="宋体" w:eastAsia="宋体" w:cs="宋体"/>
                <w:color w:val="auto"/>
                <w:sz w:val="24"/>
                <w:szCs w:val="24"/>
                <w:lang w:eastAsia="zh-CN"/>
              </w:rPr>
            </w:pPr>
            <w:r>
              <w:rPr>
                <w:rFonts w:ascii="宋体" w:hAnsi="宋体" w:eastAsia="宋体" w:cs="宋体"/>
                <w:color w:val="auto"/>
                <w:sz w:val="24"/>
                <w:szCs w:val="24"/>
              </w:rPr>
              <w:t>全年年初预算收入</w:t>
            </w:r>
            <w:r>
              <w:rPr>
                <w:rFonts w:hint="eastAsia" w:ascii="宋体" w:hAnsi="宋体" w:cs="宋体"/>
                <w:color w:val="auto"/>
                <w:sz w:val="24"/>
                <w:szCs w:val="24"/>
                <w:lang w:val="en-US" w:eastAsia="zh-CN"/>
              </w:rPr>
              <w:t>1776.56</w:t>
            </w:r>
            <w:r>
              <w:rPr>
                <w:rFonts w:ascii="宋体" w:hAnsi="宋体" w:eastAsia="宋体" w:cs="宋体"/>
                <w:color w:val="auto"/>
                <w:sz w:val="24"/>
                <w:szCs w:val="24"/>
              </w:rPr>
              <w:t>万元，年中预算调整</w:t>
            </w:r>
            <w:r>
              <w:rPr>
                <w:rFonts w:hint="eastAsia" w:ascii="宋体" w:hAnsi="宋体" w:cs="宋体"/>
                <w:color w:val="auto"/>
                <w:sz w:val="24"/>
                <w:szCs w:val="24"/>
                <w:lang w:eastAsia="zh-CN"/>
              </w:rPr>
              <w:t>增加</w:t>
            </w:r>
            <w:r>
              <w:rPr>
                <w:rFonts w:hint="eastAsia" w:ascii="宋体" w:hAnsi="宋体" w:cs="宋体"/>
                <w:color w:val="auto"/>
                <w:sz w:val="24"/>
                <w:szCs w:val="24"/>
                <w:lang w:val="en-US" w:eastAsia="zh-CN"/>
              </w:rPr>
              <w:t>194.08</w:t>
            </w:r>
            <w:r>
              <w:rPr>
                <w:rFonts w:ascii="宋体" w:hAnsi="宋体" w:eastAsia="宋体" w:cs="宋体"/>
                <w:color w:val="auto"/>
                <w:sz w:val="24"/>
                <w:szCs w:val="24"/>
              </w:rPr>
              <w:t> 万元，全年总预算</w:t>
            </w:r>
            <w:r>
              <w:rPr>
                <w:rFonts w:hint="eastAsia" w:ascii="宋体" w:hAnsi="宋体" w:cs="宋体"/>
                <w:color w:val="auto"/>
                <w:sz w:val="24"/>
                <w:szCs w:val="24"/>
                <w:lang w:eastAsia="zh-CN"/>
              </w:rPr>
              <w:t>收入</w:t>
            </w:r>
            <w:r>
              <w:rPr>
                <w:rFonts w:ascii="宋体" w:hAnsi="宋体" w:eastAsia="宋体" w:cs="宋体"/>
                <w:color w:val="auto"/>
                <w:sz w:val="24"/>
                <w:szCs w:val="24"/>
              </w:rPr>
              <w:t>为</w:t>
            </w:r>
            <w:r>
              <w:rPr>
                <w:rFonts w:hint="eastAsia" w:ascii="宋体" w:hAnsi="宋体" w:cs="宋体"/>
                <w:color w:val="auto"/>
                <w:sz w:val="24"/>
                <w:szCs w:val="24"/>
                <w:lang w:val="en-US" w:eastAsia="zh-CN"/>
              </w:rPr>
              <w:t>1970.64</w:t>
            </w:r>
            <w:r>
              <w:rPr>
                <w:rFonts w:ascii="宋体" w:hAnsi="宋体" w:eastAsia="宋体" w:cs="宋体"/>
                <w:color w:val="auto"/>
                <w:sz w:val="24"/>
                <w:szCs w:val="24"/>
              </w:rPr>
              <w:t>万元。</w:t>
            </w:r>
          </w:p>
          <w:p>
            <w:pPr>
              <w:snapToGrid w:val="0"/>
              <w:spacing w:line="520" w:lineRule="exact"/>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（四）</w:t>
            </w:r>
            <w:r>
              <w:rPr>
                <w:rFonts w:ascii="宋体" w:hAnsi="宋体" w:eastAsia="宋体" w:cs="宋体"/>
                <w:color w:val="auto"/>
                <w:sz w:val="24"/>
                <w:szCs w:val="24"/>
              </w:rPr>
              <w:t>预算执行情况</w:t>
            </w:r>
          </w:p>
          <w:p>
            <w:pPr>
              <w:snapToGrid w:val="0"/>
              <w:spacing w:line="520" w:lineRule="exact"/>
              <w:rPr>
                <w:rFonts w:hint="eastAsia" w:ascii="宋体" w:hAnsi="宋体"/>
                <w:iCs/>
                <w:color w:val="auto"/>
                <w:sz w:val="24"/>
              </w:rPr>
            </w:pPr>
            <w:r>
              <w:rPr>
                <w:rFonts w:hint="eastAsia" w:ascii="宋体" w:hAnsi="宋体" w:cs="宋体"/>
                <w:sz w:val="24"/>
                <w:szCs w:val="24"/>
                <w:lang w:val="en-US" w:eastAsia="zh-CN"/>
              </w:rPr>
              <w:t>1</w:t>
            </w:r>
            <w:r>
              <w:rPr>
                <w:rFonts w:hint="eastAsia" w:ascii="宋体" w:hAnsi="宋体"/>
                <w:iCs/>
                <w:sz w:val="24"/>
              </w:rPr>
              <w:t>、</w:t>
            </w:r>
            <w:r>
              <w:rPr>
                <w:rFonts w:hint="eastAsia" w:ascii="宋体" w:hAnsi="宋体"/>
                <w:iCs/>
                <w:sz w:val="24"/>
                <w:lang w:eastAsia="zh-CN"/>
              </w:rPr>
              <w:t>经费总支出情况</w:t>
            </w:r>
            <w:r>
              <w:rPr>
                <w:rFonts w:hint="eastAsia" w:ascii="宋体" w:hAnsi="宋体"/>
                <w:iCs/>
                <w:sz w:val="24"/>
              </w:rPr>
              <w:t>：</w:t>
            </w:r>
            <w:r>
              <w:rPr>
                <w:rFonts w:hint="eastAsia" w:ascii="宋体" w:hAnsi="宋体"/>
                <w:iCs/>
                <w:color w:val="auto"/>
                <w:sz w:val="24"/>
              </w:rPr>
              <w:t>2020年年初结</w:t>
            </w:r>
            <w:r>
              <w:rPr>
                <w:rFonts w:hint="eastAsia" w:ascii="宋体" w:hAnsi="宋体"/>
                <w:iCs/>
                <w:color w:val="auto"/>
                <w:sz w:val="24"/>
                <w:lang w:eastAsia="zh-CN"/>
              </w:rPr>
              <w:t>余</w:t>
            </w:r>
            <w:r>
              <w:rPr>
                <w:rFonts w:hint="eastAsia" w:ascii="宋体" w:hAnsi="宋体"/>
                <w:iCs/>
                <w:color w:val="auto"/>
                <w:sz w:val="24"/>
                <w:lang w:val="en-US" w:eastAsia="zh-CN"/>
              </w:rPr>
              <w:t>93.05万</w:t>
            </w:r>
            <w:r>
              <w:rPr>
                <w:rFonts w:hint="eastAsia" w:ascii="宋体" w:hAnsi="宋体"/>
                <w:iCs/>
                <w:color w:val="auto"/>
                <w:sz w:val="24"/>
              </w:rPr>
              <w:t>元，实际整体支出决算数为1970</w:t>
            </w:r>
            <w:r>
              <w:rPr>
                <w:rFonts w:hint="eastAsia" w:ascii="宋体" w:hAnsi="宋体"/>
                <w:iCs/>
                <w:color w:val="auto"/>
                <w:sz w:val="24"/>
                <w:lang w:val="en-US" w:eastAsia="zh-CN"/>
              </w:rPr>
              <w:t>.</w:t>
            </w:r>
            <w:r>
              <w:rPr>
                <w:rFonts w:hint="eastAsia" w:ascii="宋体" w:hAnsi="宋体"/>
                <w:iCs/>
                <w:color w:val="auto"/>
                <w:sz w:val="24"/>
              </w:rPr>
              <w:t>64</w:t>
            </w:r>
            <w:r>
              <w:rPr>
                <w:rFonts w:hint="eastAsia" w:ascii="宋体" w:hAnsi="宋体"/>
                <w:iCs/>
                <w:color w:val="auto"/>
                <w:sz w:val="24"/>
                <w:lang w:eastAsia="zh-CN"/>
              </w:rPr>
              <w:t>万</w:t>
            </w:r>
            <w:r>
              <w:rPr>
                <w:rFonts w:hint="eastAsia" w:ascii="宋体" w:hAnsi="宋体"/>
                <w:iCs/>
                <w:color w:val="auto"/>
                <w:sz w:val="24"/>
              </w:rPr>
              <w:t>元，支出按支出性质分类为：基本支出1560</w:t>
            </w:r>
            <w:r>
              <w:rPr>
                <w:rFonts w:hint="eastAsia" w:ascii="宋体" w:hAnsi="宋体"/>
                <w:iCs/>
                <w:color w:val="auto"/>
                <w:sz w:val="24"/>
                <w:lang w:val="en-US" w:eastAsia="zh-CN"/>
              </w:rPr>
              <w:t>.</w:t>
            </w:r>
            <w:r>
              <w:rPr>
                <w:rFonts w:hint="eastAsia" w:ascii="宋体" w:hAnsi="宋体"/>
                <w:iCs/>
                <w:color w:val="auto"/>
                <w:sz w:val="24"/>
              </w:rPr>
              <w:t>3</w:t>
            </w:r>
            <w:r>
              <w:rPr>
                <w:rFonts w:hint="eastAsia" w:ascii="宋体" w:hAnsi="宋体"/>
                <w:iCs/>
                <w:color w:val="auto"/>
                <w:sz w:val="24"/>
                <w:lang w:val="en-US" w:eastAsia="zh-CN"/>
              </w:rPr>
              <w:t>4万</w:t>
            </w:r>
            <w:r>
              <w:rPr>
                <w:rFonts w:hint="eastAsia" w:ascii="宋体" w:hAnsi="宋体"/>
                <w:iCs/>
                <w:color w:val="auto"/>
                <w:sz w:val="24"/>
              </w:rPr>
              <w:t>元（其中人员经费1360</w:t>
            </w:r>
            <w:r>
              <w:rPr>
                <w:rFonts w:hint="eastAsia" w:ascii="宋体" w:hAnsi="宋体"/>
                <w:iCs/>
                <w:color w:val="auto"/>
                <w:sz w:val="24"/>
                <w:lang w:val="en-US" w:eastAsia="zh-CN"/>
              </w:rPr>
              <w:t>.</w:t>
            </w:r>
            <w:r>
              <w:rPr>
                <w:rFonts w:hint="eastAsia" w:ascii="宋体" w:hAnsi="宋体"/>
                <w:iCs/>
                <w:color w:val="auto"/>
                <w:sz w:val="24"/>
              </w:rPr>
              <w:t>68</w:t>
            </w:r>
            <w:r>
              <w:rPr>
                <w:rFonts w:hint="eastAsia" w:ascii="宋体" w:hAnsi="宋体"/>
                <w:iCs/>
                <w:color w:val="auto"/>
                <w:sz w:val="24"/>
                <w:lang w:eastAsia="zh-CN"/>
              </w:rPr>
              <w:t>万</w:t>
            </w:r>
            <w:r>
              <w:rPr>
                <w:rFonts w:hint="eastAsia" w:ascii="宋体" w:hAnsi="宋体"/>
                <w:iCs/>
                <w:color w:val="auto"/>
                <w:sz w:val="24"/>
              </w:rPr>
              <w:t>元，日常公用经费199</w:t>
            </w:r>
            <w:r>
              <w:rPr>
                <w:rFonts w:hint="eastAsia" w:ascii="宋体" w:hAnsi="宋体"/>
                <w:iCs/>
                <w:color w:val="auto"/>
                <w:sz w:val="24"/>
                <w:lang w:val="en-US" w:eastAsia="zh-CN"/>
              </w:rPr>
              <w:t>.</w:t>
            </w:r>
            <w:r>
              <w:rPr>
                <w:rFonts w:hint="eastAsia" w:ascii="宋体" w:hAnsi="宋体"/>
                <w:iCs/>
                <w:color w:val="auto"/>
                <w:sz w:val="24"/>
              </w:rPr>
              <w:t>6</w:t>
            </w:r>
            <w:r>
              <w:rPr>
                <w:rFonts w:hint="eastAsia" w:ascii="宋体" w:hAnsi="宋体"/>
                <w:iCs/>
                <w:color w:val="auto"/>
                <w:sz w:val="24"/>
                <w:lang w:val="en-US" w:eastAsia="zh-CN"/>
              </w:rPr>
              <w:t>6万</w:t>
            </w:r>
            <w:r>
              <w:rPr>
                <w:rFonts w:hint="eastAsia" w:ascii="宋体" w:hAnsi="宋体"/>
                <w:iCs/>
                <w:color w:val="auto"/>
                <w:sz w:val="24"/>
              </w:rPr>
              <w:t>元），项目支出为410</w:t>
            </w:r>
            <w:r>
              <w:rPr>
                <w:rFonts w:hint="eastAsia" w:ascii="宋体" w:hAnsi="宋体"/>
                <w:iCs/>
                <w:color w:val="auto"/>
                <w:sz w:val="24"/>
                <w:lang w:val="en-US" w:eastAsia="zh-CN"/>
              </w:rPr>
              <w:t>.</w:t>
            </w:r>
            <w:r>
              <w:rPr>
                <w:rFonts w:hint="eastAsia" w:ascii="宋体" w:hAnsi="宋体"/>
                <w:iCs/>
                <w:color w:val="auto"/>
                <w:sz w:val="24"/>
              </w:rPr>
              <w:t>30</w:t>
            </w:r>
            <w:r>
              <w:rPr>
                <w:rFonts w:hint="eastAsia" w:ascii="宋体" w:hAnsi="宋体"/>
                <w:iCs/>
                <w:color w:val="auto"/>
                <w:sz w:val="24"/>
                <w:lang w:eastAsia="zh-CN"/>
              </w:rPr>
              <w:t>万</w:t>
            </w:r>
            <w:r>
              <w:rPr>
                <w:rFonts w:hint="eastAsia" w:ascii="宋体" w:hAnsi="宋体"/>
                <w:iCs/>
                <w:color w:val="auto"/>
                <w:sz w:val="24"/>
              </w:rPr>
              <w:t>元；支出按经济分类为：工资福利支出1377</w:t>
            </w:r>
            <w:r>
              <w:rPr>
                <w:rFonts w:hint="eastAsia" w:ascii="宋体" w:hAnsi="宋体"/>
                <w:iCs/>
                <w:color w:val="auto"/>
                <w:sz w:val="24"/>
                <w:lang w:val="en-US" w:eastAsia="zh-CN"/>
              </w:rPr>
              <w:t>.</w:t>
            </w:r>
            <w:r>
              <w:rPr>
                <w:rFonts w:hint="eastAsia" w:ascii="宋体" w:hAnsi="宋体"/>
                <w:iCs/>
                <w:color w:val="auto"/>
                <w:sz w:val="24"/>
              </w:rPr>
              <w:t>6010</w:t>
            </w:r>
            <w:r>
              <w:rPr>
                <w:rFonts w:hint="eastAsia" w:ascii="宋体" w:hAnsi="宋体"/>
                <w:iCs/>
                <w:color w:val="auto"/>
                <w:sz w:val="24"/>
                <w:lang w:eastAsia="zh-CN"/>
              </w:rPr>
              <w:t>万</w:t>
            </w:r>
            <w:r>
              <w:rPr>
                <w:rFonts w:hint="eastAsia" w:ascii="宋体" w:hAnsi="宋体"/>
                <w:iCs/>
                <w:color w:val="auto"/>
                <w:sz w:val="24"/>
              </w:rPr>
              <w:t>元，商品和服务支出577</w:t>
            </w:r>
            <w:r>
              <w:rPr>
                <w:rFonts w:hint="eastAsia" w:ascii="宋体" w:hAnsi="宋体"/>
                <w:iCs/>
                <w:color w:val="auto"/>
                <w:sz w:val="24"/>
                <w:lang w:val="en-US" w:eastAsia="zh-CN"/>
              </w:rPr>
              <w:t>.</w:t>
            </w:r>
            <w:r>
              <w:rPr>
                <w:rFonts w:hint="eastAsia" w:ascii="宋体" w:hAnsi="宋体"/>
                <w:iCs/>
                <w:color w:val="auto"/>
                <w:sz w:val="24"/>
              </w:rPr>
              <w:t>52</w:t>
            </w:r>
            <w:r>
              <w:rPr>
                <w:rFonts w:hint="eastAsia" w:ascii="宋体" w:hAnsi="宋体"/>
                <w:iCs/>
                <w:color w:val="auto"/>
                <w:sz w:val="24"/>
                <w:lang w:eastAsia="zh-CN"/>
              </w:rPr>
              <w:t>万</w:t>
            </w:r>
            <w:r>
              <w:rPr>
                <w:rFonts w:hint="eastAsia" w:ascii="宋体" w:hAnsi="宋体"/>
                <w:iCs/>
                <w:color w:val="auto"/>
                <w:sz w:val="24"/>
              </w:rPr>
              <w:t>元，对个人和家庭的补助4</w:t>
            </w:r>
            <w:r>
              <w:rPr>
                <w:rFonts w:hint="eastAsia" w:ascii="宋体" w:hAnsi="宋体"/>
                <w:iCs/>
                <w:color w:val="auto"/>
                <w:sz w:val="24"/>
                <w:lang w:val="en-US" w:eastAsia="zh-CN"/>
              </w:rPr>
              <w:t>.</w:t>
            </w:r>
            <w:r>
              <w:rPr>
                <w:rFonts w:hint="eastAsia" w:ascii="宋体" w:hAnsi="宋体"/>
                <w:iCs/>
                <w:color w:val="auto"/>
                <w:sz w:val="24"/>
              </w:rPr>
              <w:t>36</w:t>
            </w:r>
            <w:r>
              <w:rPr>
                <w:rFonts w:hint="eastAsia" w:ascii="宋体" w:hAnsi="宋体"/>
                <w:iCs/>
                <w:color w:val="auto"/>
                <w:sz w:val="24"/>
                <w:lang w:eastAsia="zh-CN"/>
              </w:rPr>
              <w:t>万</w:t>
            </w:r>
            <w:r>
              <w:rPr>
                <w:rFonts w:hint="eastAsia" w:ascii="宋体" w:hAnsi="宋体"/>
                <w:iCs/>
                <w:color w:val="auto"/>
                <w:sz w:val="24"/>
              </w:rPr>
              <w:t>元，资本性支出11</w:t>
            </w:r>
            <w:r>
              <w:rPr>
                <w:rFonts w:hint="eastAsia" w:ascii="宋体" w:hAnsi="宋体"/>
                <w:iCs/>
                <w:color w:val="auto"/>
                <w:sz w:val="24"/>
                <w:lang w:val="en-US" w:eastAsia="zh-CN"/>
              </w:rPr>
              <w:t>.</w:t>
            </w:r>
            <w:r>
              <w:rPr>
                <w:rFonts w:hint="eastAsia" w:ascii="宋体" w:hAnsi="宋体"/>
                <w:iCs/>
                <w:color w:val="auto"/>
                <w:sz w:val="24"/>
              </w:rPr>
              <w:t>16</w:t>
            </w:r>
            <w:r>
              <w:rPr>
                <w:rFonts w:hint="eastAsia" w:ascii="宋体" w:hAnsi="宋体"/>
                <w:iCs/>
                <w:color w:val="auto"/>
                <w:sz w:val="24"/>
                <w:lang w:eastAsia="zh-CN"/>
              </w:rPr>
              <w:t>万</w:t>
            </w:r>
            <w:r>
              <w:rPr>
                <w:rFonts w:hint="eastAsia" w:ascii="宋体" w:hAnsi="宋体"/>
                <w:iCs/>
                <w:color w:val="auto"/>
                <w:sz w:val="24"/>
              </w:rPr>
              <w:t>元。2020年度“三公经费”决算数为9</w:t>
            </w:r>
            <w:r>
              <w:rPr>
                <w:rFonts w:hint="eastAsia" w:ascii="宋体" w:hAnsi="宋体"/>
                <w:iCs/>
                <w:color w:val="auto"/>
                <w:sz w:val="24"/>
                <w:lang w:val="en-US" w:eastAsia="zh-CN"/>
              </w:rPr>
              <w:t>.</w:t>
            </w:r>
            <w:r>
              <w:rPr>
                <w:rFonts w:hint="eastAsia" w:ascii="宋体" w:hAnsi="宋体"/>
                <w:iCs/>
                <w:color w:val="auto"/>
                <w:sz w:val="24"/>
              </w:rPr>
              <w:t>0</w:t>
            </w:r>
            <w:r>
              <w:rPr>
                <w:rFonts w:hint="eastAsia" w:ascii="宋体" w:hAnsi="宋体"/>
                <w:iCs/>
                <w:color w:val="auto"/>
                <w:sz w:val="24"/>
                <w:lang w:val="en-US" w:eastAsia="zh-CN"/>
              </w:rPr>
              <w:t>2</w:t>
            </w:r>
            <w:r>
              <w:rPr>
                <w:rFonts w:hint="eastAsia" w:ascii="宋体" w:hAnsi="宋体"/>
                <w:iCs/>
                <w:color w:val="auto"/>
                <w:sz w:val="24"/>
              </w:rPr>
              <w:t>万元,其中公务用车运行维护费8</w:t>
            </w:r>
            <w:r>
              <w:rPr>
                <w:rFonts w:hint="eastAsia" w:ascii="宋体" w:hAnsi="宋体"/>
                <w:iCs/>
                <w:color w:val="auto"/>
                <w:sz w:val="24"/>
                <w:lang w:val="en-US" w:eastAsia="zh-CN"/>
              </w:rPr>
              <w:t>.</w:t>
            </w:r>
            <w:r>
              <w:rPr>
                <w:rFonts w:hint="eastAsia" w:ascii="宋体" w:hAnsi="宋体"/>
                <w:iCs/>
                <w:color w:val="auto"/>
                <w:sz w:val="24"/>
              </w:rPr>
              <w:t>90元，公务接待费1</w:t>
            </w:r>
            <w:r>
              <w:rPr>
                <w:rFonts w:hint="eastAsia" w:ascii="宋体" w:hAnsi="宋体"/>
                <w:iCs/>
                <w:color w:val="auto"/>
                <w:sz w:val="24"/>
                <w:lang w:val="en-US" w:eastAsia="zh-CN"/>
              </w:rPr>
              <w:t>.</w:t>
            </w:r>
            <w:r>
              <w:rPr>
                <w:rFonts w:hint="eastAsia" w:ascii="宋体" w:hAnsi="宋体"/>
                <w:iCs/>
                <w:color w:val="auto"/>
                <w:sz w:val="24"/>
              </w:rPr>
              <w:t>1</w:t>
            </w:r>
            <w:r>
              <w:rPr>
                <w:rFonts w:hint="eastAsia" w:ascii="宋体" w:hAnsi="宋体"/>
                <w:iCs/>
                <w:color w:val="auto"/>
                <w:sz w:val="24"/>
                <w:lang w:val="en-US" w:eastAsia="zh-CN"/>
              </w:rPr>
              <w:t>2</w:t>
            </w:r>
            <w:r>
              <w:rPr>
                <w:rFonts w:hint="eastAsia" w:ascii="宋体" w:hAnsi="宋体"/>
                <w:iCs/>
                <w:color w:val="auto"/>
                <w:sz w:val="24"/>
              </w:rPr>
              <w:t>元；2020年度结余资金</w:t>
            </w:r>
            <w:r>
              <w:rPr>
                <w:rFonts w:hint="eastAsia" w:ascii="宋体" w:hAnsi="宋体"/>
                <w:iCs/>
                <w:color w:val="auto"/>
                <w:sz w:val="24"/>
                <w:lang w:val="en-US" w:eastAsia="zh-CN"/>
              </w:rPr>
              <w:t>93.05万</w:t>
            </w:r>
            <w:r>
              <w:rPr>
                <w:rFonts w:hint="eastAsia" w:ascii="宋体" w:hAnsi="宋体"/>
                <w:iCs/>
                <w:color w:val="auto"/>
                <w:sz w:val="24"/>
              </w:rPr>
              <w:t>元。</w:t>
            </w:r>
          </w:p>
          <w:p>
            <w:pPr>
              <w:snapToGrid w:val="0"/>
              <w:spacing w:line="520" w:lineRule="exact"/>
              <w:rPr>
                <w:rFonts w:hint="default" w:ascii="宋体" w:hAnsi="宋体" w:eastAsia="宋体" w:cs="Times New Roman"/>
                <w:iCs/>
                <w:color w:val="auto"/>
                <w:sz w:val="24"/>
                <w:lang w:val="en-US" w:eastAsia="zh-CN"/>
              </w:rPr>
            </w:pPr>
            <w:r>
              <w:rPr>
                <w:rFonts w:hint="eastAsia" w:ascii="宋体" w:hAnsi="宋体"/>
                <w:iCs/>
                <w:color w:val="auto"/>
                <w:sz w:val="24"/>
                <w:lang w:val="en-US" w:eastAsia="zh-CN"/>
              </w:rPr>
              <w:t>2、</w:t>
            </w:r>
            <w:r>
              <w:rPr>
                <w:rFonts w:hint="eastAsia" w:ascii="宋体" w:hAnsi="宋体"/>
                <w:iCs/>
                <w:color w:val="auto"/>
                <w:sz w:val="24"/>
                <w:lang w:eastAsia="zh-CN"/>
              </w:rPr>
              <w:t>财政拨款收入支出情况</w:t>
            </w:r>
          </w:p>
          <w:p>
            <w:pPr>
              <w:snapToGrid w:val="0"/>
              <w:spacing w:line="520" w:lineRule="exact"/>
              <w:rPr>
                <w:rFonts w:hint="eastAsia" w:ascii="宋体" w:hAnsi="宋体"/>
                <w:iCs/>
                <w:color w:val="auto"/>
                <w:sz w:val="24"/>
                <w:lang w:val="en-US" w:eastAsia="zh-CN"/>
              </w:rPr>
            </w:pPr>
            <w:r>
              <w:rPr>
                <w:rFonts w:hint="eastAsia" w:ascii="宋体" w:hAnsi="宋体"/>
                <w:iCs/>
                <w:color w:val="auto"/>
                <w:sz w:val="24"/>
                <w:lang w:val="en-US" w:eastAsia="zh-CN"/>
              </w:rPr>
              <w:t>年初一般公共预算财政拨款收入1776.57万元，年中追加105.93万元，年末财政拨款决算收入为1882.50万元。</w:t>
            </w:r>
            <w:r>
              <w:rPr>
                <w:rFonts w:hint="eastAsia" w:ascii="宋体" w:hAnsi="宋体" w:eastAsia="宋体" w:cs="Times New Roman"/>
                <w:iCs/>
                <w:color w:val="auto"/>
                <w:sz w:val="24"/>
                <w:lang w:val="en-US" w:eastAsia="zh-CN"/>
              </w:rPr>
              <w:t>2020年财政拨款支出为1882.50万元，具体如下：基本支出为1472.20万元（其中人员经费1272.54，日常运行公用经费199.66万元）；项目支</w:t>
            </w:r>
            <w:r>
              <w:rPr>
                <w:rFonts w:hint="eastAsia" w:ascii="宋体" w:hAnsi="宋体"/>
                <w:iCs/>
                <w:color w:val="auto"/>
                <w:sz w:val="24"/>
                <w:lang w:val="en-US" w:eastAsia="zh-CN"/>
              </w:rPr>
              <w:t>出为410.30万元，全部为业务性专项支出。</w:t>
            </w:r>
          </w:p>
          <w:p>
            <w:pPr>
              <w:snapToGrid w:val="0"/>
              <w:spacing w:line="520" w:lineRule="exact"/>
              <w:rPr>
                <w:rFonts w:hint="eastAsia" w:ascii="宋体" w:hAnsi="宋体" w:eastAsia="宋体" w:cs="Times New Roman"/>
                <w:iCs/>
                <w:color w:val="auto"/>
                <w:sz w:val="24"/>
                <w:lang w:val="en-US" w:eastAsia="zh-CN"/>
              </w:rPr>
            </w:pPr>
            <w:r>
              <w:rPr>
                <w:rFonts w:hint="eastAsia" w:ascii="宋体" w:hAnsi="宋体"/>
                <w:iCs/>
                <w:color w:val="auto"/>
                <w:sz w:val="24"/>
                <w:lang w:val="en-US" w:eastAsia="zh-CN"/>
              </w:rPr>
              <w:t>3、预算执行结果</w:t>
            </w:r>
            <w:r>
              <w:rPr>
                <w:rFonts w:hint="eastAsia" w:ascii="宋体" w:hAnsi="宋体" w:cs="宋体"/>
                <w:sz w:val="24"/>
                <w:szCs w:val="24"/>
                <w:lang w:val="en-US" w:eastAsia="zh-CN"/>
              </w:rPr>
              <w:t>。</w:t>
            </w:r>
            <w:r>
              <w:rPr>
                <w:rFonts w:hint="eastAsia" w:ascii="宋体" w:hAnsi="宋体" w:eastAsia="宋体" w:cs="Times New Roman"/>
                <w:iCs/>
                <w:color w:val="auto"/>
                <w:sz w:val="24"/>
                <w:lang w:val="en-US" w:eastAsia="zh-CN"/>
              </w:rPr>
              <w:t>通过规范预算支出管理，不断完善内部管理制度,理顺内部业务管理流程，我局各项支出总额均在预算总额内，年中追加资金均因政策落实进行追加，故我局的实际预算调整率为.0。根据资金支出进度，预计基本支出控制率、项目支出控制率和三公经费控制率均小于100%。</w:t>
            </w:r>
          </w:p>
          <w:p>
            <w:pPr>
              <w:snapToGrid w:val="0"/>
              <w:spacing w:line="520" w:lineRule="exact"/>
              <w:rPr>
                <w:rFonts w:hint="eastAsia" w:ascii="宋体" w:hAnsi="宋体"/>
                <w:iCs/>
                <w:color w:val="auto"/>
                <w:sz w:val="24"/>
                <w:lang w:eastAsia="zh-CN"/>
              </w:rPr>
            </w:pPr>
            <w:r>
              <w:rPr>
                <w:rFonts w:hint="eastAsia" w:ascii="宋体" w:hAnsi="宋体"/>
                <w:iCs/>
                <w:color w:val="auto"/>
                <w:sz w:val="24"/>
                <w:lang w:eastAsia="zh-CN"/>
              </w:rPr>
              <w:t>（五）预算管理</w:t>
            </w:r>
          </w:p>
          <w:p>
            <w:pPr>
              <w:snapToGrid w:val="0"/>
              <w:spacing w:line="520" w:lineRule="exact"/>
              <w:ind w:firstLine="240" w:firstLineChars="100"/>
              <w:rPr>
                <w:rFonts w:hint="eastAsia" w:ascii="宋体" w:hAnsi="宋体"/>
                <w:iCs/>
                <w:color w:val="auto"/>
                <w:sz w:val="24"/>
                <w:lang w:eastAsia="zh-CN"/>
              </w:rPr>
            </w:pPr>
            <w:r>
              <w:rPr>
                <w:rFonts w:hint="eastAsia" w:ascii="宋体" w:hAnsi="宋体"/>
                <w:iCs/>
                <w:color w:val="auto"/>
                <w:sz w:val="24"/>
                <w:lang w:eastAsia="zh-CN"/>
              </w:rPr>
              <w:t>为规范部门整体支出，贯彻厉行节约反对浪费条例，完善内部财务管理，提高资金使用效率，建立节约型机关，我局在强化业务管理、财务管理、内部控制和厉行节约等方面开展了大量工作，预算管理水平提高显著。我局制定并完善了预算资金管理办法、内部财务管理制度以及会计核算制度等，对项目绩效目标完成支出进行了专账核算，2020年部门预算已按照政府信息公开的要求在门户网站上进行统一公开，部门决算等县财政局进行决算核查后再按要求公开。严格按照政府采购法的要求进行了政府采购。</w:t>
            </w:r>
          </w:p>
          <w:p>
            <w:pPr>
              <w:numPr>
                <w:ilvl w:val="0"/>
                <w:numId w:val="0"/>
              </w:numPr>
              <w:snapToGrid w:val="0"/>
              <w:spacing w:line="520" w:lineRule="exact"/>
            </w:pPr>
            <w:r>
              <w:rPr>
                <w:rFonts w:hint="eastAsia" w:ascii="宋体" w:hAnsi="宋体" w:cs="宋体"/>
                <w:sz w:val="24"/>
                <w:szCs w:val="24"/>
                <w:lang w:eastAsia="zh-CN"/>
              </w:rPr>
              <w:t>（六）</w:t>
            </w:r>
            <w:r>
              <w:rPr>
                <w:rFonts w:ascii="宋体" w:hAnsi="宋体" w:eastAsia="宋体" w:cs="宋体"/>
                <w:sz w:val="24"/>
                <w:szCs w:val="24"/>
              </w:rPr>
              <w:t>资产管理</w:t>
            </w:r>
          </w:p>
          <w:p>
            <w:pPr>
              <w:snapToGrid w:val="0"/>
              <w:spacing w:line="520" w:lineRule="exact"/>
              <w:ind w:firstLine="480" w:firstLineChars="200"/>
              <w:rPr>
                <w:rFonts w:ascii="宋体" w:hAnsi="宋体"/>
                <w:iCs/>
                <w:sz w:val="24"/>
              </w:rPr>
            </w:pPr>
            <w:r>
              <w:rPr>
                <w:rFonts w:hint="eastAsia" w:ascii="宋体" w:hAnsi="宋体"/>
                <w:iCs/>
                <w:color w:val="auto"/>
                <w:sz w:val="24"/>
                <w:lang w:eastAsia="zh-CN"/>
              </w:rPr>
              <w:t>我单位严格遵守现行国有资产管理法律法规及政策规定，按照行政事业单位内控制度建设相关要求，安排专人开展国有资产工作。完善了资产管理流程同时，每月做好资产月报及资产折旧工作，及时将固定资产变动情况纳入资产管理信息系统，实现固定资产动态管理。提升资产管理信息化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pPr>
              <w:snapToGrid w:val="0"/>
              <w:spacing w:line="520" w:lineRule="exact"/>
              <w:ind w:firstLine="480" w:firstLineChars="200"/>
              <w:rPr>
                <w:rFonts w:hint="eastAsia" w:ascii="宋体" w:hAnsi="宋体" w:cs="Times New Roman"/>
                <w:iCs/>
                <w:sz w:val="24"/>
              </w:rPr>
            </w:pPr>
            <w:r>
              <w:rPr>
                <w:rFonts w:hint="eastAsia" w:ascii="宋体" w:hAnsi="宋体" w:cs="Times New Roman"/>
                <w:iCs/>
                <w:sz w:val="24"/>
                <w:lang w:val="en-US" w:eastAsia="zh-CN"/>
              </w:rPr>
              <w:t>2020年，司法局在县委、县政府的领导下，坚持依法行政、执法为民，稳中求进，改革创新，积极作为，突出抓改革强监管促发展，各方面工作稳步推进，根据我单位制定的《部门整体支出绩效评价自评分值表》评分，得分90分，财政支出绩效为“优”。主要绩效如下：</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一、稳步推进全面依法治县工作。</w:t>
            </w:r>
          </w:p>
          <w:p>
            <w:pPr>
              <w:snapToGrid w:val="0"/>
              <w:spacing w:line="520" w:lineRule="exact"/>
              <w:rPr>
                <w:rFonts w:hint="default" w:ascii="宋体" w:hAnsi="宋体" w:cs="Times New Roman"/>
                <w:iCs/>
                <w:sz w:val="24"/>
                <w:lang w:val="en-US" w:eastAsia="zh-CN"/>
              </w:rPr>
            </w:pPr>
            <w:r>
              <w:rPr>
                <w:rFonts w:hint="eastAsia" w:ascii="宋体" w:hAnsi="宋体" w:cs="Times New Roman"/>
                <w:iCs/>
                <w:sz w:val="24"/>
                <w:lang w:val="en-US" w:eastAsia="zh-CN"/>
              </w:rPr>
              <w:t>1.做好了我县涉及优化营商环境的行政规范性文件清理工作。截至12月底，共专项清理营商环境有关规范性文件18件，废止15件，宣布3件失效。</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2.推动落实行政执法“三项制度”，建立行政执法事中事后监管制度，严格落实“谁审批谁监管、谁主管谁监管”的行政执法要求，加强对行政执法和行政处罚及相应的行政强制权的指导与监督，2020年，全县行政处罚案件总计10.03万件，到位罚没款3320.86万元，行政强制1273件，拆除违法建筑868处，面积1.9万平方米。</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3.进一步完善行政复议案件审理机制，畅通行政复议渠道，充分发挥行政复议在防范和化解社会矛盾方面的作用。截至12月底，共接收行政复议案26件，其中依法撤销8件；县政府及各乡镇部门行政诉讼被诉案件31件，大大维护了我县招商引资的良好形象，挽回了县域近六千万的经济损失。</w:t>
            </w:r>
          </w:p>
          <w:p>
            <w:pPr>
              <w:snapToGrid w:val="0"/>
              <w:spacing w:line="520" w:lineRule="exact"/>
              <w:rPr>
                <w:rFonts w:hint="default" w:ascii="宋体" w:hAnsi="宋体" w:cs="Times New Roman"/>
                <w:iCs/>
                <w:sz w:val="24"/>
                <w:lang w:val="en-US" w:eastAsia="zh-CN"/>
              </w:rPr>
            </w:pPr>
            <w:r>
              <w:rPr>
                <w:rFonts w:hint="eastAsia" w:ascii="宋体" w:hAnsi="宋体" w:cs="Times New Roman"/>
                <w:iCs/>
                <w:sz w:val="24"/>
                <w:lang w:val="en-US" w:eastAsia="zh-CN"/>
              </w:rPr>
              <w:t>4.推进法治政府建设，凡是未经合法性审查的规范性文件一律不得提交县政府常务会议研究，未经集体研究通过的，不得公开发布。截至12月底，共审核规范性文件80件，县人民政府会议纪要15件，各类合同、公告28件，其他重要文件10件，参加有关合同工作会议20余次。</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二、切实加强社区矫正工作。全县共接收社区矫正对象281人，解除社区矫正对象252人，在册社区矫正对象278人，手机APP定位244人、运营商定位15人，定位率100%；警告19人次、记表扬2人次、治安拘留2人；变更居住地15例；跨市县活动审批26例；接受决定机关委托，共对240例拟适用社区矫正对象进行社会调查评估。全部人员管控到位，无一人脱管漏管。    </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三、重点抓好重点人员管控和安置帮教工作。截至12月底，刑满释放人员信息管理系统内共有刑满释放人员3410人。根据刑满释放人员管理五年，解矫对象管理三年的原则，监狱刑释五年期重点管控人员529人，解除社区矫正对象三年期重点管控人员414人，两项合计重点管控人员943人，回执率、衔接率、接送率、帮教率均达到100%。</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四、扎实开展人民调解工作。2020年，我县共有人民调解员1484人，共调处各类矛盾纠纷3647件，成功调处3601件，成功率达98.7%。落实了以奖代补资金   万元，全县无“民转刑”案件及群体性事件发生，县婚调委专职调解员谭照被评为“全国模范调解员”。</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五、全面推进普法依法治理工作。</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1.扎实开展“法律八进”工作，不止步地的开展普法宣传。一是扎实开展抗疫宣传。疫情期间共出动宣传车50余次，开展法治宣传20余次，发放疫情宣传手册近万份，微信公众号推送稿件10余篇。</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2.大力推进法治乡村建设工作，完善基层民主法治示范村创建活动。采取试点建设的方式，在全县17个乡镇，每个乡镇确定了2个村(社区)作为创建工作的试点单位，易俗河镇水竹村、花果山社区被评为湘潭市第一批“民主法示范村（社区）”。全年组织全县1100名农村“法律明白人”接受了在线培训，举办了200人参加的普法骨干培训班。</w:t>
            </w:r>
          </w:p>
          <w:p>
            <w:pPr>
              <w:snapToGrid w:val="0"/>
              <w:spacing w:line="520" w:lineRule="exact"/>
              <w:rPr>
                <w:rFonts w:hint="default" w:ascii="宋体" w:hAnsi="宋体" w:cs="Times New Roman"/>
                <w:iCs/>
                <w:sz w:val="24"/>
                <w:lang w:val="en-US" w:eastAsia="zh-CN"/>
              </w:rPr>
            </w:pPr>
            <w:r>
              <w:rPr>
                <w:rFonts w:hint="eastAsia" w:ascii="宋体" w:hAnsi="宋体" w:cs="Times New Roman"/>
                <w:iCs/>
                <w:sz w:val="24"/>
                <w:lang w:val="en-US" w:eastAsia="zh-CN"/>
              </w:rPr>
              <w:t>3.积极开展各项法治宣传工作。全年共参与各类法治宣传56次，开展各类法治宣传活动180场次，法治讲座160余场次，发放宣传资料400余万册（份），法治文艺巡演7场，</w:t>
            </w:r>
            <w:r>
              <w:rPr>
                <w:rFonts w:hint="eastAsia" w:ascii="宋体" w:hAnsi="宋体" w:cs="Times New Roman"/>
                <w:iCs/>
                <w:sz w:val="24"/>
              </w:rPr>
              <w:t>悬</w:t>
            </w:r>
            <w:r>
              <w:rPr>
                <w:rFonts w:hint="eastAsia" w:ascii="宋体" w:hAnsi="宋体" w:cs="Times New Roman"/>
                <w:iCs/>
                <w:sz w:val="24"/>
                <w:lang w:val="en-US" w:eastAsia="zh-CN"/>
              </w:rPr>
              <w:t>挂横幅300余条，张贴标语510幅，添置和更新法治宣传栏268块、解答法律政策咨询2000人次、出动宣传车200台次。精心组织开展全县国家工作人员13600人参加在线学法和考法，全县学法率达100%，考法报考率100%，通过率100%。认真落实“谁主管谁负责、谁执法谁普法、谁服务谁普法”普法责任制。</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4.加强与县融媒体中心无缝对接，全年共制作《法治天地》栏目12期，并联合公检法制作了湘潭县《民法典》微电影，微电影通过情景剧的方式阐述了《民法典》与人民群众息息相关的七大热点问题，在学习强国平台，湘潭县发布、中共湘潭县委政法委员会、湘潭县公安、湘潭县法院公众号等新媒体平台同步播出。</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六、夯实公共法律服务基础。</w:t>
            </w:r>
          </w:p>
          <w:p>
            <w:pPr>
              <w:snapToGrid w:val="0"/>
              <w:spacing w:line="520" w:lineRule="exact"/>
              <w:rPr>
                <w:rFonts w:hint="eastAsia" w:ascii="宋体" w:hAnsi="宋体" w:cs="Times New Roman"/>
                <w:iCs/>
                <w:sz w:val="24"/>
              </w:rPr>
            </w:pPr>
            <w:r>
              <w:rPr>
                <w:rFonts w:hint="eastAsia" w:ascii="宋体" w:hAnsi="宋体" w:cs="Times New Roman"/>
                <w:iCs/>
                <w:sz w:val="24"/>
                <w:lang w:val="en-US" w:eastAsia="zh-CN"/>
              </w:rPr>
              <w:t>1.</w:t>
            </w:r>
            <w:r>
              <w:rPr>
                <w:rFonts w:hint="eastAsia" w:ascii="宋体" w:hAnsi="宋体" w:cs="Times New Roman"/>
                <w:iCs/>
                <w:sz w:val="24"/>
              </w:rPr>
              <w:t>扎实推进公共法律服务平台建设。2020年，进一步完善了全县17个乡镇公共法律服务工作站、355个村级公共法律服务工作点和3550个公共法律服务志愿点的建设工作。县中心2020年接待群众余2000人次，受理法律援助案件376件，引入律师376件、办理公证793件；在如法网平台共录入网络咨询417条，登录法律援助案件376件。</w:t>
            </w:r>
          </w:p>
          <w:p>
            <w:pPr>
              <w:snapToGrid w:val="0"/>
              <w:spacing w:line="520" w:lineRule="exact"/>
              <w:rPr>
                <w:rFonts w:hint="eastAsia" w:ascii="宋体" w:hAnsi="宋体" w:cs="Times New Roman"/>
                <w:iCs/>
                <w:sz w:val="24"/>
              </w:rPr>
            </w:pPr>
            <w:r>
              <w:rPr>
                <w:rFonts w:hint="eastAsia" w:ascii="宋体" w:hAnsi="宋体" w:cs="Times New Roman"/>
                <w:iCs/>
                <w:sz w:val="24"/>
                <w:lang w:val="en-US" w:eastAsia="zh-CN"/>
              </w:rPr>
              <w:t>2.</w:t>
            </w:r>
            <w:r>
              <w:rPr>
                <w:rFonts w:hint="eastAsia" w:ascii="宋体" w:hAnsi="宋体" w:cs="Times New Roman"/>
                <w:iCs/>
                <w:sz w:val="24"/>
              </w:rPr>
              <w:t>创新“一村一法律顾问”工作方式，首创“一村一法律顾问”律师事务所分片责任包干制。2020年我们按照“属地优先，就近服务”的原则，对全县17个乡镇划分为3个片区，聘请本县三家律师事务所</w:t>
            </w:r>
            <w:r>
              <w:rPr>
                <w:rFonts w:hint="eastAsia" w:cs="Times New Roman"/>
                <w:iCs/>
                <w:sz w:val="24"/>
                <w:lang w:val="en-US" w:eastAsia="zh-CN"/>
              </w:rPr>
              <w:t>22名律师</w:t>
            </w:r>
            <w:r>
              <w:rPr>
                <w:rFonts w:hint="eastAsia" w:ascii="宋体" w:hAnsi="宋体" w:cs="Times New Roman"/>
                <w:iCs/>
                <w:sz w:val="24"/>
              </w:rPr>
              <w:t>，实行一所一片区、分片包干的方式免费为村（社区）提供法律服务</w:t>
            </w:r>
            <w:r>
              <w:rPr>
                <w:rFonts w:hint="eastAsia" w:cs="Times New Roman"/>
                <w:iCs/>
                <w:sz w:val="24"/>
                <w:lang w:eastAsia="zh-CN"/>
              </w:rPr>
              <w:t>，</w:t>
            </w:r>
            <w:r>
              <w:rPr>
                <w:rFonts w:hint="eastAsia" w:ascii="宋体" w:hAnsi="宋体" w:cs="Times New Roman"/>
                <w:iCs/>
                <w:sz w:val="24"/>
              </w:rPr>
              <w:t>并建立了微信服务群。全年，全县共建立村级顾问微信群35</w:t>
            </w:r>
            <w:r>
              <w:rPr>
                <w:rFonts w:hint="eastAsia" w:cs="Times New Roman"/>
                <w:iCs/>
                <w:sz w:val="24"/>
                <w:lang w:val="en-US" w:eastAsia="zh-CN"/>
              </w:rPr>
              <w:t>1</w:t>
            </w:r>
            <w:r>
              <w:rPr>
                <w:rFonts w:hint="eastAsia" w:ascii="宋体" w:hAnsi="宋体" w:cs="Times New Roman"/>
                <w:iCs/>
                <w:sz w:val="24"/>
              </w:rPr>
              <w:t>个，完成率100%；为村解答法律咨询2249件；推送微信普法信息14684条，进行现场走访911次，参与矛盾纠纷调解165件，举行现场法治宣传26场次，开展现场法治讲座51场次。</w:t>
            </w:r>
          </w:p>
          <w:p>
            <w:pPr>
              <w:snapToGrid w:val="0"/>
              <w:spacing w:line="520" w:lineRule="exact"/>
              <w:rPr>
                <w:rFonts w:hint="eastAsia" w:ascii="宋体" w:hAnsi="宋体" w:cs="Times New Roman"/>
                <w:iCs/>
                <w:sz w:val="24"/>
              </w:rPr>
            </w:pPr>
            <w:r>
              <w:rPr>
                <w:rFonts w:hint="eastAsia" w:cs="Times New Roman"/>
                <w:iCs/>
                <w:sz w:val="24"/>
                <w:lang w:val="en-US" w:eastAsia="zh-CN"/>
              </w:rPr>
              <w:t>3</w:t>
            </w:r>
            <w:r>
              <w:rPr>
                <w:rFonts w:hint="eastAsia" w:ascii="宋体" w:hAnsi="宋体" w:cs="Times New Roman"/>
                <w:iCs/>
                <w:sz w:val="24"/>
                <w:lang w:val="en-US" w:eastAsia="zh-CN"/>
              </w:rPr>
              <w:t>.</w:t>
            </w:r>
            <w:r>
              <w:rPr>
                <w:rFonts w:hint="eastAsia" w:ascii="宋体" w:hAnsi="宋体" w:cs="Times New Roman"/>
                <w:iCs/>
                <w:sz w:val="24"/>
              </w:rPr>
              <w:t>开展村规民约和居民公约法制审核工作，从主体、程序、内容三个方面对全县351个村（社区）的村规民约和居民公约进行全面审核，进一步提升乡村(居)治理水平，夯实基层法治基础。</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cs="Times New Roman"/>
                <w:iCs/>
                <w:sz w:val="24"/>
                <w:lang w:val="en-US" w:eastAsia="zh-CN"/>
              </w:rPr>
            </w:pPr>
            <w:r>
              <w:rPr>
                <w:rFonts w:hint="eastAsia" w:ascii="宋体" w:hAnsi="宋体" w:cs="Times New Roman"/>
                <w:iCs/>
                <w:sz w:val="24"/>
                <w:lang w:val="en-US" w:eastAsia="zh-CN"/>
              </w:rPr>
              <w:t>4.法律援助和公证等民生实事工程稳步推进。截至12月底，法援</w:t>
            </w:r>
            <w:r>
              <w:rPr>
                <w:rFonts w:hint="eastAsia" w:ascii="宋体" w:hAnsi="宋体" w:eastAsia="宋体" w:cs="Times New Roman"/>
                <w:iCs/>
                <w:kern w:val="0"/>
                <w:sz w:val="24"/>
                <w:szCs w:val="24"/>
                <w:lang w:val="en-US" w:eastAsia="zh-CN" w:bidi="ar-SA"/>
              </w:rPr>
              <w:t>中心共受理法援案件376件，其中民事205件，刑事171件，为当事人挽回经济损失5000余万元，免去法律服务费用100余万元；值班律师提供法律帮助300人次，参与办理认罪认罚案件508件。今年以来，县中心共接待群众来信、来电、来访法律咨询800多人次。</w:t>
            </w:r>
            <w:r>
              <w:rPr>
                <w:rFonts w:hint="eastAsia" w:ascii="宋体" w:hAnsi="宋体" w:cs="Times New Roman"/>
                <w:iCs/>
                <w:sz w:val="24"/>
              </w:rPr>
              <w:t>2020年，全县办理公证事项79</w:t>
            </w:r>
            <w:r>
              <w:rPr>
                <w:rFonts w:hint="eastAsia" w:ascii="宋体" w:hAnsi="宋体" w:cs="Times New Roman"/>
                <w:iCs/>
                <w:sz w:val="24"/>
                <w:lang w:val="en-US" w:eastAsia="zh-CN"/>
              </w:rPr>
              <w:t>0</w:t>
            </w:r>
            <w:r>
              <w:rPr>
                <w:rFonts w:hint="eastAsia" w:ascii="宋体" w:hAnsi="宋体" w:cs="Times New Roman"/>
                <w:iCs/>
                <w:sz w:val="24"/>
              </w:rPr>
              <w:t>件</w:t>
            </w:r>
            <w:r>
              <w:rPr>
                <w:rFonts w:hint="eastAsia" w:ascii="宋体" w:hAnsi="宋体" w:eastAsia="宋体" w:cs="Times New Roman"/>
                <w:iCs/>
                <w:kern w:val="0"/>
                <w:sz w:val="24"/>
                <w:szCs w:val="24"/>
                <w:lang w:val="en-US" w:eastAsia="zh-CN" w:bidi="ar-SA"/>
              </w:rPr>
              <w:t>（民事683件，涉外107件</w:t>
            </w:r>
            <w:r>
              <w:rPr>
                <w:rFonts w:hint="eastAsia" w:ascii="宋体" w:hAnsi="宋体" w:cs="Times New Roman"/>
                <w:iCs/>
                <w:kern w:val="0"/>
                <w:sz w:val="24"/>
                <w:szCs w:val="24"/>
                <w:lang w:val="en-US" w:eastAsia="zh-CN" w:bidi="ar-SA"/>
              </w:rPr>
              <w:t>），</w:t>
            </w:r>
            <w:r>
              <w:rPr>
                <w:rFonts w:hint="eastAsia" w:ascii="宋体" w:hAnsi="宋体" w:cs="Times New Roman"/>
                <w:iCs/>
                <w:sz w:val="24"/>
              </w:rPr>
              <w:t>实现了全年无假证、错证的目标</w:t>
            </w:r>
            <w:r>
              <w:rPr>
                <w:rFonts w:hint="eastAsia" w:ascii="宋体" w:hAnsi="宋体" w:cs="Times New Roman"/>
                <w:iCs/>
                <w:sz w:val="24"/>
                <w:lang w:eastAsia="zh-CN"/>
              </w:rPr>
              <w:t>。</w:t>
            </w:r>
          </w:p>
          <w:p>
            <w:pPr>
              <w:snapToGrid w:val="0"/>
              <w:spacing w:line="520" w:lineRule="exact"/>
              <w:ind w:firstLine="240" w:firstLineChars="100"/>
              <w:rPr>
                <w:rFonts w:hint="eastAsia" w:ascii="宋体" w:hAnsi="宋体" w:cs="Times New Roman"/>
                <w:iCs/>
                <w:sz w:val="24"/>
              </w:rPr>
            </w:pPr>
            <w:r>
              <w:rPr>
                <w:rFonts w:hint="eastAsia" w:ascii="宋体" w:hAnsi="宋体" w:cs="Times New Roman"/>
                <w:iCs/>
                <w:sz w:val="24"/>
                <w:lang w:eastAsia="zh-CN"/>
              </w:rPr>
              <w:t>七</w:t>
            </w:r>
            <w:r>
              <w:rPr>
                <w:rFonts w:hint="eastAsia" w:ascii="宋体" w:hAnsi="宋体" w:cs="Times New Roman"/>
                <w:iCs/>
                <w:sz w:val="24"/>
              </w:rPr>
              <w:t>是深入推进扫黑除恶专项斗争。将扫黑除恶与司法行政各项职能工作有机结合，深入开展以</w:t>
            </w:r>
            <w:bookmarkStart w:id="0" w:name="_GoBack"/>
            <w:bookmarkEnd w:id="0"/>
            <w:r>
              <w:rPr>
                <w:rFonts w:hint="eastAsia" w:ascii="宋体" w:hAnsi="宋体" w:cs="Times New Roman"/>
                <w:iCs/>
                <w:sz w:val="24"/>
              </w:rPr>
              <w:t>扫黑除恶专项斗争为主要内容的法治宣传活动和矛盾纠纷扫黑除恶“大排查”活动，加强对律师办理涉黑涉恶犯罪案件辩护代理工作的指导、监督和协调，工作形成强大合力。</w:t>
            </w:r>
          </w:p>
          <w:p>
            <w:pPr>
              <w:snapToGrid w:val="0"/>
              <w:spacing w:line="520" w:lineRule="exact"/>
              <w:rPr>
                <w:rFonts w:hint="eastAsia" w:ascii="宋体" w:hAnsi="宋体" w:cs="Times New Roman"/>
                <w:iCs/>
                <w:sz w:val="24"/>
              </w:rPr>
            </w:pPr>
            <w:r>
              <w:rPr>
                <w:rFonts w:hint="eastAsia" w:ascii="宋体" w:hAnsi="宋体" w:cs="Times New Roman"/>
                <w:iCs/>
                <w:sz w:val="24"/>
                <w:lang w:eastAsia="zh-CN"/>
              </w:rPr>
              <w:t>八是</w:t>
            </w:r>
            <w:r>
              <w:rPr>
                <w:rFonts w:hint="eastAsia" w:ascii="宋体" w:hAnsi="宋体" w:cs="Times New Roman"/>
                <w:iCs/>
                <w:sz w:val="24"/>
              </w:rPr>
              <w:t>抓好</w:t>
            </w:r>
            <w:r>
              <w:rPr>
                <w:rFonts w:hint="eastAsia" w:ascii="宋体" w:hAnsi="宋体" w:cs="Times New Roman"/>
                <w:iCs/>
                <w:sz w:val="24"/>
                <w:lang w:eastAsia="zh-CN"/>
              </w:rPr>
              <w:t>了</w:t>
            </w:r>
            <w:r>
              <w:rPr>
                <w:rFonts w:hint="eastAsia" w:ascii="宋体" w:hAnsi="宋体" w:cs="Times New Roman"/>
                <w:iCs/>
                <w:sz w:val="24"/>
              </w:rPr>
              <w:t>意识形态工作。成立了意识形态工作领导小组，明确并落实了意识形态工作“四个责任”。制定完善了《</w:t>
            </w:r>
            <w:r>
              <w:rPr>
                <w:rFonts w:hint="eastAsia" w:ascii="宋体" w:hAnsi="宋体" w:cs="Times New Roman"/>
                <w:iCs/>
                <w:sz w:val="24"/>
                <w:lang w:eastAsia="zh-CN"/>
              </w:rPr>
              <w:t>湘潭县</w:t>
            </w:r>
            <w:r>
              <w:rPr>
                <w:rFonts w:hint="eastAsia" w:ascii="宋体" w:hAnsi="宋体" w:cs="Times New Roman"/>
                <w:iCs/>
                <w:sz w:val="24"/>
              </w:rPr>
              <w:t>司法局关于落实意识形态责任制实施方案》，进一步分解任务、压紧压实责任，坚持和完善中心组理论学习制度，严格落实意识形态工作“两个责任”，建立健全工作考核机制。强化理论学习，积极发放重要理论书籍并组织党员干部积极学习，突出宣传思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3"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snapToGrid w:val="0"/>
              <w:spacing w:line="520" w:lineRule="exact"/>
              <w:jc w:val="left"/>
              <w:rPr>
                <w:rFonts w:hint="eastAsia" w:ascii="宋体" w:hAnsi="宋体" w:cs="宋体"/>
                <w:sz w:val="24"/>
                <w:szCs w:val="24"/>
                <w:lang w:val="en-US" w:eastAsia="zh-CN"/>
              </w:rPr>
            </w:pPr>
            <w:r>
              <w:rPr>
                <w:rFonts w:ascii="宋体" w:hAnsi="宋体" w:eastAsia="宋体" w:cs="宋体"/>
                <w:sz w:val="24"/>
                <w:szCs w:val="24"/>
              </w:rPr>
              <w:t>1、个别绩效目标的实际完成情况受当年社会经济发展及新冠疫情影响较大，从而影响绩效目标的申报,对绩效目标的设定存在一定影响。</w:t>
            </w:r>
          </w:p>
          <w:p>
            <w:pPr>
              <w:snapToGrid w:val="0"/>
              <w:spacing w:line="520" w:lineRule="exact"/>
              <w:jc w:val="left"/>
              <w:rPr>
                <w:rFonts w:ascii="宋体" w:hAnsi="宋体" w:eastAsia="宋体" w:cs="宋体"/>
                <w:sz w:val="24"/>
                <w:szCs w:val="24"/>
              </w:rPr>
            </w:pPr>
            <w:r>
              <w:rPr>
                <w:rFonts w:hint="eastAsia" w:ascii="宋体" w:hAnsi="宋体" w:cs="宋体"/>
                <w:sz w:val="24"/>
                <w:szCs w:val="24"/>
                <w:lang w:val="en-US" w:eastAsia="zh-CN"/>
              </w:rPr>
              <w:t>2、</w:t>
            </w:r>
            <w:r>
              <w:rPr>
                <w:rFonts w:ascii="宋体" w:hAnsi="宋体" w:eastAsia="宋体" w:cs="宋体"/>
                <w:sz w:val="24"/>
                <w:szCs w:val="24"/>
              </w:rPr>
              <w:t>有些意识形态领域工作难以用数字表达，整体绩效指标和目标值缺乏规范、科学的标准和参照体系，绩效评价指标设置稍欠科学。</w:t>
            </w:r>
          </w:p>
          <w:p>
            <w:pPr>
              <w:snapToGrid w:val="0"/>
              <w:spacing w:line="520" w:lineRule="exact"/>
              <w:jc w:val="left"/>
              <w:rPr>
                <w:rFonts w:hint="eastAsia" w:ascii="微软雅黑" w:hAnsi="微软雅黑" w:eastAsia="微软雅黑" w:cs="微软雅黑"/>
                <w:color w:val="333333"/>
                <w:sz w:val="21"/>
                <w:szCs w:val="21"/>
                <w:lang w:eastAsia="zh-CN"/>
              </w:rPr>
            </w:pPr>
            <w:r>
              <w:rPr>
                <w:rFonts w:hint="eastAsia" w:ascii="宋体" w:hAnsi="宋体" w:cs="宋体"/>
                <w:sz w:val="24"/>
                <w:szCs w:val="24"/>
                <w:lang w:val="en-US" w:eastAsia="zh-CN"/>
              </w:rPr>
              <w:t>3、</w:t>
            </w:r>
            <w:r>
              <w:rPr>
                <w:rFonts w:hint="eastAsia" w:ascii="微软雅黑" w:hAnsi="微软雅黑" w:eastAsia="微软雅黑" w:cs="微软雅黑"/>
                <w:color w:val="333333"/>
                <w:sz w:val="21"/>
                <w:szCs w:val="21"/>
              </w:rPr>
              <w:t>人员编制少和公用经费不足。一是由于司法行政工作社会面广、工作量大，政府购买还没有完全落实，司法行政部门人力不足问题，不能得到有效缓解。二是</w:t>
            </w:r>
            <w:r>
              <w:rPr>
                <w:rFonts w:hint="eastAsia" w:ascii="微软雅黑" w:hAnsi="微软雅黑" w:eastAsia="微软雅黑" w:cs="微软雅黑"/>
                <w:color w:val="333333"/>
                <w:sz w:val="21"/>
                <w:szCs w:val="21"/>
                <w:lang w:eastAsia="zh-CN"/>
              </w:rPr>
              <w:t>由于县财政资金特别紧张，导致公用经费近两来未按财政部标准执行。</w:t>
            </w:r>
          </w:p>
          <w:p>
            <w:pPr>
              <w:snapToGrid w:val="0"/>
              <w:spacing w:line="520" w:lineRule="exact"/>
              <w:jc w:val="left"/>
              <w:rPr>
                <w:rFonts w:hint="default" w:ascii="微软雅黑" w:hAnsi="微软雅黑" w:eastAsia="微软雅黑" w:cs="微软雅黑"/>
                <w:color w:val="333333"/>
                <w:sz w:val="21"/>
                <w:szCs w:val="21"/>
                <w:lang w:val="en-US" w:eastAsia="zh-CN"/>
              </w:rPr>
            </w:pPr>
          </w:p>
          <w:p>
            <w:pPr>
              <w:snapToGrid w:val="0"/>
              <w:spacing w:line="520" w:lineRule="exact"/>
              <w:jc w:val="left"/>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pPr>
              <w:numPr>
                <w:ilvl w:val="0"/>
                <w:numId w:val="0"/>
              </w:numPr>
              <w:snapToGrid w:val="0"/>
              <w:spacing w:line="520" w:lineRule="exact"/>
              <w:rPr>
                <w:rFonts w:ascii="宋体" w:hAnsi="宋体" w:eastAsia="宋体" w:cs="宋体"/>
                <w:sz w:val="24"/>
                <w:szCs w:val="24"/>
              </w:rPr>
            </w:pPr>
            <w:r>
              <w:rPr>
                <w:rFonts w:hint="eastAsia" w:ascii="宋体" w:hAnsi="宋体" w:cs="宋体"/>
                <w:sz w:val="24"/>
                <w:szCs w:val="24"/>
                <w:lang w:val="en-US" w:eastAsia="zh-CN"/>
              </w:rPr>
              <w:t>1、</w:t>
            </w:r>
            <w:r>
              <w:rPr>
                <w:rFonts w:ascii="宋体" w:hAnsi="宋体" w:eastAsia="宋体" w:cs="宋体"/>
                <w:sz w:val="24"/>
                <w:szCs w:val="24"/>
              </w:rPr>
              <w:t>提高工作预见性，加强与业务部门的沟通和联络，使绩效目标的设定更趋合理、可行。</w:t>
            </w:r>
          </w:p>
          <w:p>
            <w:pPr>
              <w:snapToGrid w:val="0"/>
              <w:spacing w:line="520" w:lineRule="exact"/>
              <w:rPr>
                <w:rFonts w:hint="eastAsia" w:ascii="宋体" w:hAnsi="宋体" w:cs="宋体"/>
                <w:sz w:val="24"/>
                <w:szCs w:val="24"/>
                <w:lang w:eastAsia="zh-CN"/>
              </w:rPr>
            </w:pPr>
            <w:r>
              <w:rPr>
                <w:rFonts w:hint="eastAsia" w:ascii="宋体" w:hAnsi="宋体" w:cs="宋体"/>
                <w:sz w:val="24"/>
                <w:szCs w:val="24"/>
                <w:lang w:val="en-US" w:eastAsia="zh-CN"/>
              </w:rPr>
              <w:t>2、</w:t>
            </w:r>
            <w:r>
              <w:rPr>
                <w:rFonts w:ascii="宋体" w:hAnsi="宋体" w:eastAsia="宋体" w:cs="宋体"/>
                <w:sz w:val="24"/>
                <w:szCs w:val="24"/>
              </w:rPr>
              <w:t>按照绩效管理的要求，加强预算绩效评价的学习，科学设立绩效目标、建立评价指标体系、完善绩效评价指标库、加强预算执行监控，提高绩效自评质</w:t>
            </w:r>
            <w:r>
              <w:rPr>
                <w:rFonts w:hint="eastAsia" w:ascii="宋体" w:hAnsi="宋体" w:cs="宋体"/>
                <w:sz w:val="24"/>
                <w:szCs w:val="24"/>
                <w:lang w:eastAsia="zh-CN"/>
              </w:rPr>
              <w:t>量。</w:t>
            </w:r>
          </w:p>
          <w:p>
            <w:pPr>
              <w:snapToGrid w:val="0"/>
              <w:spacing w:line="520" w:lineRule="exact"/>
              <w:rPr>
                <w:rFonts w:hint="default" w:ascii="宋体" w:hAnsi="宋体" w:cs="宋体"/>
                <w:sz w:val="24"/>
                <w:szCs w:val="24"/>
                <w:lang w:val="en-US" w:eastAsia="zh-CN"/>
              </w:rPr>
            </w:pPr>
          </w:p>
          <w:p>
            <w:pPr>
              <w:snapToGrid w:val="0"/>
              <w:spacing w:line="520" w:lineRule="exact"/>
              <w:rPr>
                <w:rFonts w:hint="default"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numPr>
                <w:ilvl w:val="0"/>
                <w:numId w:val="0"/>
              </w:numPr>
              <w:snapToGrid w:val="0"/>
              <w:spacing w:line="520" w:lineRule="exact"/>
              <w:rPr>
                <w:rFonts w:ascii="宋体" w:hAnsi="宋体" w:eastAsia="宋体" w:cs="宋体"/>
                <w:sz w:val="24"/>
                <w:szCs w:val="24"/>
              </w:rPr>
            </w:pPr>
            <w:r>
              <w:rPr>
                <w:rFonts w:hint="eastAsia" w:ascii="宋体" w:hAnsi="宋体" w:eastAsia="宋体" w:cs="宋体"/>
                <w:sz w:val="24"/>
                <w:szCs w:val="24"/>
              </w:rPr>
              <w:t>根据实际情况，逐年增加相关工作经费，面向社会引进一批政治素养、法律素养、文化素养等综合素养高的人员，充实司法行政队伍。</w:t>
            </w:r>
          </w:p>
          <w:p>
            <w:pPr>
              <w:spacing w:line="576" w:lineRule="exact"/>
              <w:ind w:right="880" w:rightChars="419"/>
              <w:jc w:val="center"/>
              <w:rPr>
                <w:rFonts w:ascii="仿宋_GB2312" w:hAnsi="宋体" w:eastAsia="仿宋_GB2312" w:cs="宋体"/>
                <w:szCs w:val="21"/>
              </w:rPr>
            </w:pPr>
          </w:p>
        </w:tc>
      </w:tr>
    </w:tbl>
    <w:p>
      <w:pPr>
        <w:widowControl/>
        <w:jc w:val="left"/>
        <w:rPr>
          <w:rFonts w:ascii="仿宋_GB2312" w:hAnsi="黑体" w:eastAsia="仿宋_GB2312" w:cs="黑体"/>
          <w:color w:val="000000"/>
          <w:sz w:val="32"/>
          <w:szCs w:val="32"/>
        </w:rPr>
      </w:pPr>
    </w:p>
    <w:p>
      <w:pPr>
        <w:widowControl/>
        <w:jc w:val="left"/>
        <w:rPr>
          <w:rFonts w:ascii="黑体" w:hAnsi="黑体" w:eastAsia="黑体" w:cs="黑体"/>
          <w:color w:val="000000"/>
          <w:sz w:val="32"/>
          <w:szCs w:val="32"/>
        </w:rPr>
      </w:pPr>
    </w:p>
    <w:p>
      <w:pPr>
        <w:widowControl/>
        <w:jc w:val="left"/>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附件</w:t>
      </w:r>
    </w:p>
    <w:p>
      <w:pPr>
        <w:spacing w:beforeLines="50" w:afterLines="50"/>
        <w:jc w:val="center"/>
        <w:rPr>
          <w:rFonts w:hint="eastAsia" w:ascii="方正小标宋简体" w:eastAsia="方正小标宋简体" w:cs="方正小标宋_GBK"/>
          <w:sz w:val="36"/>
          <w:szCs w:val="36"/>
          <w:lang w:eastAsia="zh-CN"/>
        </w:rPr>
      </w:pPr>
      <w:r>
        <w:rPr>
          <w:rFonts w:hint="eastAsia" w:ascii="方正小标宋简体" w:eastAsia="方正小标宋简体" w:cs="方正小标宋_GBK"/>
          <w:sz w:val="36"/>
          <w:szCs w:val="36"/>
        </w:rPr>
        <w:t>2020年度</w:t>
      </w:r>
      <w:r>
        <w:rPr>
          <w:rFonts w:hint="eastAsia" w:ascii="方正小标宋简体" w:eastAsia="方正小标宋简体" w:cs="方正小标宋_GBK"/>
          <w:sz w:val="36"/>
          <w:szCs w:val="36"/>
          <w:lang w:eastAsia="zh-CN"/>
        </w:rPr>
        <w:t>湘潭县司法局</w:t>
      </w:r>
    </w:p>
    <w:p>
      <w:pPr>
        <w:spacing w:beforeLines="50" w:afterLines="50"/>
        <w:jc w:val="center"/>
        <w:rPr>
          <w:rFonts w:hint="eastAsia" w:ascii="方正小标宋简体" w:eastAsia="方正小标宋简体" w:cs="方正小标宋_GBK"/>
          <w:sz w:val="36"/>
          <w:szCs w:val="36"/>
          <w:lang w:eastAsia="zh-CN"/>
        </w:rPr>
      </w:pPr>
      <w:r>
        <w:rPr>
          <w:rFonts w:hint="eastAsia" w:ascii="方正小标宋简体" w:eastAsia="方正小标宋简体" w:cs="方正小标宋_GBK"/>
          <w:sz w:val="36"/>
          <w:szCs w:val="36"/>
        </w:rPr>
        <w:t>部门整体支出绩效</w:t>
      </w:r>
      <w:r>
        <w:rPr>
          <w:rFonts w:hint="eastAsia" w:ascii="方正小标宋简体" w:eastAsia="方正小标宋简体" w:cs="方正小标宋_GBK"/>
          <w:sz w:val="36"/>
          <w:szCs w:val="36"/>
          <w:lang w:eastAsia="zh-CN"/>
        </w:rPr>
        <w:t>评价指标完成情况表</w:t>
      </w:r>
    </w:p>
    <w:tbl>
      <w:tblPr>
        <w:tblStyle w:val="8"/>
        <w:tblW w:w="53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4"/>
        <w:gridCol w:w="668"/>
        <w:gridCol w:w="890"/>
        <w:gridCol w:w="668"/>
        <w:gridCol w:w="2805"/>
        <w:gridCol w:w="3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9" w:hRule="atLeast"/>
          <w:tblHeader/>
          <w:jc w:val="center"/>
        </w:trPr>
        <w:tc>
          <w:tcPr>
            <w:tcW w:w="306" w:type="pct"/>
            <w:tcMar>
              <w:top w:w="10" w:type="dxa"/>
              <w:left w:w="10" w:type="dxa"/>
              <w:bottom w:w="0" w:type="dxa"/>
              <w:right w:w="10" w:type="dxa"/>
            </w:tcMar>
            <w:vAlign w:val="center"/>
          </w:tcPr>
          <w:p>
            <w:pPr>
              <w:spacing w:line="240" w:lineRule="exact"/>
              <w:jc w:val="center"/>
              <w:rPr>
                <w:rFonts w:hint="eastAsia" w:ascii="宋体" w:hAnsi="宋体" w:eastAsia="宋体" w:cs="宋体"/>
                <w:b/>
                <w:bCs/>
                <w:lang w:eastAsia="zh-CN"/>
              </w:rPr>
            </w:pPr>
            <w:r>
              <w:rPr>
                <w:rFonts w:hint="eastAsia" w:ascii="宋体" w:hAnsi="宋体" w:cs="宋体"/>
                <w:b/>
                <w:bCs/>
              </w:rPr>
              <w:t>一级</w:t>
            </w:r>
          </w:p>
          <w:p>
            <w:pPr>
              <w:spacing w:line="240" w:lineRule="exact"/>
              <w:jc w:val="center"/>
              <w:rPr>
                <w:rFonts w:ascii="宋体" w:cs="宋体"/>
                <w:b/>
                <w:bCs/>
              </w:rPr>
            </w:pPr>
            <w:r>
              <w:rPr>
                <w:rFonts w:hint="eastAsia" w:ascii="宋体" w:hAnsi="宋体" w:cs="宋体"/>
                <w:b/>
                <w:bCs/>
              </w:rPr>
              <w:t>指标</w:t>
            </w:r>
          </w:p>
        </w:tc>
        <w:tc>
          <w:tcPr>
            <w:tcW w:w="375" w:type="pct"/>
            <w:tcMar>
              <w:top w:w="10" w:type="dxa"/>
              <w:left w:w="10" w:type="dxa"/>
              <w:bottom w:w="0" w:type="dxa"/>
              <w:right w:w="10" w:type="dxa"/>
            </w:tcMar>
            <w:vAlign w:val="center"/>
          </w:tcPr>
          <w:p>
            <w:pPr>
              <w:spacing w:line="240" w:lineRule="exact"/>
              <w:ind w:right="-174" w:rightChars="-83"/>
              <w:jc w:val="center"/>
              <w:rPr>
                <w:rFonts w:ascii="宋体" w:cs="宋体"/>
                <w:b/>
                <w:bCs/>
              </w:rPr>
            </w:pPr>
            <w:r>
              <w:rPr>
                <w:rFonts w:hint="eastAsia" w:ascii="宋体" w:hAnsi="宋体" w:cs="宋体"/>
                <w:b/>
                <w:bCs/>
              </w:rPr>
              <w:t>二级</w:t>
            </w:r>
          </w:p>
          <w:p>
            <w:pPr>
              <w:spacing w:line="240" w:lineRule="exact"/>
              <w:ind w:right="-174" w:rightChars="-83"/>
              <w:jc w:val="center"/>
              <w:rPr>
                <w:rFonts w:ascii="宋体" w:cs="宋体"/>
                <w:b/>
                <w:bCs/>
              </w:rPr>
            </w:pPr>
            <w:r>
              <w:rPr>
                <w:rFonts w:hint="eastAsia" w:ascii="宋体" w:hAnsi="宋体" w:cs="宋体"/>
                <w:b/>
                <w:bCs/>
              </w:rPr>
              <w:t>指标</w:t>
            </w:r>
          </w:p>
        </w:tc>
        <w:tc>
          <w:tcPr>
            <w:tcW w:w="500" w:type="pct"/>
            <w:tcMar>
              <w:top w:w="10" w:type="dxa"/>
              <w:left w:w="10" w:type="dxa"/>
              <w:bottom w:w="0" w:type="dxa"/>
              <w:right w:w="10" w:type="dxa"/>
            </w:tcMar>
            <w:vAlign w:val="center"/>
          </w:tcPr>
          <w:p>
            <w:pPr>
              <w:spacing w:line="240" w:lineRule="exact"/>
              <w:jc w:val="center"/>
              <w:rPr>
                <w:rFonts w:ascii="宋体" w:cs="宋体"/>
                <w:b/>
                <w:bCs/>
              </w:rPr>
            </w:pPr>
            <w:r>
              <w:rPr>
                <w:rFonts w:hint="eastAsia" w:ascii="宋体" w:hAnsi="宋体" w:cs="宋体"/>
                <w:b/>
                <w:bCs/>
              </w:rPr>
              <w:t>三级</w:t>
            </w:r>
          </w:p>
          <w:p>
            <w:pPr>
              <w:spacing w:line="240" w:lineRule="exact"/>
              <w:jc w:val="center"/>
              <w:rPr>
                <w:rFonts w:ascii="宋体" w:cs="宋体"/>
                <w:b/>
                <w:bCs/>
              </w:rPr>
            </w:pPr>
            <w:r>
              <w:rPr>
                <w:rFonts w:hint="eastAsia" w:ascii="宋体" w:hAnsi="宋体" w:cs="宋体"/>
                <w:b/>
                <w:bCs/>
              </w:rPr>
              <w:t>指标</w:t>
            </w:r>
          </w:p>
        </w:tc>
        <w:tc>
          <w:tcPr>
            <w:tcW w:w="375" w:type="pct"/>
            <w:vAlign w:val="center"/>
          </w:tcPr>
          <w:p>
            <w:pPr>
              <w:spacing w:line="240" w:lineRule="exact"/>
              <w:ind w:left="105" w:leftChars="50" w:right="105" w:rightChars="50"/>
              <w:jc w:val="center"/>
              <w:rPr>
                <w:rFonts w:ascii="宋体" w:cs="宋体"/>
                <w:b/>
                <w:bCs/>
              </w:rPr>
            </w:pPr>
            <w:r>
              <w:rPr>
                <w:rFonts w:hint="eastAsia" w:ascii="宋体" w:hAnsi="宋体" w:cs="宋体"/>
                <w:b/>
                <w:bCs/>
              </w:rPr>
              <w:t>自评分</w:t>
            </w:r>
          </w:p>
        </w:tc>
        <w:tc>
          <w:tcPr>
            <w:tcW w:w="1576" w:type="pct"/>
            <w:tcMar>
              <w:top w:w="10" w:type="dxa"/>
              <w:left w:w="10" w:type="dxa"/>
              <w:bottom w:w="0" w:type="dxa"/>
              <w:right w:w="10" w:type="dxa"/>
            </w:tcMar>
            <w:vAlign w:val="center"/>
          </w:tcPr>
          <w:p>
            <w:pPr>
              <w:spacing w:line="240" w:lineRule="exact"/>
              <w:ind w:left="105" w:leftChars="50" w:right="105" w:rightChars="50"/>
              <w:jc w:val="center"/>
              <w:rPr>
                <w:rFonts w:ascii="宋体" w:cs="宋体"/>
                <w:b/>
                <w:bCs/>
              </w:rPr>
            </w:pPr>
            <w:r>
              <w:rPr>
                <w:rFonts w:hint="eastAsia" w:ascii="宋体" w:hAnsi="宋体" w:cs="宋体"/>
                <w:b/>
                <w:bCs/>
              </w:rPr>
              <w:t>指标解释</w:t>
            </w:r>
          </w:p>
        </w:tc>
        <w:tc>
          <w:tcPr>
            <w:tcW w:w="1866" w:type="pct"/>
            <w:tcMar>
              <w:top w:w="10" w:type="dxa"/>
              <w:left w:w="10" w:type="dxa"/>
              <w:bottom w:w="0" w:type="dxa"/>
              <w:right w:w="10" w:type="dxa"/>
            </w:tcMar>
            <w:vAlign w:val="center"/>
          </w:tcPr>
          <w:p>
            <w:pPr>
              <w:spacing w:line="240" w:lineRule="exact"/>
              <w:ind w:left="105" w:leftChars="50" w:right="105" w:rightChars="50"/>
              <w:jc w:val="center"/>
              <w:rPr>
                <w:rFonts w:ascii="宋体" w:cs="宋体"/>
                <w:b/>
                <w:bCs/>
              </w:rPr>
            </w:pPr>
            <w:r>
              <w:rPr>
                <w:rFonts w:hint="eastAsia" w:ascii="宋体" w:hAnsi="宋体" w:cs="宋体"/>
                <w:b/>
                <w:bCs/>
              </w:rPr>
              <w:t>指标说明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2"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投</w:t>
            </w:r>
            <w:r>
              <w:rPr>
                <w:rFonts w:ascii="宋体" w:hAnsi="宋体" w:cs="宋体"/>
              </w:rPr>
              <w:t xml:space="preserve">   </w:t>
            </w:r>
            <w:r>
              <w:rPr>
                <w:rFonts w:hint="eastAsia" w:ascii="宋体" w:hAnsi="宋体" w:cs="宋体"/>
              </w:rPr>
              <w:t>入（</w:t>
            </w:r>
            <w:r>
              <w:rPr>
                <w:rFonts w:ascii="宋体" w:hAnsi="宋体" w:cs="宋体"/>
              </w:rPr>
              <w:t>20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目标</w:t>
            </w:r>
          </w:p>
          <w:p>
            <w:pPr>
              <w:spacing w:line="240" w:lineRule="exact"/>
              <w:jc w:val="center"/>
              <w:rPr>
                <w:rFonts w:ascii="宋体" w:cs="宋体"/>
              </w:rPr>
            </w:pPr>
            <w:r>
              <w:rPr>
                <w:rFonts w:hint="eastAsia" w:ascii="宋体" w:hAnsi="宋体" w:cs="宋体"/>
              </w:rPr>
              <w:t>设定（</w:t>
            </w:r>
            <w:r>
              <w:rPr>
                <w:rFonts w:ascii="宋体" w:hAnsi="宋体" w:cs="宋体"/>
              </w:rPr>
              <w:t>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绩效目标</w:t>
            </w:r>
          </w:p>
          <w:p>
            <w:pPr>
              <w:spacing w:line="240" w:lineRule="exact"/>
              <w:jc w:val="center"/>
              <w:rPr>
                <w:rFonts w:ascii="宋体" w:cs="宋体"/>
              </w:rPr>
            </w:pPr>
            <w:r>
              <w:rPr>
                <w:rFonts w:hint="eastAsia" w:ascii="宋体" w:hAnsi="宋体" w:cs="宋体"/>
              </w:rPr>
              <w:t>合理性（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部门所设立的整体绩效目标依据是否充分，是否符合客观实际，用以反映和考核部门整体绩效目标与部门履职、年度工作任务的相符性情况。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①是否符合国家法律法规、国民经济和社会发展总体规划；</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②是否符合部门“三定”方案确定的职责；</w:t>
            </w:r>
          </w:p>
          <w:p>
            <w:pPr>
              <w:spacing w:line="240" w:lineRule="exact"/>
              <w:ind w:left="105" w:leftChars="50" w:right="105" w:rightChars="50"/>
              <w:rPr>
                <w:rFonts w:ascii="宋体" w:cs="宋体"/>
              </w:rPr>
            </w:pPr>
            <w:r>
              <w:rPr>
                <w:rFonts w:hint="eastAsia" w:ascii="宋体" w:hAnsi="宋体" w:cs="宋体"/>
              </w:rPr>
              <w:t>③是否符合部门制定的中长期实施规划。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37"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绩效指标</w:t>
            </w:r>
          </w:p>
          <w:p>
            <w:pPr>
              <w:spacing w:line="240" w:lineRule="exact"/>
              <w:jc w:val="center"/>
              <w:rPr>
                <w:rFonts w:ascii="宋体" w:cs="宋体"/>
              </w:rPr>
            </w:pPr>
            <w:r>
              <w:rPr>
                <w:rFonts w:hint="eastAsia" w:ascii="宋体" w:hAnsi="宋体" w:cs="宋体"/>
              </w:rPr>
              <w:t>明确性（</w:t>
            </w:r>
            <w:r>
              <w:rPr>
                <w:rFonts w:ascii="宋体" w:hAnsi="宋体" w:cs="宋体"/>
              </w:rPr>
              <w:t>3</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部门依据整体绩效目标所设定的绩效指标是否清晰、细化、可衡量，用以反映和考核部门整体绩效目标的明细化情况。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①是否将部门整体的绩效目标细化分解为具体的工作任务；</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②是否通过清晰、可衡量的指标值予以体现。</w:t>
            </w:r>
            <w:r>
              <w:rPr>
                <w:rFonts w:ascii="宋体" w:hAnsi="宋体" w:cs="宋体"/>
              </w:rPr>
              <w:t xml:space="preserve">    </w:t>
            </w:r>
            <w:r>
              <w:rPr>
                <w:rFonts w:hint="eastAsia" w:ascii="宋体" w:hAnsi="宋体" w:cs="宋体"/>
              </w:rPr>
              <w:t>③是否与部门年度的任务数或计划数相对应；</w:t>
            </w:r>
          </w:p>
          <w:p>
            <w:pPr>
              <w:spacing w:line="240" w:lineRule="exact"/>
              <w:ind w:left="105" w:leftChars="50" w:right="105" w:rightChars="50"/>
              <w:rPr>
                <w:rFonts w:ascii="宋体" w:cs="宋体"/>
              </w:rPr>
            </w:pPr>
            <w:r>
              <w:rPr>
                <w:rFonts w:hint="eastAsia" w:ascii="宋体" w:hAnsi="宋体" w:cs="宋体"/>
              </w:rPr>
              <w:t>④是否与本年度部门预算资金相匹配。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31" w:hRule="atLeast"/>
          <w:jc w:val="center"/>
        </w:trPr>
        <w:tc>
          <w:tcPr>
            <w:tcW w:w="306" w:type="pct"/>
            <w:vMerge w:val="continue"/>
            <w:vAlign w:val="center"/>
          </w:tcPr>
          <w:p>
            <w:pPr>
              <w:spacing w:line="240" w:lineRule="exact"/>
              <w:rPr>
                <w:rFonts w:ascii="宋体" w:cs="宋体"/>
              </w:rPr>
            </w:pP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配置（</w:t>
            </w:r>
            <w:r>
              <w:rPr>
                <w:rFonts w:ascii="宋体" w:hAnsi="宋体" w:cs="宋体"/>
              </w:rPr>
              <w:t>15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在职人员</w:t>
            </w:r>
          </w:p>
          <w:p>
            <w:pPr>
              <w:spacing w:line="240" w:lineRule="exact"/>
              <w:jc w:val="center"/>
              <w:rPr>
                <w:rFonts w:ascii="宋体" w:cs="宋体"/>
              </w:rPr>
            </w:pPr>
            <w:r>
              <w:rPr>
                <w:rFonts w:hint="eastAsia" w:ascii="宋体" w:hAnsi="宋体" w:cs="宋体"/>
              </w:rPr>
              <w:t>控制率（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部门本年度实际在职人员数与编制数的比率，用以反映和考核部门对人员成本的控制程度。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在职人员控制率</w:t>
            </w:r>
            <w:r>
              <w:rPr>
                <w:rFonts w:ascii="宋体" w:hAnsi="宋体" w:cs="宋体"/>
              </w:rPr>
              <w:t>=</w:t>
            </w:r>
            <w:r>
              <w:rPr>
                <w:rFonts w:hint="eastAsia" w:ascii="宋体" w:hAnsi="宋体" w:cs="宋体"/>
              </w:rPr>
              <w:t>（在职人员数</w:t>
            </w:r>
            <w:r>
              <w:rPr>
                <w:rFonts w:ascii="宋体" w:hAnsi="宋体" w:cs="宋体"/>
              </w:rPr>
              <w:t>/</w:t>
            </w:r>
            <w:r>
              <w:rPr>
                <w:rFonts w:hint="eastAsia" w:ascii="宋体" w:hAnsi="宋体" w:cs="宋体"/>
              </w:rPr>
              <w:t>编制数）×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在职人员数：部门实际在职人数，以财政部确定的部门决算编制口径为准。</w:t>
            </w:r>
          </w:p>
          <w:p>
            <w:pPr>
              <w:spacing w:line="240" w:lineRule="exact"/>
              <w:ind w:left="105" w:leftChars="50" w:right="105" w:rightChars="50"/>
              <w:rPr>
                <w:rFonts w:ascii="宋体" w:cs="宋体"/>
              </w:rPr>
            </w:pPr>
            <w:r>
              <w:rPr>
                <w:rFonts w:hint="eastAsia" w:ascii="宋体" w:hAnsi="宋体" w:cs="宋体"/>
              </w:rPr>
              <w:t>编制数：机构编制部门核定批复的部门的人员编制数。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30"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“三公经费”</w:t>
            </w:r>
          </w:p>
          <w:p>
            <w:pPr>
              <w:spacing w:line="240" w:lineRule="exact"/>
              <w:jc w:val="center"/>
              <w:rPr>
                <w:rFonts w:ascii="宋体" w:cs="宋体"/>
              </w:rPr>
            </w:pPr>
            <w:r>
              <w:rPr>
                <w:rFonts w:hint="eastAsia" w:ascii="宋体" w:hAnsi="宋体" w:cs="宋体"/>
              </w:rPr>
              <w:t>变动率（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部门本年度“三公经费”预算数与上年度“三公经费”预算数的变动比率，用以反映和考核部门对控制重点行政成本的努力程度。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“三公经费”变动率</w:t>
            </w:r>
            <w:r>
              <w:rPr>
                <w:rFonts w:ascii="宋体" w:hAnsi="宋体" w:cs="宋体"/>
              </w:rPr>
              <w:t>=[</w:t>
            </w:r>
            <w:r>
              <w:rPr>
                <w:rFonts w:hint="eastAsia" w:ascii="宋体" w:hAnsi="宋体" w:cs="宋体"/>
              </w:rPr>
              <w:t>（本年度“三公经费”总额</w:t>
            </w:r>
            <w:r>
              <w:rPr>
                <w:rFonts w:ascii="宋体" w:hAnsi="宋体" w:cs="宋体"/>
              </w:rPr>
              <w:t>-</w:t>
            </w:r>
            <w:r>
              <w:rPr>
                <w:rFonts w:hint="eastAsia" w:ascii="宋体" w:hAnsi="宋体" w:cs="宋体"/>
              </w:rPr>
              <w:t>上年度“三公经费”总额）</w:t>
            </w:r>
            <w:r>
              <w:rPr>
                <w:rFonts w:ascii="宋体" w:hAnsi="宋体" w:cs="宋体"/>
              </w:rPr>
              <w:t>/</w:t>
            </w:r>
            <w:r>
              <w:rPr>
                <w:rFonts w:hint="eastAsia" w:ascii="宋体" w:hAnsi="宋体" w:cs="宋体"/>
              </w:rPr>
              <w:t>上年度“三公经费”总额</w:t>
            </w:r>
            <w:r>
              <w:rPr>
                <w:rFonts w:ascii="宋体" w:hAnsi="宋体" w:cs="宋体"/>
              </w:rPr>
              <w:t>]</w:t>
            </w:r>
            <w:r>
              <w:rPr>
                <w:rFonts w:hint="eastAsia" w:ascii="宋体" w:hAnsi="宋体" w:cs="宋体"/>
              </w:rPr>
              <w:t>×</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“三公经费”：年度预算安排的因公出国（境）费、公务车辆购置及运行费和公务招待费。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0"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重点支出</w:t>
            </w:r>
          </w:p>
          <w:p>
            <w:pPr>
              <w:spacing w:line="240" w:lineRule="exact"/>
              <w:jc w:val="center"/>
              <w:rPr>
                <w:rFonts w:ascii="宋体" w:cs="宋体"/>
              </w:rPr>
            </w:pPr>
            <w:r>
              <w:rPr>
                <w:rFonts w:hint="eastAsia" w:ascii="宋体" w:hAnsi="宋体" w:cs="宋体"/>
              </w:rPr>
              <w:t>安排率（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部门本年度预算安排的重点预算支出与部门预算总支出的比率，用以反映和考核部门对履行主要职责或完成重点任务的保障程度。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重点支出安排率</w:t>
            </w:r>
            <w:r>
              <w:rPr>
                <w:rFonts w:ascii="宋体" w:hAnsi="宋体" w:cs="宋体"/>
              </w:rPr>
              <w:t>=</w:t>
            </w:r>
            <w:r>
              <w:rPr>
                <w:rFonts w:hint="eastAsia" w:ascii="宋体" w:hAnsi="宋体" w:cs="宋体"/>
              </w:rPr>
              <w:t>（重点预算支出</w:t>
            </w:r>
            <w:r>
              <w:rPr>
                <w:rFonts w:ascii="宋体" w:hAnsi="宋体" w:cs="宋体"/>
              </w:rPr>
              <w:t>/</w:t>
            </w:r>
            <w:r>
              <w:rPr>
                <w:rFonts w:hint="eastAsia" w:ascii="宋体" w:hAnsi="宋体" w:cs="宋体"/>
              </w:rPr>
              <w:t>预算总支出）×</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重点预算支出：部门年度预算安排的，与本部门履职和发展密切相关、具有明显社会和经济影响、党委政府关心或社会比较关注的预算</w:t>
            </w:r>
            <w:r>
              <w:rPr>
                <w:rFonts w:hint="eastAsia" w:ascii="宋体" w:hAnsi="宋体" w:cs="宋体"/>
                <w:lang w:eastAsia="zh-CN"/>
              </w:rPr>
              <w:t>支出</w:t>
            </w:r>
            <w:r>
              <w:rPr>
                <w:rFonts w:hint="eastAsia" w:ascii="宋体" w:hAnsi="宋体" w:cs="宋体"/>
              </w:rPr>
              <w:t>总额。</w:t>
            </w:r>
          </w:p>
          <w:p>
            <w:pPr>
              <w:spacing w:line="240" w:lineRule="exact"/>
              <w:ind w:left="105" w:leftChars="50" w:right="105" w:rightChars="50"/>
              <w:rPr>
                <w:rFonts w:ascii="宋体" w:cs="宋体"/>
              </w:rPr>
            </w:pPr>
            <w:r>
              <w:rPr>
                <w:rFonts w:hint="eastAsia" w:ascii="宋体" w:hAnsi="宋体" w:cs="宋体"/>
              </w:rPr>
              <w:t>预算总支出：部门年度预算安排的预算</w:t>
            </w:r>
            <w:r>
              <w:rPr>
                <w:rFonts w:hint="eastAsia" w:ascii="宋体" w:hAnsi="宋体" w:cs="宋体"/>
                <w:lang w:eastAsia="zh-CN"/>
              </w:rPr>
              <w:t>支出</w:t>
            </w:r>
            <w:r>
              <w:rPr>
                <w:rFonts w:hint="eastAsia" w:ascii="宋体" w:hAnsi="宋体" w:cs="宋体"/>
              </w:rPr>
              <w:t>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2"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过</w:t>
            </w:r>
            <w:r>
              <w:rPr>
                <w:rFonts w:ascii="宋体" w:hAnsi="宋体" w:cs="宋体"/>
              </w:rPr>
              <w:t xml:space="preserve">   </w:t>
            </w:r>
            <w:r>
              <w:rPr>
                <w:rFonts w:hint="eastAsia" w:ascii="宋体" w:hAnsi="宋体" w:cs="宋体"/>
              </w:rPr>
              <w:t>程（</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执行（</w:t>
            </w:r>
            <w:r>
              <w:rPr>
                <w:rFonts w:ascii="宋体" w:hAnsi="宋体" w:cs="宋体"/>
              </w:rPr>
              <w:t>20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预算</w:t>
            </w:r>
          </w:p>
          <w:p>
            <w:pPr>
              <w:spacing w:line="240" w:lineRule="exact"/>
              <w:jc w:val="center"/>
              <w:rPr>
                <w:rFonts w:ascii="宋体" w:cs="宋体"/>
              </w:rPr>
            </w:pPr>
            <w:r>
              <w:rPr>
                <w:rFonts w:hint="eastAsia" w:ascii="宋体" w:hAnsi="宋体" w:cs="宋体"/>
              </w:rPr>
              <w:t>执行率（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3</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部门本年度预算完成数与预算数的比率，用以反映和考核部门预算完成程度。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预算执行率</w:t>
            </w:r>
            <w:r>
              <w:rPr>
                <w:rFonts w:ascii="宋体" w:hAnsi="宋体" w:cs="宋体"/>
              </w:rPr>
              <w:t>=</w:t>
            </w:r>
            <w:r>
              <w:rPr>
                <w:rFonts w:hint="eastAsia" w:ascii="宋体" w:hAnsi="宋体" w:cs="宋体"/>
              </w:rPr>
              <w:t>（预算执行数</w:t>
            </w:r>
            <w:r>
              <w:rPr>
                <w:rFonts w:ascii="宋体" w:hAnsi="宋体" w:cs="宋体"/>
              </w:rPr>
              <w:t>/</w:t>
            </w:r>
            <w:r>
              <w:rPr>
                <w:rFonts w:hint="eastAsia" w:ascii="宋体" w:hAnsi="宋体" w:cs="宋体"/>
              </w:rPr>
              <w:t>预算数）×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预算执行数：部门本年度实际完成的预算数。</w:t>
            </w:r>
          </w:p>
          <w:p>
            <w:pPr>
              <w:spacing w:line="240" w:lineRule="exact"/>
              <w:ind w:left="105" w:leftChars="50" w:right="105" w:rightChars="50"/>
              <w:rPr>
                <w:rFonts w:ascii="宋体" w:cs="宋体"/>
              </w:rPr>
            </w:pPr>
            <w:r>
              <w:rPr>
                <w:rFonts w:hint="eastAsia" w:ascii="宋体" w:hAnsi="宋体" w:cs="宋体"/>
              </w:rPr>
              <w:t>预算数：财政部门批复的本年度部门预算数。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4"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预算</w:t>
            </w:r>
          </w:p>
          <w:p>
            <w:pPr>
              <w:spacing w:line="240" w:lineRule="exact"/>
              <w:jc w:val="center"/>
              <w:rPr>
                <w:rFonts w:ascii="宋体" w:cs="宋体"/>
              </w:rPr>
            </w:pPr>
            <w:r>
              <w:rPr>
                <w:rFonts w:hint="eastAsia" w:ascii="宋体" w:hAnsi="宋体" w:cs="宋体"/>
              </w:rPr>
              <w:t>调整率（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部门本年度预算调整数与预算数的比率，用以反映和考核部门预算的调整程度。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预算调整率</w:t>
            </w:r>
            <w:r>
              <w:rPr>
                <w:rFonts w:ascii="宋体" w:hAnsi="宋体" w:cs="宋体"/>
              </w:rPr>
              <w:t>=</w:t>
            </w:r>
            <w:r>
              <w:rPr>
                <w:rFonts w:hint="eastAsia" w:ascii="宋体" w:hAnsi="宋体" w:cs="宋体"/>
              </w:rPr>
              <w:t>（预算调整数</w:t>
            </w:r>
            <w:r>
              <w:rPr>
                <w:rFonts w:ascii="宋体" w:hAnsi="宋体" w:cs="宋体"/>
              </w:rPr>
              <w:t>/</w:t>
            </w:r>
            <w:r>
              <w:rPr>
                <w:rFonts w:hint="eastAsia" w:ascii="宋体" w:hAnsi="宋体" w:cs="宋体"/>
              </w:rPr>
              <w:t>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预算调整数：部门在本年度内涉及预算的追加、追减或结构调整的资金总和（因落实国家政策、发生不可抗力、上级部门或本级党委政府临时交办而产生的调整除外）。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1"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支付</w:t>
            </w:r>
          </w:p>
          <w:p>
            <w:pPr>
              <w:spacing w:line="240" w:lineRule="exact"/>
              <w:jc w:val="center"/>
              <w:rPr>
                <w:rFonts w:ascii="宋体" w:cs="宋体"/>
              </w:rPr>
            </w:pPr>
            <w:r>
              <w:rPr>
                <w:rFonts w:hint="eastAsia" w:ascii="宋体" w:hAnsi="宋体" w:cs="宋体"/>
              </w:rPr>
              <w:t>进度率（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部门实际支付进度与既定支付进度的比率，用以反映和考核部门预算执行的及时性和均衡性程度。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支付进度率</w:t>
            </w:r>
            <w:r>
              <w:rPr>
                <w:rFonts w:ascii="宋体" w:hAnsi="宋体" w:cs="宋体"/>
              </w:rPr>
              <w:t>=</w:t>
            </w:r>
            <w:r>
              <w:rPr>
                <w:rFonts w:hint="eastAsia" w:ascii="宋体" w:hAnsi="宋体" w:cs="宋体"/>
              </w:rPr>
              <w:t>（实际支付进度</w:t>
            </w:r>
            <w:r>
              <w:rPr>
                <w:rFonts w:ascii="宋体" w:hAnsi="宋体" w:cs="宋体"/>
              </w:rPr>
              <w:t>/</w:t>
            </w:r>
            <w:r>
              <w:rPr>
                <w:rFonts w:hint="eastAsia" w:ascii="宋体" w:hAnsi="宋体" w:cs="宋体"/>
              </w:rPr>
              <w:t>既定支付进度）×</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实际支付进度：部门在某一时点的支出预算执行总数与年度支出预算数的比率。</w:t>
            </w:r>
          </w:p>
          <w:p>
            <w:pPr>
              <w:spacing w:line="240" w:lineRule="exact"/>
              <w:ind w:left="105" w:leftChars="50" w:right="105" w:rightChars="50"/>
              <w:rPr>
                <w:rFonts w:ascii="宋体" w:cs="宋体"/>
              </w:rPr>
            </w:pPr>
            <w:r>
              <w:rPr>
                <w:rFonts w:hint="eastAsia" w:ascii="宋体" w:hAnsi="宋体" w:cs="宋体"/>
              </w:rPr>
              <w:t>既定支付进度：由部门在申报部门整体绩效目标时，参照序时支付进度、前三年支付进度、本级部门平均支付进度水平等确定的，在某一时点应达到的支付进度（比率）。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9" w:hRule="atLeast"/>
          <w:jc w:val="center"/>
        </w:trPr>
        <w:tc>
          <w:tcPr>
            <w:tcW w:w="306" w:type="pct"/>
            <w:vMerge w:val="continue"/>
            <w:noWrap/>
            <w:tcMar>
              <w:top w:w="10" w:type="dxa"/>
              <w:left w:w="10" w:type="dxa"/>
              <w:bottom w:w="0" w:type="dxa"/>
              <w:right w:w="10" w:type="dxa"/>
            </w:tcMar>
            <w:textDirection w:val="tbRlV"/>
            <w:vAlign w:val="center"/>
          </w:tcPr>
          <w:p>
            <w:pPr>
              <w:spacing w:line="240" w:lineRule="exact"/>
              <w:jc w:val="center"/>
              <w:rPr>
                <w:rFonts w:ascii="宋体" w:cs="宋体"/>
              </w:rPr>
            </w:pPr>
          </w:p>
        </w:tc>
        <w:tc>
          <w:tcPr>
            <w:tcW w:w="375" w:type="pct"/>
            <w:vMerge w:val="continue"/>
            <w:tcMar>
              <w:top w:w="10" w:type="dxa"/>
              <w:left w:w="10" w:type="dxa"/>
              <w:bottom w:w="0" w:type="dxa"/>
              <w:right w:w="10" w:type="dxa"/>
            </w:tcMar>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结转</w:t>
            </w:r>
          </w:p>
          <w:p>
            <w:pPr>
              <w:spacing w:line="240" w:lineRule="exact"/>
              <w:jc w:val="center"/>
              <w:rPr>
                <w:rFonts w:ascii="宋体" w:cs="宋体"/>
              </w:rPr>
            </w:pPr>
            <w:r>
              <w:rPr>
                <w:rFonts w:hint="eastAsia" w:ascii="宋体" w:hAnsi="宋体" w:cs="宋体"/>
              </w:rPr>
              <w:t>结余率（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部门本年度结转结余总额与支出预算数的比率，用以反映和考核部门对本年度结转结余资金的实际控制程度。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结转结余率</w:t>
            </w:r>
            <w:r>
              <w:rPr>
                <w:rFonts w:ascii="宋体" w:hAnsi="宋体" w:cs="宋体"/>
              </w:rPr>
              <w:t>=</w:t>
            </w:r>
            <w:r>
              <w:rPr>
                <w:rFonts w:hint="eastAsia" w:ascii="宋体" w:hAnsi="宋体" w:cs="宋体"/>
              </w:rPr>
              <w:t>结转结余总额</w:t>
            </w:r>
            <w:r>
              <w:rPr>
                <w:rFonts w:ascii="宋体" w:hAnsi="宋体" w:cs="宋体"/>
              </w:rPr>
              <w:t>/</w:t>
            </w:r>
            <w:r>
              <w:rPr>
                <w:rFonts w:hint="eastAsia" w:ascii="宋体" w:hAnsi="宋体" w:cs="宋体"/>
              </w:rPr>
              <w:t>支出预算数×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结转结余总额：部门本年度的结转资金与结余资金之和（以决算数为准）。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3"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结转结余</w:t>
            </w:r>
          </w:p>
          <w:p>
            <w:pPr>
              <w:spacing w:line="240" w:lineRule="exact"/>
              <w:jc w:val="center"/>
              <w:rPr>
                <w:rFonts w:ascii="宋体" w:cs="宋体"/>
              </w:rPr>
            </w:pPr>
            <w:r>
              <w:rPr>
                <w:rFonts w:hint="eastAsia" w:ascii="宋体" w:hAnsi="宋体" w:cs="宋体"/>
              </w:rPr>
              <w:t>变动率（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部门本年度结转结余资金总额与上年度结转结余资金总额的变动比率，用以反映和考核部门对控制结转结余资金的努力程度。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结转结余变动率</w:t>
            </w:r>
            <w:r>
              <w:rPr>
                <w:rFonts w:ascii="宋体" w:hAnsi="宋体" w:cs="宋体"/>
              </w:rPr>
              <w:t>=[</w:t>
            </w:r>
            <w:r>
              <w:rPr>
                <w:rFonts w:hint="eastAsia" w:ascii="宋体" w:hAnsi="宋体" w:cs="宋体"/>
              </w:rPr>
              <w:t>（本年度累计结转结余资金总额</w:t>
            </w:r>
            <w:r>
              <w:rPr>
                <w:rFonts w:ascii="宋体" w:hAnsi="宋体" w:cs="宋体"/>
              </w:rPr>
              <w:t>-</w:t>
            </w:r>
            <w:r>
              <w:rPr>
                <w:rFonts w:hint="eastAsia" w:ascii="宋体" w:hAnsi="宋体" w:cs="宋体"/>
              </w:rPr>
              <w:t>上年度累计结转结余资金总额）</w:t>
            </w:r>
            <w:r>
              <w:rPr>
                <w:rFonts w:ascii="宋体" w:hAnsi="宋体" w:cs="宋体"/>
              </w:rPr>
              <w:t>/</w:t>
            </w:r>
            <w:r>
              <w:rPr>
                <w:rFonts w:hint="eastAsia" w:ascii="宋体" w:hAnsi="宋体" w:cs="宋体"/>
              </w:rPr>
              <w:t>上年度累计结转结余资金总额</w:t>
            </w:r>
            <w:r>
              <w:rPr>
                <w:rFonts w:ascii="宋体" w:hAnsi="宋体" w:cs="宋体"/>
              </w:rPr>
              <w:t>]</w:t>
            </w:r>
            <w:r>
              <w:rPr>
                <w:rFonts w:hint="eastAsia" w:ascii="宋体" w:hAnsi="宋体" w:cs="宋体"/>
              </w:rPr>
              <w:t>×</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公用经费</w:t>
            </w:r>
          </w:p>
          <w:p>
            <w:pPr>
              <w:spacing w:line="240" w:lineRule="exact"/>
              <w:jc w:val="center"/>
              <w:rPr>
                <w:rFonts w:ascii="宋体" w:cs="宋体"/>
              </w:rPr>
            </w:pPr>
            <w:r>
              <w:rPr>
                <w:rFonts w:hint="eastAsia" w:ascii="宋体" w:hAnsi="宋体" w:cs="宋体"/>
              </w:rPr>
              <w:t>控制率（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部门本年度实际支出的公用经费总额与预算安排的公用经费总额的比率，用以反映和考核部门对机构运转成本的实际控制程度。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公用经费控制率</w:t>
            </w:r>
            <w:r>
              <w:rPr>
                <w:rFonts w:ascii="宋体" w:hAnsi="宋体" w:cs="宋体"/>
              </w:rPr>
              <w:t>=</w:t>
            </w:r>
            <w:r>
              <w:rPr>
                <w:rFonts w:hint="eastAsia" w:ascii="宋体" w:hAnsi="宋体" w:cs="宋体"/>
              </w:rPr>
              <w:t>（实际支出公用经费总额</w:t>
            </w:r>
            <w:r>
              <w:rPr>
                <w:rFonts w:ascii="宋体" w:hAnsi="宋体" w:cs="宋体"/>
              </w:rPr>
              <w:t>/</w:t>
            </w:r>
            <w:r>
              <w:rPr>
                <w:rFonts w:hint="eastAsia" w:ascii="宋体" w:hAnsi="宋体" w:cs="宋体"/>
              </w:rPr>
              <w:t>预算安排公用经费总额）×</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8"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“三公经费”控制率（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部门本年度“三公经费”实际支出数与预算安排数的比率，用以反映和考核部门对“三公经费”的实际控制程度。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“三公经费”控制率</w:t>
            </w:r>
            <w:r>
              <w:rPr>
                <w:rFonts w:ascii="宋体" w:hAnsi="宋体" w:cs="宋体"/>
              </w:rPr>
              <w:t>=</w:t>
            </w:r>
            <w:r>
              <w:rPr>
                <w:rFonts w:hint="eastAsia" w:ascii="宋体" w:hAnsi="宋体" w:cs="宋体"/>
              </w:rPr>
              <w:t>（“三公经费”实际支出数</w:t>
            </w:r>
            <w:r>
              <w:rPr>
                <w:rFonts w:ascii="宋体" w:hAnsi="宋体" w:cs="宋体"/>
              </w:rPr>
              <w:t>/</w:t>
            </w:r>
            <w:r>
              <w:rPr>
                <w:rFonts w:hint="eastAsia" w:ascii="宋体" w:hAnsi="宋体" w:cs="宋体"/>
              </w:rPr>
              <w:t>“三公经费”预算安排数）×</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0"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政府采购</w:t>
            </w:r>
          </w:p>
          <w:p>
            <w:pPr>
              <w:spacing w:line="240" w:lineRule="exact"/>
              <w:jc w:val="center"/>
              <w:rPr>
                <w:rFonts w:ascii="宋体" w:cs="宋体"/>
              </w:rPr>
            </w:pPr>
            <w:r>
              <w:rPr>
                <w:rFonts w:hint="eastAsia" w:ascii="宋体" w:hAnsi="宋体" w:cs="宋体"/>
              </w:rPr>
              <w:t>执行率（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部门本年度实际政府采购金额与年初政府采购预算的比率，用以反映和考核部门政府采购预算执行情况。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政府采购执行率</w:t>
            </w:r>
            <w:r>
              <w:rPr>
                <w:rFonts w:ascii="宋体" w:hAnsi="宋体" w:cs="宋体"/>
              </w:rPr>
              <w:t>=</w:t>
            </w:r>
            <w:r>
              <w:rPr>
                <w:rFonts w:hint="eastAsia" w:ascii="宋体" w:hAnsi="宋体" w:cs="宋体"/>
              </w:rPr>
              <w:t>（实际政府采购金额</w:t>
            </w:r>
            <w:r>
              <w:rPr>
                <w:rFonts w:ascii="宋体" w:hAnsi="宋体" w:cs="宋体"/>
              </w:rPr>
              <w:t>/</w:t>
            </w:r>
            <w:r>
              <w:rPr>
                <w:rFonts w:hint="eastAsia" w:ascii="宋体" w:hAnsi="宋体" w:cs="宋体"/>
              </w:rPr>
              <w:t>政府采购预算数）×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hAnsi="宋体" w:cs="宋体"/>
              </w:rPr>
            </w:pPr>
            <w:r>
              <w:rPr>
                <w:rFonts w:hint="eastAsia" w:ascii="宋体" w:hAnsi="宋体" w:cs="宋体"/>
              </w:rPr>
              <w:t>政府采购预算：采购机关根据事业发展计划和行政任务编制的、并经过规定程序批准的年度政府采购计划。</w:t>
            </w:r>
            <w:r>
              <w:rPr>
                <w:rFonts w:ascii="宋体" w:hAnsi="宋体" w:cs="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9" w:hRule="atLeast"/>
          <w:jc w:val="center"/>
        </w:trPr>
        <w:tc>
          <w:tcPr>
            <w:tcW w:w="306" w:type="pct"/>
            <w:vMerge w:val="restart"/>
            <w:vAlign w:val="center"/>
          </w:tcPr>
          <w:p>
            <w:pPr>
              <w:spacing w:line="240" w:lineRule="exact"/>
              <w:jc w:val="center"/>
              <w:rPr>
                <w:rFonts w:ascii="宋体" w:cs="宋体"/>
              </w:rPr>
            </w:pPr>
            <w:r>
              <w:rPr>
                <w:rFonts w:hint="eastAsia" w:ascii="宋体" w:hAnsi="宋体" w:cs="宋体"/>
              </w:rPr>
              <w:t>过</w:t>
            </w:r>
          </w:p>
          <w:p>
            <w:pPr>
              <w:spacing w:line="240" w:lineRule="exact"/>
              <w:jc w:val="center"/>
              <w:rPr>
                <w:rFonts w:ascii="宋体" w:cs="宋体"/>
              </w:rPr>
            </w:pPr>
            <w:r>
              <w:rPr>
                <w:rFonts w:hint="eastAsia" w:ascii="宋体" w:hAnsi="宋体" w:cs="宋体"/>
              </w:rPr>
              <w:t>程（</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管理（</w:t>
            </w:r>
            <w:r>
              <w:rPr>
                <w:rFonts w:ascii="宋体" w:hAnsi="宋体" w:cs="宋体"/>
              </w:rPr>
              <w:t>5</w:t>
            </w:r>
            <w:r>
              <w:rPr>
                <w:rFonts w:hint="eastAsia" w:ascii="宋体" w:hAnsi="宋体" w:cs="宋体"/>
              </w:rPr>
              <w:t>分）</w:t>
            </w:r>
          </w:p>
          <w:p>
            <w:pPr>
              <w:spacing w:line="240" w:lineRule="exact"/>
              <w:jc w:val="center"/>
              <w:rPr>
                <w:rFonts w:ascii="宋体" w:cs="宋体"/>
              </w:rPr>
            </w:pPr>
            <w:r>
              <w:rPr>
                <w:rFonts w:hint="eastAsia" w:ascii="宋体" w:hAnsi="宋体" w:cs="宋体"/>
              </w:rPr>
              <w:t>）</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管理制度</w:t>
            </w:r>
          </w:p>
          <w:p>
            <w:pPr>
              <w:spacing w:line="240" w:lineRule="exact"/>
              <w:jc w:val="center"/>
              <w:rPr>
                <w:rFonts w:ascii="宋体" w:cs="宋体"/>
              </w:rPr>
            </w:pPr>
            <w:r>
              <w:rPr>
                <w:rFonts w:hint="eastAsia" w:ascii="宋体" w:hAnsi="宋体" w:cs="宋体"/>
              </w:rPr>
              <w:t>健全性（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部门为加强预算管理、规范财务行为而制定的管理制度是否健全完整，用以反映和考核部门预算管理制度对完成主要职责或促进事业发展的保障情况。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①是否已制定或具有预算资金管理办法、内部财务管理制度、会计核算制度等管理制度；</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②相关管理制度是否合法、合规、完整；</w:t>
            </w:r>
          </w:p>
          <w:p>
            <w:pPr>
              <w:spacing w:line="240" w:lineRule="exact"/>
              <w:ind w:left="105" w:leftChars="50" w:right="105" w:rightChars="50"/>
              <w:rPr>
                <w:rFonts w:ascii="宋体" w:cs="宋体"/>
              </w:rPr>
            </w:pPr>
            <w:r>
              <w:rPr>
                <w:rFonts w:hint="eastAsia" w:ascii="宋体" w:hAnsi="宋体" w:cs="宋体"/>
              </w:rPr>
              <w:t>③相关管理制度是否得到有效执行。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资金使用</w:t>
            </w:r>
          </w:p>
          <w:p>
            <w:pPr>
              <w:spacing w:line="240" w:lineRule="exact"/>
              <w:jc w:val="center"/>
              <w:rPr>
                <w:rFonts w:ascii="宋体" w:cs="宋体"/>
              </w:rPr>
            </w:pPr>
            <w:r>
              <w:rPr>
                <w:rFonts w:hint="eastAsia" w:ascii="宋体" w:hAnsi="宋体" w:cs="宋体"/>
              </w:rPr>
              <w:t>合规性（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部门使用预算资金是否符合相关的预算财务管理制度的规定，用以反映和考核部门预算资金的规范运行情况。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①是否符合国家财经法规和财务管理制度规定以及有关预算支出管理办法的规定；</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②资金的拨付是否有完整的审批程序和手续；</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③预算支出的重大开支是否经过评估论证；</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④是否符合部门预算批复的用途；</w:t>
            </w:r>
          </w:p>
          <w:p>
            <w:pPr>
              <w:spacing w:line="240" w:lineRule="exact"/>
              <w:ind w:left="105" w:leftChars="50" w:right="105" w:rightChars="50"/>
              <w:rPr>
                <w:rFonts w:ascii="宋体" w:cs="宋体"/>
              </w:rPr>
            </w:pPr>
            <w:r>
              <w:rPr>
                <w:rFonts w:hint="eastAsia" w:ascii="宋体" w:hAnsi="宋体" w:cs="宋体"/>
              </w:rPr>
              <w:t>⑤是否存在截留、挤占、挪用、虚列支出等情况。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2"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预决算信</w:t>
            </w:r>
          </w:p>
          <w:p>
            <w:pPr>
              <w:spacing w:line="240" w:lineRule="exact"/>
              <w:jc w:val="center"/>
              <w:rPr>
                <w:rFonts w:ascii="宋体" w:cs="宋体"/>
              </w:rPr>
            </w:pPr>
            <w:r>
              <w:rPr>
                <w:rFonts w:hint="eastAsia" w:ascii="宋体" w:hAnsi="宋体" w:cs="宋体"/>
              </w:rPr>
              <w:t>息公开性（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部门是否按照政府信息公开有关规定公开相关预决算信息，用以反映和考核部门预决算管理的公开透明情况。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①是否按规定内容公开预决算信息；</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②是否按规定时限公开预决算信息。</w:t>
            </w:r>
          </w:p>
          <w:p>
            <w:pPr>
              <w:spacing w:line="240" w:lineRule="exact"/>
              <w:ind w:left="105" w:leftChars="50" w:right="105" w:rightChars="50"/>
              <w:rPr>
                <w:rFonts w:ascii="宋体" w:cs="宋体"/>
              </w:rPr>
            </w:pPr>
            <w:r>
              <w:rPr>
                <w:rFonts w:hint="eastAsia" w:ascii="宋体" w:hAnsi="宋体" w:cs="宋体"/>
              </w:rPr>
              <w:t>预决算信息是指与部门预算、执行、决算、监督、绩效等管理相关的信息。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基础信息</w:t>
            </w:r>
          </w:p>
          <w:p>
            <w:pPr>
              <w:spacing w:line="240" w:lineRule="exact"/>
              <w:jc w:val="center"/>
              <w:rPr>
                <w:rFonts w:ascii="宋体" w:cs="宋体"/>
              </w:rPr>
            </w:pPr>
            <w:r>
              <w:rPr>
                <w:rFonts w:hint="eastAsia" w:ascii="宋体" w:hAnsi="宋体" w:cs="宋体"/>
              </w:rPr>
              <w:t>完善性（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部门基础信息是否完善，用以反映和考核基础信息对预算管理工作的支撑情况。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①基础数据信息和会计信息资料是否真实；</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②基础数据信息和会计信息资料是否完整；</w:t>
            </w:r>
          </w:p>
          <w:p>
            <w:pPr>
              <w:spacing w:line="240" w:lineRule="exact"/>
              <w:ind w:left="105" w:leftChars="50" w:right="105" w:rightChars="50"/>
              <w:rPr>
                <w:rFonts w:ascii="宋体" w:cs="宋体"/>
              </w:rPr>
            </w:pPr>
            <w:r>
              <w:rPr>
                <w:rFonts w:hint="eastAsia" w:ascii="宋体" w:hAnsi="宋体" w:cs="宋体"/>
              </w:rPr>
              <w:t>③基础数据信息和会计信息资料是否准确。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9" w:hRule="atLeast"/>
          <w:jc w:val="center"/>
        </w:trPr>
        <w:tc>
          <w:tcPr>
            <w:tcW w:w="306" w:type="pct"/>
            <w:vMerge w:val="continue"/>
            <w:noWrap/>
            <w:tcMar>
              <w:top w:w="10" w:type="dxa"/>
              <w:left w:w="10" w:type="dxa"/>
              <w:bottom w:w="0" w:type="dxa"/>
              <w:right w:w="10" w:type="dxa"/>
            </w:tcMar>
            <w:textDirection w:val="tbRlV"/>
            <w:vAlign w:val="center"/>
          </w:tcPr>
          <w:p>
            <w:pPr>
              <w:spacing w:line="240" w:lineRule="exact"/>
              <w:jc w:val="center"/>
              <w:rPr>
                <w:rFonts w:ascii="宋体" w:cs="宋体"/>
              </w:rPr>
            </w:pP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资产</w:t>
            </w:r>
          </w:p>
          <w:p>
            <w:pPr>
              <w:spacing w:line="240" w:lineRule="exact"/>
              <w:jc w:val="center"/>
              <w:rPr>
                <w:rFonts w:ascii="宋体" w:cs="宋体"/>
              </w:rPr>
            </w:pPr>
            <w:r>
              <w:rPr>
                <w:rFonts w:hint="eastAsia" w:ascii="宋体" w:hAnsi="宋体" w:cs="宋体"/>
              </w:rPr>
              <w:t>管理（</w:t>
            </w:r>
            <w:r>
              <w:rPr>
                <w:rFonts w:ascii="宋体" w:hAnsi="宋体" w:cs="宋体"/>
              </w:rPr>
              <w:t>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管理制度</w:t>
            </w:r>
          </w:p>
          <w:p>
            <w:pPr>
              <w:spacing w:line="240" w:lineRule="exact"/>
              <w:jc w:val="center"/>
              <w:rPr>
                <w:rFonts w:ascii="宋体" w:cs="宋体"/>
              </w:rPr>
            </w:pPr>
            <w:r>
              <w:rPr>
                <w:rFonts w:hint="eastAsia" w:ascii="宋体" w:hAnsi="宋体" w:cs="宋体"/>
              </w:rPr>
              <w:t>健全性（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部门为加强资产管理、规范资产管理行为而制定的管理制度是否健全完整，用以反映和考核部门资产管理制度对完成主要职责或促进社会发展的保障情况。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①是否已制定或具有资产管理制度；</w:t>
            </w:r>
            <w:r>
              <w:rPr>
                <w:rFonts w:ascii="宋体" w:hAnsi="宋体" w:cs="宋体"/>
              </w:rPr>
              <w:t xml:space="preserve">           </w:t>
            </w:r>
            <w:r>
              <w:rPr>
                <w:rFonts w:hint="eastAsia" w:ascii="宋体" w:hAnsi="宋体" w:cs="宋体"/>
              </w:rPr>
              <w:t>②相关资金管理制度是否合法、合规、完整；</w:t>
            </w:r>
          </w:p>
          <w:p>
            <w:pPr>
              <w:spacing w:line="240" w:lineRule="exact"/>
              <w:ind w:left="105" w:leftChars="50" w:right="105" w:rightChars="50"/>
              <w:rPr>
                <w:rFonts w:ascii="宋体" w:cs="宋体"/>
              </w:rPr>
            </w:pPr>
            <w:r>
              <w:rPr>
                <w:rFonts w:hint="eastAsia" w:ascii="宋体" w:hAnsi="宋体" w:cs="宋体"/>
              </w:rPr>
              <w:t>③相关资产管理制度是否得到有效执行。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资产管理</w:t>
            </w:r>
          </w:p>
          <w:p>
            <w:pPr>
              <w:spacing w:line="240" w:lineRule="exact"/>
              <w:jc w:val="center"/>
              <w:rPr>
                <w:rFonts w:ascii="宋体" w:cs="宋体"/>
              </w:rPr>
            </w:pPr>
            <w:r>
              <w:rPr>
                <w:rFonts w:hint="eastAsia" w:ascii="宋体" w:hAnsi="宋体" w:cs="宋体"/>
              </w:rPr>
              <w:t>安全性（</w:t>
            </w:r>
            <w:r>
              <w:rPr>
                <w:rFonts w:ascii="宋体" w:hAnsi="宋体" w:cs="宋体"/>
              </w:rPr>
              <w:t>2</w:t>
            </w:r>
            <w:r>
              <w:rPr>
                <w:rFonts w:hint="eastAsia" w:ascii="宋体" w:hAnsi="宋体" w:cs="宋体"/>
              </w:rPr>
              <w:t>分）</w:t>
            </w:r>
          </w:p>
        </w:tc>
        <w:tc>
          <w:tcPr>
            <w:tcW w:w="375" w:type="pct"/>
            <w:vAlign w:val="center"/>
          </w:tcPr>
          <w:p>
            <w:pPr>
              <w:tabs>
                <w:tab w:val="left" w:pos="761"/>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761"/>
                <w:tab w:val="left" w:pos="2604"/>
              </w:tabs>
              <w:spacing w:line="240" w:lineRule="exact"/>
              <w:ind w:left="105" w:leftChars="50" w:right="105" w:rightChars="50" w:firstLine="96" w:firstLineChars="46"/>
              <w:rPr>
                <w:rFonts w:ascii="宋体" w:cs="宋体"/>
              </w:rPr>
            </w:pPr>
            <w:r>
              <w:rPr>
                <w:rFonts w:hint="eastAsia" w:ascii="宋体" w:hAnsi="宋体" w:cs="宋体"/>
              </w:rPr>
              <w:t>部门的资产是否保存完整、使用合规、配置合理、处置规范、收入及时足额上缴，用以反映和考核部门资产安全运行情况。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①资产保存是否完整；</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②资产配置是否合理；</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③资产处置是否规范；</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④资产账务管理是否合规，是否</w:t>
            </w:r>
            <w:r>
              <w:rPr>
                <w:rFonts w:hint="eastAsia" w:ascii="宋体" w:hAnsi="宋体" w:cs="宋体"/>
                <w:lang w:eastAsia="zh-CN"/>
              </w:rPr>
              <w:t>账实相符</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⑤资产是否有偿使用及处置收入及时足额上缴。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固定资产</w:t>
            </w:r>
          </w:p>
          <w:p>
            <w:pPr>
              <w:spacing w:line="240" w:lineRule="exact"/>
              <w:jc w:val="center"/>
              <w:rPr>
                <w:rFonts w:ascii="宋体" w:cs="宋体"/>
              </w:rPr>
            </w:pPr>
            <w:r>
              <w:rPr>
                <w:rFonts w:hint="eastAsia" w:ascii="宋体" w:hAnsi="宋体" w:cs="宋体"/>
              </w:rPr>
              <w:t>利用率（</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部门实际在用固定资产总额与所有固定资产总额的比率，用以反映和考核部门固定资产使用效率程度。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固定资产利用率</w:t>
            </w:r>
            <w:r>
              <w:rPr>
                <w:rFonts w:ascii="宋体" w:hAnsi="宋体" w:cs="宋体"/>
              </w:rPr>
              <w:t>=</w:t>
            </w:r>
            <w:r>
              <w:rPr>
                <w:rFonts w:hint="eastAsia" w:ascii="宋体" w:hAnsi="宋体" w:cs="宋体"/>
              </w:rPr>
              <w:t>（实际在用固定资产总额</w:t>
            </w:r>
            <w:r>
              <w:rPr>
                <w:rFonts w:ascii="宋体" w:hAnsi="宋体" w:cs="宋体"/>
              </w:rPr>
              <w:t>/</w:t>
            </w:r>
            <w:r>
              <w:rPr>
                <w:rFonts w:hint="eastAsia" w:ascii="宋体" w:hAnsi="宋体" w:cs="宋体"/>
              </w:rPr>
              <w:t>所有固定资产总额）×</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1"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产</w:t>
            </w:r>
            <w:r>
              <w:rPr>
                <w:rFonts w:ascii="宋体" w:hAnsi="宋体" w:cs="宋体"/>
              </w:rPr>
              <w:t xml:space="preserve">   </w:t>
            </w:r>
            <w:r>
              <w:rPr>
                <w:rFonts w:hint="eastAsia" w:ascii="宋体" w:hAnsi="宋体" w:cs="宋体"/>
              </w:rPr>
              <w:t>出（</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职责</w:t>
            </w:r>
          </w:p>
          <w:p>
            <w:pPr>
              <w:spacing w:line="240" w:lineRule="exact"/>
              <w:jc w:val="center"/>
              <w:rPr>
                <w:rFonts w:ascii="宋体" w:cs="宋体"/>
              </w:rPr>
            </w:pPr>
            <w:r>
              <w:rPr>
                <w:rFonts w:hint="eastAsia" w:ascii="宋体" w:hAnsi="宋体" w:cs="宋体"/>
              </w:rPr>
              <w:t>履行（</w:t>
            </w:r>
            <w:r>
              <w:rPr>
                <w:rFonts w:ascii="宋体" w:hAnsi="宋体" w:cs="宋体"/>
              </w:rPr>
              <w:t>30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实际</w:t>
            </w:r>
          </w:p>
          <w:p>
            <w:pPr>
              <w:spacing w:line="240" w:lineRule="exact"/>
              <w:jc w:val="center"/>
              <w:rPr>
                <w:rFonts w:ascii="宋体" w:cs="宋体"/>
              </w:rPr>
            </w:pPr>
            <w:r>
              <w:rPr>
                <w:rFonts w:hint="eastAsia" w:ascii="宋体" w:hAnsi="宋体" w:cs="宋体"/>
              </w:rPr>
              <w:t>完成率（</w:t>
            </w:r>
            <w:r>
              <w:rPr>
                <w:rFonts w:ascii="宋体" w:hAnsi="宋体" w:cs="宋体"/>
              </w:rPr>
              <w:t>8</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8</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部门履行职责而实际完成工作数与计划工作数的比率，用以反映和考核部门履职工作任务目标的实现程度。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实际完成率</w:t>
            </w:r>
            <w:r>
              <w:rPr>
                <w:rFonts w:ascii="宋体" w:hAnsi="宋体" w:cs="宋体"/>
              </w:rPr>
              <w:t>=</w:t>
            </w:r>
            <w:r>
              <w:rPr>
                <w:rFonts w:hint="eastAsia" w:ascii="宋体" w:hAnsi="宋体" w:cs="宋体"/>
              </w:rPr>
              <w:t>（实际完成工作数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实际完成工作数：一定时期（年度或规划期）内部门实际完成工作任务的数量。</w:t>
            </w:r>
          </w:p>
          <w:p>
            <w:pPr>
              <w:spacing w:line="240" w:lineRule="exact"/>
              <w:ind w:left="105" w:leftChars="50" w:right="105" w:rightChars="50"/>
              <w:rPr>
                <w:rFonts w:ascii="宋体" w:cs="宋体"/>
              </w:rPr>
            </w:pPr>
            <w:r>
              <w:rPr>
                <w:rFonts w:hint="eastAsia" w:ascii="宋体" w:hAnsi="宋体" w:cs="宋体"/>
              </w:rPr>
              <w:t>计划工作数：部门整体绩效目标确定的一定时期（年度或规划期）内预计完成工作任务的数量。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3" w:hRule="atLeast"/>
          <w:jc w:val="center"/>
        </w:trPr>
        <w:tc>
          <w:tcPr>
            <w:tcW w:w="306" w:type="pct"/>
            <w:vMerge w:val="continue"/>
            <w:textDirection w:val="tbRlV"/>
            <w:vAlign w:val="center"/>
          </w:tcPr>
          <w:p>
            <w:pPr>
              <w:spacing w:line="240" w:lineRule="exact"/>
              <w:ind w:left="113"/>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完成</w:t>
            </w:r>
          </w:p>
          <w:p>
            <w:pPr>
              <w:spacing w:line="240" w:lineRule="exact"/>
              <w:jc w:val="center"/>
              <w:rPr>
                <w:rFonts w:ascii="宋体" w:cs="宋体"/>
              </w:rPr>
            </w:pPr>
            <w:r>
              <w:rPr>
                <w:rFonts w:hint="eastAsia" w:ascii="宋体" w:hAnsi="宋体" w:cs="宋体"/>
              </w:rPr>
              <w:t>及时率（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部门在规定时限内及时完成的实际工作数与计划工作数的比率</w:t>
            </w:r>
            <w:r>
              <w:rPr>
                <w:rFonts w:ascii="宋体" w:hAnsi="宋体" w:cs="宋体"/>
              </w:rPr>
              <w:t>,</w:t>
            </w:r>
            <w:r>
              <w:rPr>
                <w:rFonts w:hint="eastAsia" w:ascii="宋体" w:hAnsi="宋体" w:cs="宋体"/>
              </w:rPr>
              <w:t>用以反映和考核部门履职时效目标的实现程度。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完成及时率</w:t>
            </w:r>
            <w:r>
              <w:rPr>
                <w:rFonts w:ascii="宋体" w:hAnsi="宋体" w:cs="宋体"/>
              </w:rPr>
              <w:t>=</w:t>
            </w:r>
            <w:r>
              <w:rPr>
                <w:rFonts w:hint="eastAsia" w:ascii="宋体" w:hAnsi="宋体" w:cs="宋体"/>
              </w:rPr>
              <w:t>（及时完成实际工作数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及时完成实际工作数：部门按照整体绩效目标确定的时限实际完成的工作任务数量。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7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质量</w:t>
            </w:r>
          </w:p>
          <w:p>
            <w:pPr>
              <w:spacing w:line="240" w:lineRule="exact"/>
              <w:jc w:val="center"/>
              <w:rPr>
                <w:rFonts w:ascii="宋体" w:cs="宋体"/>
              </w:rPr>
            </w:pPr>
            <w:r>
              <w:rPr>
                <w:rFonts w:hint="eastAsia" w:ascii="宋体" w:hAnsi="宋体" w:cs="宋体"/>
              </w:rPr>
              <w:t>达标率（</w:t>
            </w:r>
            <w:r>
              <w:rPr>
                <w:rFonts w:ascii="宋体" w:hAnsi="宋体" w:cs="宋体"/>
              </w:rPr>
              <w:t>8</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7</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达到质量标准（绩效标准值）的实际工作数与计划工作数的比率</w:t>
            </w:r>
            <w:r>
              <w:rPr>
                <w:rFonts w:ascii="宋体" w:hAnsi="宋体" w:cs="宋体"/>
              </w:rPr>
              <w:t>,</w:t>
            </w:r>
            <w:r>
              <w:rPr>
                <w:rFonts w:hint="eastAsia" w:ascii="宋体" w:hAnsi="宋体" w:cs="宋体"/>
              </w:rPr>
              <w:t>用以反映和考核部门履职质量目标的实现程度。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质量达标率</w:t>
            </w:r>
            <w:r>
              <w:rPr>
                <w:rFonts w:ascii="宋体" w:hAnsi="宋体" w:cs="宋体"/>
              </w:rPr>
              <w:t>=</w:t>
            </w:r>
            <w:r>
              <w:rPr>
                <w:rFonts w:hint="eastAsia" w:ascii="宋体" w:hAnsi="宋体" w:cs="宋体"/>
              </w:rPr>
              <w:t>（质量达标实际工作数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质量达标实际工作数：一定时期（年度或规划期）内部门实际完成工作数中达到部门绩效目标要求（绩效标准值）的工作任务数量。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重点工作</w:t>
            </w:r>
          </w:p>
          <w:p>
            <w:pPr>
              <w:spacing w:line="240" w:lineRule="exact"/>
              <w:jc w:val="center"/>
              <w:rPr>
                <w:rFonts w:ascii="宋体" w:cs="宋体"/>
              </w:rPr>
            </w:pPr>
            <w:r>
              <w:rPr>
                <w:rFonts w:hint="eastAsia" w:ascii="宋体" w:hAnsi="宋体" w:cs="宋体"/>
              </w:rPr>
              <w:t>办结率（</w:t>
            </w:r>
            <w:r>
              <w:rPr>
                <w:rFonts w:ascii="宋体" w:hAnsi="宋体" w:cs="宋体"/>
              </w:rPr>
              <w:t>10</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10</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部门年度重点工作实际完成数与交办或下达数的比率，用以反映部门对重点工作的办理落实程度。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重点工作办结率</w:t>
            </w:r>
            <w:r>
              <w:rPr>
                <w:rFonts w:ascii="宋体" w:hAnsi="宋体" w:cs="宋体"/>
              </w:rPr>
              <w:t>=</w:t>
            </w:r>
            <w:r>
              <w:rPr>
                <w:rFonts w:hint="eastAsia" w:ascii="宋体" w:hAnsi="宋体" w:cs="宋体"/>
              </w:rPr>
              <w:t>（重点工作实际完成数</w:t>
            </w:r>
            <w:r>
              <w:rPr>
                <w:rFonts w:ascii="宋体" w:hAnsi="宋体" w:cs="宋体"/>
              </w:rPr>
              <w:t>/</w:t>
            </w:r>
            <w:r>
              <w:rPr>
                <w:rFonts w:hint="eastAsia" w:ascii="宋体" w:hAnsi="宋体" w:cs="宋体"/>
              </w:rPr>
              <w:t>交办或下达数）×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重点工作是指党委、政府、人大、相关部门交办或下达的工作任务。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效</w:t>
            </w:r>
            <w:r>
              <w:rPr>
                <w:rFonts w:ascii="宋体" w:hAnsi="宋体" w:cs="宋体"/>
              </w:rPr>
              <w:t xml:space="preserve">   </w:t>
            </w:r>
            <w:r>
              <w:rPr>
                <w:rFonts w:hint="eastAsia" w:ascii="宋体" w:hAnsi="宋体" w:cs="宋体"/>
              </w:rPr>
              <w:t>果（</w:t>
            </w:r>
            <w:r>
              <w:rPr>
                <w:rFonts w:ascii="宋体" w:hAnsi="宋体" w:cs="宋体"/>
              </w:rPr>
              <w:t>20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履职</w:t>
            </w:r>
          </w:p>
          <w:p>
            <w:pPr>
              <w:spacing w:line="240" w:lineRule="exact"/>
              <w:jc w:val="center"/>
              <w:rPr>
                <w:rFonts w:ascii="宋体" w:cs="宋体"/>
              </w:rPr>
            </w:pPr>
            <w:r>
              <w:rPr>
                <w:rFonts w:hint="eastAsia" w:ascii="宋体" w:hAnsi="宋体" w:cs="宋体"/>
              </w:rPr>
              <w:t>效益（</w:t>
            </w:r>
            <w:r>
              <w:rPr>
                <w:rFonts w:ascii="宋体" w:hAnsi="宋体" w:cs="宋体"/>
              </w:rPr>
              <w:t>20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经济效益（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部门履行职责对经济发展所带来的直接或间接影响。</w:t>
            </w:r>
          </w:p>
        </w:tc>
        <w:tc>
          <w:tcPr>
            <w:tcW w:w="1866" w:type="pct"/>
            <w:vMerge w:val="restar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此三项指标为设置部门整体支出绩效评价指标时必须考虑的共性要素，可根据部门实际并结合部门整体支出绩效目标设立情况有选择的进行设置，并将其细化为相应的个性化指标。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社会效益（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部门履行职责对社会发展所带来的直接或间接影响。</w:t>
            </w:r>
          </w:p>
        </w:tc>
        <w:tc>
          <w:tcPr>
            <w:tcW w:w="1866" w:type="pct"/>
            <w:vMerge w:val="continue"/>
            <w:vAlign w:val="center"/>
          </w:tcPr>
          <w:p>
            <w:pPr>
              <w:spacing w:line="240" w:lineRule="exact"/>
              <w:ind w:left="105" w:leftChars="50" w:right="105" w:rightChars="50"/>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生态效益（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部门履行职责对生态环境所带来的直接或间接影响。</w:t>
            </w:r>
          </w:p>
        </w:tc>
        <w:tc>
          <w:tcPr>
            <w:tcW w:w="1866" w:type="pct"/>
            <w:vMerge w:val="continue"/>
            <w:vAlign w:val="center"/>
          </w:tcPr>
          <w:p>
            <w:pPr>
              <w:spacing w:line="240" w:lineRule="exact"/>
              <w:ind w:left="105" w:leftChars="50" w:right="105" w:rightChars="50"/>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3"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社会公众</w:t>
            </w:r>
          </w:p>
          <w:p>
            <w:pPr>
              <w:spacing w:line="240" w:lineRule="exact"/>
              <w:jc w:val="center"/>
              <w:rPr>
                <w:rFonts w:ascii="宋体" w:cs="宋体"/>
              </w:rPr>
            </w:pPr>
            <w:r>
              <w:rPr>
                <w:rFonts w:hint="eastAsia" w:ascii="宋体" w:hAnsi="宋体" w:cs="宋体"/>
              </w:rPr>
              <w:t>或服务对</w:t>
            </w:r>
          </w:p>
          <w:p>
            <w:pPr>
              <w:spacing w:line="240" w:lineRule="exact"/>
              <w:jc w:val="center"/>
              <w:rPr>
                <w:rFonts w:ascii="宋体" w:cs="宋体"/>
              </w:rPr>
            </w:pPr>
            <w:r>
              <w:rPr>
                <w:rFonts w:hint="eastAsia" w:ascii="宋体" w:hAnsi="宋体" w:cs="宋体"/>
              </w:rPr>
              <w:t>象满意度（</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社会公众或部门的服务对象对部门履职效果的满意程度。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社会公众或服务对象是指部门履行职责而影响到的部门、群体或个人。一般采取社会调查的方式。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jc w:val="center"/>
        </w:trPr>
        <w:tc>
          <w:tcPr>
            <w:tcW w:w="306" w:type="pct"/>
            <w:vAlign w:val="center"/>
          </w:tcPr>
          <w:p>
            <w:pPr>
              <w:spacing w:line="240" w:lineRule="exact"/>
              <w:rPr>
                <w:rFonts w:ascii="宋体" w:cs="宋体"/>
              </w:rPr>
            </w:pPr>
            <w:r>
              <w:rPr>
                <w:rFonts w:hint="eastAsia" w:ascii="宋体" w:hAnsi="宋体" w:cs="宋体"/>
              </w:rPr>
              <w:t>总分</w:t>
            </w:r>
          </w:p>
        </w:tc>
        <w:tc>
          <w:tcPr>
            <w:tcW w:w="375" w:type="pct"/>
            <w:vAlign w:val="center"/>
          </w:tcPr>
          <w:p>
            <w:pPr>
              <w:spacing w:line="240" w:lineRule="exact"/>
              <w:jc w:val="center"/>
              <w:rPr>
                <w:rFonts w:hint="default" w:ascii="宋体" w:eastAsia="宋体" w:cs="宋体"/>
                <w:lang w:val="en-US" w:eastAsia="zh-CN"/>
              </w:rPr>
            </w:pPr>
            <w:r>
              <w:rPr>
                <w:rFonts w:hint="eastAsia" w:ascii="宋体" w:cs="宋体"/>
                <w:lang w:val="en-US" w:eastAsia="zh-CN"/>
              </w:rPr>
              <w:t>90分</w:t>
            </w:r>
          </w:p>
        </w:tc>
        <w:tc>
          <w:tcPr>
            <w:tcW w:w="500" w:type="pct"/>
            <w:tcMar>
              <w:top w:w="10" w:type="dxa"/>
              <w:left w:w="10" w:type="dxa"/>
              <w:bottom w:w="0" w:type="dxa"/>
              <w:right w:w="10" w:type="dxa"/>
            </w:tcMar>
            <w:vAlign w:val="center"/>
          </w:tcPr>
          <w:p>
            <w:pPr>
              <w:spacing w:line="240" w:lineRule="exact"/>
              <w:jc w:val="center"/>
              <w:rPr>
                <w:rFonts w:ascii="宋体" w:cs="宋体"/>
              </w:rPr>
            </w:pPr>
          </w:p>
        </w:tc>
        <w:tc>
          <w:tcPr>
            <w:tcW w:w="375" w:type="pct"/>
          </w:tcPr>
          <w:p>
            <w:pPr>
              <w:tabs>
                <w:tab w:val="left" w:pos="2604"/>
              </w:tabs>
              <w:spacing w:line="240" w:lineRule="exact"/>
              <w:ind w:left="105" w:leftChars="50" w:right="105" w:rightChars="50" w:firstLine="96" w:firstLineChars="46"/>
              <w:rPr>
                <w:rFonts w:ascii="宋体" w:cs="宋体"/>
              </w:rPr>
            </w:pP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p>
        </w:tc>
      </w:tr>
    </w:tbl>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sectPr>
      <w:headerReference r:id="rId3" w:type="default"/>
      <w:footerReference r:id="rId4" w:type="default"/>
      <w:pgSz w:w="11907" w:h="16839"/>
      <w:pgMar w:top="1440" w:right="1797" w:bottom="1440" w:left="1797" w:header="1134" w:footer="158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a:noFill/>
                      </a:ln>
                    </wps:spPr>
                    <wps:txbx>
                      <w:txbxContent>
                        <w:p>
                          <w:pPr>
                            <w:pStyle w:val="4"/>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2.05pt;mso-position-horizontal:outside;mso-position-horizontal-relative:margin;mso-wrap-style:none;z-index:251659264;mso-width-relative:page;mso-height-relative:page;" filled="f" stroked="f" coordsize="21600,21600" o:gfxdata="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PD2TH3RAAAAAwEAAA8AAAAAAAAAAQAgAAAAIgAAAGRycy9kb3du&#10;cmV2LnhtbFBLAQIUABQAAAAIAIdO4kA2/rymzQEAAJcDAAAOAAAAAAAAAAEAIAAAACABAABkcnMv&#10;ZTJvRG9jLnhtbFBLBQYAAAAABgAGAFkBAABfBQAAAAA=&#10;">
              <v:fill on="f" focussize="0,0"/>
              <v:stroke on="f"/>
              <v:imagedata o:title=""/>
              <o:lock v:ext="edit" aspectratio="f"/>
              <v:textbox inset="0mm,0mm,0mm,0mm" style="mso-fit-shape-to-text:t;">
                <w:txbxContent>
                  <w:p>
                    <w:pPr>
                      <w:pStyle w:val="4"/>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jBhZWVjNDRlNGEyNzkzZjJkOWQxM2UwZGJiYjcifQ=="/>
  </w:docVars>
  <w:rsids>
    <w:rsidRoot w:val="00B31492"/>
    <w:rsid w:val="0000576B"/>
    <w:rsid w:val="0000765B"/>
    <w:rsid w:val="00022090"/>
    <w:rsid w:val="00027999"/>
    <w:rsid w:val="00040749"/>
    <w:rsid w:val="00044ABC"/>
    <w:rsid w:val="00054DD5"/>
    <w:rsid w:val="000722B9"/>
    <w:rsid w:val="00073416"/>
    <w:rsid w:val="00080EF1"/>
    <w:rsid w:val="000900F1"/>
    <w:rsid w:val="00091451"/>
    <w:rsid w:val="0009535D"/>
    <w:rsid w:val="000A1134"/>
    <w:rsid w:val="000A5544"/>
    <w:rsid w:val="000B301B"/>
    <w:rsid w:val="000B5306"/>
    <w:rsid w:val="000C10FB"/>
    <w:rsid w:val="000C4D3C"/>
    <w:rsid w:val="000C731D"/>
    <w:rsid w:val="000D0F40"/>
    <w:rsid w:val="000D5127"/>
    <w:rsid w:val="000D57CB"/>
    <w:rsid w:val="000D747F"/>
    <w:rsid w:val="000E0B2B"/>
    <w:rsid w:val="000E2985"/>
    <w:rsid w:val="000E36C4"/>
    <w:rsid w:val="000E3F10"/>
    <w:rsid w:val="000E4EF8"/>
    <w:rsid w:val="000E57AB"/>
    <w:rsid w:val="0011120E"/>
    <w:rsid w:val="00117CF4"/>
    <w:rsid w:val="00123970"/>
    <w:rsid w:val="00131B2C"/>
    <w:rsid w:val="00134C35"/>
    <w:rsid w:val="00135095"/>
    <w:rsid w:val="00140798"/>
    <w:rsid w:val="00145A11"/>
    <w:rsid w:val="00145E64"/>
    <w:rsid w:val="0015632B"/>
    <w:rsid w:val="00163FD1"/>
    <w:rsid w:val="0016625A"/>
    <w:rsid w:val="00173782"/>
    <w:rsid w:val="001835CC"/>
    <w:rsid w:val="0019211B"/>
    <w:rsid w:val="001944C9"/>
    <w:rsid w:val="001A58D4"/>
    <w:rsid w:val="001B113D"/>
    <w:rsid w:val="001B3C1E"/>
    <w:rsid w:val="001C0145"/>
    <w:rsid w:val="001C3048"/>
    <w:rsid w:val="001C40F4"/>
    <w:rsid w:val="001C575F"/>
    <w:rsid w:val="001C5833"/>
    <w:rsid w:val="001D55E5"/>
    <w:rsid w:val="001D62E0"/>
    <w:rsid w:val="001E0A51"/>
    <w:rsid w:val="001F1A3F"/>
    <w:rsid w:val="001F1E9B"/>
    <w:rsid w:val="0020112F"/>
    <w:rsid w:val="002049ED"/>
    <w:rsid w:val="002063CE"/>
    <w:rsid w:val="00230CBD"/>
    <w:rsid w:val="002342D8"/>
    <w:rsid w:val="00247245"/>
    <w:rsid w:val="00252C84"/>
    <w:rsid w:val="0025648E"/>
    <w:rsid w:val="00275A2B"/>
    <w:rsid w:val="00283D7B"/>
    <w:rsid w:val="00292015"/>
    <w:rsid w:val="002931ED"/>
    <w:rsid w:val="002A3B44"/>
    <w:rsid w:val="002A4853"/>
    <w:rsid w:val="002A5CDE"/>
    <w:rsid w:val="002B12AA"/>
    <w:rsid w:val="002B32F1"/>
    <w:rsid w:val="002B6F7B"/>
    <w:rsid w:val="002C1348"/>
    <w:rsid w:val="002C7776"/>
    <w:rsid w:val="002C7EC5"/>
    <w:rsid w:val="002D1084"/>
    <w:rsid w:val="002D6947"/>
    <w:rsid w:val="002F3512"/>
    <w:rsid w:val="002F5762"/>
    <w:rsid w:val="0030782F"/>
    <w:rsid w:val="00311298"/>
    <w:rsid w:val="00331FAC"/>
    <w:rsid w:val="00336322"/>
    <w:rsid w:val="00340884"/>
    <w:rsid w:val="00347C80"/>
    <w:rsid w:val="00350547"/>
    <w:rsid w:val="00350A4D"/>
    <w:rsid w:val="00352D01"/>
    <w:rsid w:val="00355435"/>
    <w:rsid w:val="00360129"/>
    <w:rsid w:val="00366764"/>
    <w:rsid w:val="00366EE2"/>
    <w:rsid w:val="00372EF3"/>
    <w:rsid w:val="003948BE"/>
    <w:rsid w:val="003A190D"/>
    <w:rsid w:val="003A2BF3"/>
    <w:rsid w:val="003A53A5"/>
    <w:rsid w:val="003A7E51"/>
    <w:rsid w:val="003B5FA6"/>
    <w:rsid w:val="003B658E"/>
    <w:rsid w:val="003B7FAA"/>
    <w:rsid w:val="003C7C2B"/>
    <w:rsid w:val="003D29D9"/>
    <w:rsid w:val="003E72EB"/>
    <w:rsid w:val="003F19D9"/>
    <w:rsid w:val="003F35EB"/>
    <w:rsid w:val="003F5F53"/>
    <w:rsid w:val="003F73B4"/>
    <w:rsid w:val="00414B84"/>
    <w:rsid w:val="004212AA"/>
    <w:rsid w:val="004215E8"/>
    <w:rsid w:val="00440DA9"/>
    <w:rsid w:val="004515AD"/>
    <w:rsid w:val="00455622"/>
    <w:rsid w:val="00455834"/>
    <w:rsid w:val="00460940"/>
    <w:rsid w:val="00461D77"/>
    <w:rsid w:val="00462455"/>
    <w:rsid w:val="00464B98"/>
    <w:rsid w:val="0046525C"/>
    <w:rsid w:val="00467029"/>
    <w:rsid w:val="00467BC3"/>
    <w:rsid w:val="00467EF2"/>
    <w:rsid w:val="00471464"/>
    <w:rsid w:val="00473533"/>
    <w:rsid w:val="0047675A"/>
    <w:rsid w:val="004778F7"/>
    <w:rsid w:val="004927D2"/>
    <w:rsid w:val="00492B9B"/>
    <w:rsid w:val="00493F4C"/>
    <w:rsid w:val="004A303E"/>
    <w:rsid w:val="004A6D78"/>
    <w:rsid w:val="004B1A54"/>
    <w:rsid w:val="004C27E5"/>
    <w:rsid w:val="004D1774"/>
    <w:rsid w:val="004D17DD"/>
    <w:rsid w:val="004D6E5E"/>
    <w:rsid w:val="004E1C5B"/>
    <w:rsid w:val="004E5938"/>
    <w:rsid w:val="004E7365"/>
    <w:rsid w:val="004F5CC3"/>
    <w:rsid w:val="005029FA"/>
    <w:rsid w:val="005120D4"/>
    <w:rsid w:val="0051663A"/>
    <w:rsid w:val="005260E1"/>
    <w:rsid w:val="00527A87"/>
    <w:rsid w:val="00532E16"/>
    <w:rsid w:val="00534320"/>
    <w:rsid w:val="00536EFD"/>
    <w:rsid w:val="00541E92"/>
    <w:rsid w:val="00551F05"/>
    <w:rsid w:val="00561B93"/>
    <w:rsid w:val="00562E2F"/>
    <w:rsid w:val="005673CE"/>
    <w:rsid w:val="00567819"/>
    <w:rsid w:val="00573400"/>
    <w:rsid w:val="00576326"/>
    <w:rsid w:val="00580167"/>
    <w:rsid w:val="00582E1A"/>
    <w:rsid w:val="005919FA"/>
    <w:rsid w:val="00593C92"/>
    <w:rsid w:val="005A1A08"/>
    <w:rsid w:val="005A433C"/>
    <w:rsid w:val="005A6BE1"/>
    <w:rsid w:val="005A7B28"/>
    <w:rsid w:val="005B2710"/>
    <w:rsid w:val="005C3E6E"/>
    <w:rsid w:val="005C6524"/>
    <w:rsid w:val="005D153C"/>
    <w:rsid w:val="005D7D3B"/>
    <w:rsid w:val="005E00E8"/>
    <w:rsid w:val="005E28B1"/>
    <w:rsid w:val="005F253D"/>
    <w:rsid w:val="006049B8"/>
    <w:rsid w:val="006127F6"/>
    <w:rsid w:val="00615B61"/>
    <w:rsid w:val="006179F6"/>
    <w:rsid w:val="00620354"/>
    <w:rsid w:val="00620B87"/>
    <w:rsid w:val="00622068"/>
    <w:rsid w:val="006224CF"/>
    <w:rsid w:val="00635C4C"/>
    <w:rsid w:val="00644573"/>
    <w:rsid w:val="00657147"/>
    <w:rsid w:val="006611E6"/>
    <w:rsid w:val="00662342"/>
    <w:rsid w:val="00663274"/>
    <w:rsid w:val="00665EDA"/>
    <w:rsid w:val="0067028C"/>
    <w:rsid w:val="00673791"/>
    <w:rsid w:val="006819E5"/>
    <w:rsid w:val="00682504"/>
    <w:rsid w:val="00696039"/>
    <w:rsid w:val="006B1373"/>
    <w:rsid w:val="006B241E"/>
    <w:rsid w:val="006C3681"/>
    <w:rsid w:val="006E3D80"/>
    <w:rsid w:val="006E44A5"/>
    <w:rsid w:val="006E4909"/>
    <w:rsid w:val="006F3690"/>
    <w:rsid w:val="00706732"/>
    <w:rsid w:val="0070749B"/>
    <w:rsid w:val="00712F25"/>
    <w:rsid w:val="00723BF8"/>
    <w:rsid w:val="00723F2E"/>
    <w:rsid w:val="0072712F"/>
    <w:rsid w:val="00732A99"/>
    <w:rsid w:val="007418B5"/>
    <w:rsid w:val="00744462"/>
    <w:rsid w:val="007476FC"/>
    <w:rsid w:val="00756BD7"/>
    <w:rsid w:val="00776107"/>
    <w:rsid w:val="0078256C"/>
    <w:rsid w:val="00782AE4"/>
    <w:rsid w:val="00786AE5"/>
    <w:rsid w:val="0079503D"/>
    <w:rsid w:val="007A646A"/>
    <w:rsid w:val="007A6BE0"/>
    <w:rsid w:val="007B4AC5"/>
    <w:rsid w:val="007B7B94"/>
    <w:rsid w:val="007C55B1"/>
    <w:rsid w:val="007D672B"/>
    <w:rsid w:val="007E63E6"/>
    <w:rsid w:val="007E69ED"/>
    <w:rsid w:val="007F0BE7"/>
    <w:rsid w:val="007F0C00"/>
    <w:rsid w:val="007F1081"/>
    <w:rsid w:val="007F1083"/>
    <w:rsid w:val="007F6C4B"/>
    <w:rsid w:val="007F6CBF"/>
    <w:rsid w:val="00815CCC"/>
    <w:rsid w:val="00820013"/>
    <w:rsid w:val="00821B72"/>
    <w:rsid w:val="008267BE"/>
    <w:rsid w:val="00837E36"/>
    <w:rsid w:val="008403BE"/>
    <w:rsid w:val="008441C6"/>
    <w:rsid w:val="008512EA"/>
    <w:rsid w:val="00851B4E"/>
    <w:rsid w:val="0085218E"/>
    <w:rsid w:val="008624AD"/>
    <w:rsid w:val="008654E7"/>
    <w:rsid w:val="00867BA9"/>
    <w:rsid w:val="00872997"/>
    <w:rsid w:val="00872F78"/>
    <w:rsid w:val="00876E9D"/>
    <w:rsid w:val="0088077B"/>
    <w:rsid w:val="00882F2B"/>
    <w:rsid w:val="0088593E"/>
    <w:rsid w:val="00887B1E"/>
    <w:rsid w:val="008905EF"/>
    <w:rsid w:val="00893A99"/>
    <w:rsid w:val="00897195"/>
    <w:rsid w:val="008A281B"/>
    <w:rsid w:val="008B1B10"/>
    <w:rsid w:val="008B4D0A"/>
    <w:rsid w:val="008B6109"/>
    <w:rsid w:val="008C027C"/>
    <w:rsid w:val="008C1252"/>
    <w:rsid w:val="008D0C29"/>
    <w:rsid w:val="008D275B"/>
    <w:rsid w:val="008D638C"/>
    <w:rsid w:val="008E7345"/>
    <w:rsid w:val="008F16D3"/>
    <w:rsid w:val="008F53CE"/>
    <w:rsid w:val="008F553D"/>
    <w:rsid w:val="00905316"/>
    <w:rsid w:val="00911DA7"/>
    <w:rsid w:val="00912398"/>
    <w:rsid w:val="00936154"/>
    <w:rsid w:val="00936C27"/>
    <w:rsid w:val="00940854"/>
    <w:rsid w:val="009445E0"/>
    <w:rsid w:val="00951EB4"/>
    <w:rsid w:val="009578ED"/>
    <w:rsid w:val="00962BF2"/>
    <w:rsid w:val="009639BD"/>
    <w:rsid w:val="00963E1B"/>
    <w:rsid w:val="00973951"/>
    <w:rsid w:val="0097405B"/>
    <w:rsid w:val="00974599"/>
    <w:rsid w:val="00985C91"/>
    <w:rsid w:val="00986CA5"/>
    <w:rsid w:val="00987D07"/>
    <w:rsid w:val="009B59C2"/>
    <w:rsid w:val="009C2D90"/>
    <w:rsid w:val="009C46DD"/>
    <w:rsid w:val="009C5D27"/>
    <w:rsid w:val="009D10B9"/>
    <w:rsid w:val="009D5685"/>
    <w:rsid w:val="009D57F3"/>
    <w:rsid w:val="009E6232"/>
    <w:rsid w:val="009F64FB"/>
    <w:rsid w:val="009F7575"/>
    <w:rsid w:val="00A014B9"/>
    <w:rsid w:val="00A0262A"/>
    <w:rsid w:val="00A25E38"/>
    <w:rsid w:val="00A324D4"/>
    <w:rsid w:val="00A32712"/>
    <w:rsid w:val="00A354B0"/>
    <w:rsid w:val="00A46247"/>
    <w:rsid w:val="00A462AF"/>
    <w:rsid w:val="00A533B0"/>
    <w:rsid w:val="00A56338"/>
    <w:rsid w:val="00A70D33"/>
    <w:rsid w:val="00A71BB7"/>
    <w:rsid w:val="00A72C2E"/>
    <w:rsid w:val="00A84FFE"/>
    <w:rsid w:val="00A92BA5"/>
    <w:rsid w:val="00A93F07"/>
    <w:rsid w:val="00AB22ED"/>
    <w:rsid w:val="00AB3024"/>
    <w:rsid w:val="00AB3869"/>
    <w:rsid w:val="00AC4C5B"/>
    <w:rsid w:val="00AC564C"/>
    <w:rsid w:val="00AD1A92"/>
    <w:rsid w:val="00AD5397"/>
    <w:rsid w:val="00AD6549"/>
    <w:rsid w:val="00AE1247"/>
    <w:rsid w:val="00AF00C6"/>
    <w:rsid w:val="00AF5133"/>
    <w:rsid w:val="00B02E40"/>
    <w:rsid w:val="00B14E06"/>
    <w:rsid w:val="00B217A7"/>
    <w:rsid w:val="00B31492"/>
    <w:rsid w:val="00B32B67"/>
    <w:rsid w:val="00B32F54"/>
    <w:rsid w:val="00B346D2"/>
    <w:rsid w:val="00B43DFD"/>
    <w:rsid w:val="00B4618B"/>
    <w:rsid w:val="00B5643B"/>
    <w:rsid w:val="00B57E3F"/>
    <w:rsid w:val="00B65CD6"/>
    <w:rsid w:val="00B66F03"/>
    <w:rsid w:val="00B712BB"/>
    <w:rsid w:val="00B72C80"/>
    <w:rsid w:val="00B75D17"/>
    <w:rsid w:val="00B84948"/>
    <w:rsid w:val="00B84CC2"/>
    <w:rsid w:val="00B8516C"/>
    <w:rsid w:val="00BA03BD"/>
    <w:rsid w:val="00BA788E"/>
    <w:rsid w:val="00BC20DD"/>
    <w:rsid w:val="00BC6D95"/>
    <w:rsid w:val="00BC7932"/>
    <w:rsid w:val="00BD2E88"/>
    <w:rsid w:val="00BD405F"/>
    <w:rsid w:val="00BE0554"/>
    <w:rsid w:val="00BE06DD"/>
    <w:rsid w:val="00BE408A"/>
    <w:rsid w:val="00BE7B6C"/>
    <w:rsid w:val="00BF3B38"/>
    <w:rsid w:val="00C15A6D"/>
    <w:rsid w:val="00C22BD8"/>
    <w:rsid w:val="00C24CE7"/>
    <w:rsid w:val="00C25511"/>
    <w:rsid w:val="00C44090"/>
    <w:rsid w:val="00C66C3E"/>
    <w:rsid w:val="00C84862"/>
    <w:rsid w:val="00C84865"/>
    <w:rsid w:val="00CA0567"/>
    <w:rsid w:val="00CB1093"/>
    <w:rsid w:val="00CB28F5"/>
    <w:rsid w:val="00CB586D"/>
    <w:rsid w:val="00CB6201"/>
    <w:rsid w:val="00CB64C4"/>
    <w:rsid w:val="00CC087A"/>
    <w:rsid w:val="00CC2304"/>
    <w:rsid w:val="00CC30AE"/>
    <w:rsid w:val="00CC450D"/>
    <w:rsid w:val="00CC60BF"/>
    <w:rsid w:val="00CE0E0E"/>
    <w:rsid w:val="00CE3D2D"/>
    <w:rsid w:val="00CF0D45"/>
    <w:rsid w:val="00CF2F2D"/>
    <w:rsid w:val="00CF67BD"/>
    <w:rsid w:val="00CF67DB"/>
    <w:rsid w:val="00D046B5"/>
    <w:rsid w:val="00D15FEF"/>
    <w:rsid w:val="00D238EE"/>
    <w:rsid w:val="00D2549D"/>
    <w:rsid w:val="00D276E1"/>
    <w:rsid w:val="00D31D53"/>
    <w:rsid w:val="00D329E3"/>
    <w:rsid w:val="00D3432B"/>
    <w:rsid w:val="00D368B6"/>
    <w:rsid w:val="00D45CBE"/>
    <w:rsid w:val="00D46713"/>
    <w:rsid w:val="00D46F00"/>
    <w:rsid w:val="00D477A8"/>
    <w:rsid w:val="00D516DD"/>
    <w:rsid w:val="00D527A1"/>
    <w:rsid w:val="00D7722A"/>
    <w:rsid w:val="00D91E94"/>
    <w:rsid w:val="00D92CF5"/>
    <w:rsid w:val="00D93FBB"/>
    <w:rsid w:val="00D97C4A"/>
    <w:rsid w:val="00DA1265"/>
    <w:rsid w:val="00DA3C6C"/>
    <w:rsid w:val="00DA6269"/>
    <w:rsid w:val="00DB40E7"/>
    <w:rsid w:val="00DB5F91"/>
    <w:rsid w:val="00DC3E91"/>
    <w:rsid w:val="00DD29AE"/>
    <w:rsid w:val="00DD2A0E"/>
    <w:rsid w:val="00DD5B5F"/>
    <w:rsid w:val="00DD7C43"/>
    <w:rsid w:val="00DE2956"/>
    <w:rsid w:val="00E03477"/>
    <w:rsid w:val="00E051C2"/>
    <w:rsid w:val="00E12376"/>
    <w:rsid w:val="00E14B8C"/>
    <w:rsid w:val="00E17C65"/>
    <w:rsid w:val="00E24B6E"/>
    <w:rsid w:val="00E2539C"/>
    <w:rsid w:val="00E258B9"/>
    <w:rsid w:val="00E30DDC"/>
    <w:rsid w:val="00E37910"/>
    <w:rsid w:val="00E51D89"/>
    <w:rsid w:val="00E55A88"/>
    <w:rsid w:val="00E65A87"/>
    <w:rsid w:val="00E679DF"/>
    <w:rsid w:val="00E83671"/>
    <w:rsid w:val="00E865BE"/>
    <w:rsid w:val="00E872F7"/>
    <w:rsid w:val="00E90AE8"/>
    <w:rsid w:val="00EA28D3"/>
    <w:rsid w:val="00EB0201"/>
    <w:rsid w:val="00EB06F6"/>
    <w:rsid w:val="00EB0D38"/>
    <w:rsid w:val="00ED7329"/>
    <w:rsid w:val="00EE164F"/>
    <w:rsid w:val="00EE2E89"/>
    <w:rsid w:val="00EF3D96"/>
    <w:rsid w:val="00F14649"/>
    <w:rsid w:val="00F2232D"/>
    <w:rsid w:val="00F32CCF"/>
    <w:rsid w:val="00F349D7"/>
    <w:rsid w:val="00F35540"/>
    <w:rsid w:val="00F40986"/>
    <w:rsid w:val="00F522E1"/>
    <w:rsid w:val="00F85846"/>
    <w:rsid w:val="00F92DBA"/>
    <w:rsid w:val="00F95F8C"/>
    <w:rsid w:val="00FA734B"/>
    <w:rsid w:val="00FA7C92"/>
    <w:rsid w:val="00FB536E"/>
    <w:rsid w:val="00FC32CC"/>
    <w:rsid w:val="00FF141D"/>
    <w:rsid w:val="00FF32B9"/>
    <w:rsid w:val="017851C6"/>
    <w:rsid w:val="017A0458"/>
    <w:rsid w:val="01B60E76"/>
    <w:rsid w:val="033D721B"/>
    <w:rsid w:val="03631ADA"/>
    <w:rsid w:val="03721629"/>
    <w:rsid w:val="040A0ABD"/>
    <w:rsid w:val="0470331E"/>
    <w:rsid w:val="04AB5E07"/>
    <w:rsid w:val="04F827CB"/>
    <w:rsid w:val="052218A9"/>
    <w:rsid w:val="0578569D"/>
    <w:rsid w:val="05CF6062"/>
    <w:rsid w:val="061C763A"/>
    <w:rsid w:val="063615A1"/>
    <w:rsid w:val="068F337D"/>
    <w:rsid w:val="0733320C"/>
    <w:rsid w:val="081568B5"/>
    <w:rsid w:val="087676FA"/>
    <w:rsid w:val="08875187"/>
    <w:rsid w:val="093141F9"/>
    <w:rsid w:val="099A26A5"/>
    <w:rsid w:val="09E35157"/>
    <w:rsid w:val="09F54CD6"/>
    <w:rsid w:val="0A565F02"/>
    <w:rsid w:val="0B3D25EC"/>
    <w:rsid w:val="0C074E58"/>
    <w:rsid w:val="0CB91541"/>
    <w:rsid w:val="0CE762C8"/>
    <w:rsid w:val="0D470847"/>
    <w:rsid w:val="0D833CC3"/>
    <w:rsid w:val="0DC0642E"/>
    <w:rsid w:val="0E3E79BE"/>
    <w:rsid w:val="0E465D80"/>
    <w:rsid w:val="0E62446D"/>
    <w:rsid w:val="0E8128AD"/>
    <w:rsid w:val="0EE85134"/>
    <w:rsid w:val="0FC25973"/>
    <w:rsid w:val="105B502F"/>
    <w:rsid w:val="10722829"/>
    <w:rsid w:val="10E44496"/>
    <w:rsid w:val="110E6A3F"/>
    <w:rsid w:val="112359C1"/>
    <w:rsid w:val="11346BB9"/>
    <w:rsid w:val="115642ED"/>
    <w:rsid w:val="1230033C"/>
    <w:rsid w:val="12677DBA"/>
    <w:rsid w:val="130951AC"/>
    <w:rsid w:val="13476BCA"/>
    <w:rsid w:val="13CD7430"/>
    <w:rsid w:val="14B14FF7"/>
    <w:rsid w:val="14B619A1"/>
    <w:rsid w:val="14FB53C0"/>
    <w:rsid w:val="150671B1"/>
    <w:rsid w:val="15311591"/>
    <w:rsid w:val="1558296C"/>
    <w:rsid w:val="156D4F4D"/>
    <w:rsid w:val="162D156A"/>
    <w:rsid w:val="1765329C"/>
    <w:rsid w:val="19A17D34"/>
    <w:rsid w:val="1A4935A8"/>
    <w:rsid w:val="1AD436C1"/>
    <w:rsid w:val="1B07763C"/>
    <w:rsid w:val="1B0B46A1"/>
    <w:rsid w:val="1BB64F82"/>
    <w:rsid w:val="1BF3164C"/>
    <w:rsid w:val="1C032D7E"/>
    <w:rsid w:val="1C2806C3"/>
    <w:rsid w:val="1C66658E"/>
    <w:rsid w:val="1C86422F"/>
    <w:rsid w:val="1C8875C2"/>
    <w:rsid w:val="1C8879B4"/>
    <w:rsid w:val="1CB259F0"/>
    <w:rsid w:val="1DAC2903"/>
    <w:rsid w:val="1E665C27"/>
    <w:rsid w:val="1E964B0F"/>
    <w:rsid w:val="1F881881"/>
    <w:rsid w:val="1FEA5F80"/>
    <w:rsid w:val="200D3D4A"/>
    <w:rsid w:val="207D3E14"/>
    <w:rsid w:val="20D1077A"/>
    <w:rsid w:val="216A0283"/>
    <w:rsid w:val="229D1F54"/>
    <w:rsid w:val="22EE79A4"/>
    <w:rsid w:val="22F21DC3"/>
    <w:rsid w:val="23226D95"/>
    <w:rsid w:val="240C3E58"/>
    <w:rsid w:val="249B048C"/>
    <w:rsid w:val="24CC6B72"/>
    <w:rsid w:val="250118B0"/>
    <w:rsid w:val="252D68F9"/>
    <w:rsid w:val="2554611C"/>
    <w:rsid w:val="262F0F1B"/>
    <w:rsid w:val="26A74346"/>
    <w:rsid w:val="273006B0"/>
    <w:rsid w:val="27EC37D2"/>
    <w:rsid w:val="27F024AF"/>
    <w:rsid w:val="27F84F81"/>
    <w:rsid w:val="27FD2479"/>
    <w:rsid w:val="280B3E7F"/>
    <w:rsid w:val="280B4B23"/>
    <w:rsid w:val="2851004E"/>
    <w:rsid w:val="28575C44"/>
    <w:rsid w:val="285D2309"/>
    <w:rsid w:val="287E6941"/>
    <w:rsid w:val="290F35A8"/>
    <w:rsid w:val="2926329E"/>
    <w:rsid w:val="295321C8"/>
    <w:rsid w:val="297067D9"/>
    <w:rsid w:val="2AA35D6F"/>
    <w:rsid w:val="2AB52C7C"/>
    <w:rsid w:val="2B415103"/>
    <w:rsid w:val="2B581D66"/>
    <w:rsid w:val="2BA03B6A"/>
    <w:rsid w:val="2BA801E5"/>
    <w:rsid w:val="2BF14481"/>
    <w:rsid w:val="2D5955B4"/>
    <w:rsid w:val="2DCB436E"/>
    <w:rsid w:val="2DE05B04"/>
    <w:rsid w:val="2E1B5892"/>
    <w:rsid w:val="2E2F3BA1"/>
    <w:rsid w:val="2F2B3F19"/>
    <w:rsid w:val="2F3E02A1"/>
    <w:rsid w:val="2F876D2C"/>
    <w:rsid w:val="312C67A7"/>
    <w:rsid w:val="33260A5E"/>
    <w:rsid w:val="336E6ACD"/>
    <w:rsid w:val="34A758FF"/>
    <w:rsid w:val="358778C8"/>
    <w:rsid w:val="35955B8E"/>
    <w:rsid w:val="35D07222"/>
    <w:rsid w:val="35F52F65"/>
    <w:rsid w:val="363C7D0D"/>
    <w:rsid w:val="36A2445A"/>
    <w:rsid w:val="374C2B2E"/>
    <w:rsid w:val="37967102"/>
    <w:rsid w:val="37DB6523"/>
    <w:rsid w:val="387A0A59"/>
    <w:rsid w:val="388B2DF3"/>
    <w:rsid w:val="38F65C6C"/>
    <w:rsid w:val="395B7471"/>
    <w:rsid w:val="396D68CF"/>
    <w:rsid w:val="3A8F4AE5"/>
    <w:rsid w:val="3B5409BF"/>
    <w:rsid w:val="3B680449"/>
    <w:rsid w:val="3B743F5C"/>
    <w:rsid w:val="3BE94DB1"/>
    <w:rsid w:val="3C632DF4"/>
    <w:rsid w:val="3C991AAE"/>
    <w:rsid w:val="3D474727"/>
    <w:rsid w:val="3DAA0380"/>
    <w:rsid w:val="3DB10B5C"/>
    <w:rsid w:val="3E28754B"/>
    <w:rsid w:val="3F0F3B88"/>
    <w:rsid w:val="3F320F34"/>
    <w:rsid w:val="40EA7C23"/>
    <w:rsid w:val="413A3F00"/>
    <w:rsid w:val="41595488"/>
    <w:rsid w:val="416F3E63"/>
    <w:rsid w:val="41934CF8"/>
    <w:rsid w:val="41CD4AC0"/>
    <w:rsid w:val="41DB333E"/>
    <w:rsid w:val="420F1BBE"/>
    <w:rsid w:val="43051AEA"/>
    <w:rsid w:val="44EB0D89"/>
    <w:rsid w:val="452847E4"/>
    <w:rsid w:val="45316C44"/>
    <w:rsid w:val="456E0AB1"/>
    <w:rsid w:val="459865A3"/>
    <w:rsid w:val="45D634C8"/>
    <w:rsid w:val="46E713B1"/>
    <w:rsid w:val="47A206B4"/>
    <w:rsid w:val="47F12C7A"/>
    <w:rsid w:val="4824151F"/>
    <w:rsid w:val="49214F13"/>
    <w:rsid w:val="49256DB2"/>
    <w:rsid w:val="49AC160F"/>
    <w:rsid w:val="4A114183"/>
    <w:rsid w:val="4A4A0EC5"/>
    <w:rsid w:val="4A5A3C1B"/>
    <w:rsid w:val="4AC95927"/>
    <w:rsid w:val="4AD06FF9"/>
    <w:rsid w:val="4B2C3FB9"/>
    <w:rsid w:val="4B362D73"/>
    <w:rsid w:val="4B5A002A"/>
    <w:rsid w:val="4BAD4D63"/>
    <w:rsid w:val="4C025F8C"/>
    <w:rsid w:val="4D0A0C33"/>
    <w:rsid w:val="4DC0279A"/>
    <w:rsid w:val="4DE8734A"/>
    <w:rsid w:val="4E782B52"/>
    <w:rsid w:val="4EB35B3E"/>
    <w:rsid w:val="4ECF6883"/>
    <w:rsid w:val="4F356F0D"/>
    <w:rsid w:val="50DD219B"/>
    <w:rsid w:val="514670E4"/>
    <w:rsid w:val="51967CDB"/>
    <w:rsid w:val="52154E23"/>
    <w:rsid w:val="523E5368"/>
    <w:rsid w:val="526F6B18"/>
    <w:rsid w:val="528323D3"/>
    <w:rsid w:val="530864C9"/>
    <w:rsid w:val="53432C6D"/>
    <w:rsid w:val="53F63CF0"/>
    <w:rsid w:val="54125E50"/>
    <w:rsid w:val="546569EF"/>
    <w:rsid w:val="549F1CE7"/>
    <w:rsid w:val="54C55939"/>
    <w:rsid w:val="56902CC1"/>
    <w:rsid w:val="56E033B2"/>
    <w:rsid w:val="578C4CFE"/>
    <w:rsid w:val="57D30EF3"/>
    <w:rsid w:val="58107308"/>
    <w:rsid w:val="584824A6"/>
    <w:rsid w:val="58B8306E"/>
    <w:rsid w:val="5A0F0191"/>
    <w:rsid w:val="5A357637"/>
    <w:rsid w:val="5A6D3339"/>
    <w:rsid w:val="5ACF34A9"/>
    <w:rsid w:val="5BAC4663"/>
    <w:rsid w:val="5CFB1D51"/>
    <w:rsid w:val="5D601129"/>
    <w:rsid w:val="5D8E1997"/>
    <w:rsid w:val="5DB623E8"/>
    <w:rsid w:val="5DD02850"/>
    <w:rsid w:val="5DDF7A88"/>
    <w:rsid w:val="5E1171EA"/>
    <w:rsid w:val="5E8432C6"/>
    <w:rsid w:val="5F4A09BC"/>
    <w:rsid w:val="5FC57BB1"/>
    <w:rsid w:val="5FCB6F85"/>
    <w:rsid w:val="5FE81BFB"/>
    <w:rsid w:val="5FED128A"/>
    <w:rsid w:val="619A43D0"/>
    <w:rsid w:val="61BA082B"/>
    <w:rsid w:val="61BF15F6"/>
    <w:rsid w:val="61C00E90"/>
    <w:rsid w:val="621F51C0"/>
    <w:rsid w:val="62FB16E5"/>
    <w:rsid w:val="6359707A"/>
    <w:rsid w:val="63850490"/>
    <w:rsid w:val="6406207C"/>
    <w:rsid w:val="647F33B5"/>
    <w:rsid w:val="648B6175"/>
    <w:rsid w:val="6520209E"/>
    <w:rsid w:val="65A62625"/>
    <w:rsid w:val="66D166A2"/>
    <w:rsid w:val="67603F4C"/>
    <w:rsid w:val="67ED4E96"/>
    <w:rsid w:val="67F76E01"/>
    <w:rsid w:val="69402640"/>
    <w:rsid w:val="694E5DA8"/>
    <w:rsid w:val="6AB05D5B"/>
    <w:rsid w:val="6B535152"/>
    <w:rsid w:val="6BFC024E"/>
    <w:rsid w:val="6D480FC3"/>
    <w:rsid w:val="6D9C004C"/>
    <w:rsid w:val="6DCD311C"/>
    <w:rsid w:val="6E9F12F5"/>
    <w:rsid w:val="6F1D5620"/>
    <w:rsid w:val="6F5407F4"/>
    <w:rsid w:val="6F9F20E2"/>
    <w:rsid w:val="6FB45EDA"/>
    <w:rsid w:val="70373012"/>
    <w:rsid w:val="7039065C"/>
    <w:rsid w:val="70E11CA8"/>
    <w:rsid w:val="70E176A7"/>
    <w:rsid w:val="711A118E"/>
    <w:rsid w:val="71982D7F"/>
    <w:rsid w:val="72D06577"/>
    <w:rsid w:val="743F4A7D"/>
    <w:rsid w:val="7457767C"/>
    <w:rsid w:val="75672C3A"/>
    <w:rsid w:val="756807C7"/>
    <w:rsid w:val="767D0555"/>
    <w:rsid w:val="768A5358"/>
    <w:rsid w:val="78122D90"/>
    <w:rsid w:val="78272F1E"/>
    <w:rsid w:val="7833477B"/>
    <w:rsid w:val="786C351A"/>
    <w:rsid w:val="78896628"/>
    <w:rsid w:val="78B81DC9"/>
    <w:rsid w:val="79C54E29"/>
    <w:rsid w:val="7A0C6344"/>
    <w:rsid w:val="7A5F0B02"/>
    <w:rsid w:val="7A7279BA"/>
    <w:rsid w:val="7BF22C25"/>
    <w:rsid w:val="7C4214E9"/>
    <w:rsid w:val="7C9A6CB0"/>
    <w:rsid w:val="7CA05DDC"/>
    <w:rsid w:val="7CC741DE"/>
    <w:rsid w:val="7DB25487"/>
    <w:rsid w:val="7DD73F51"/>
    <w:rsid w:val="7DE840BC"/>
    <w:rsid w:val="7E483F23"/>
    <w:rsid w:val="7F59662A"/>
    <w:rsid w:val="7F5F62DB"/>
    <w:rsid w:val="7FDF232C"/>
    <w:rsid w:val="7FE94A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autoRedefine/>
    <w:qFormat/>
    <w:uiPriority w:val="0"/>
    <w:pPr>
      <w:ind w:left="100" w:leftChars="2500"/>
    </w:pPr>
  </w:style>
  <w:style w:type="paragraph" w:styleId="3">
    <w:name w:val="Balloon Text"/>
    <w:basedOn w:val="1"/>
    <w:link w:val="22"/>
    <w:qFormat/>
    <w:uiPriority w:val="0"/>
    <w:rPr>
      <w:sz w:val="18"/>
      <w:szCs w:val="18"/>
    </w:rPr>
  </w:style>
  <w:style w:type="paragraph" w:styleId="4">
    <w:name w:val="footer"/>
    <w:basedOn w:val="1"/>
    <w:link w:val="21"/>
    <w:autoRedefine/>
    <w:qFormat/>
    <w:uiPriority w:val="99"/>
    <w:pPr>
      <w:tabs>
        <w:tab w:val="center" w:pos="4153"/>
        <w:tab w:val="right" w:pos="8306"/>
      </w:tabs>
      <w:snapToGrid w:val="0"/>
      <w:jc w:val="left"/>
    </w:pPr>
    <w:rPr>
      <w:sz w:val="18"/>
      <w:szCs w:val="18"/>
    </w:rPr>
  </w:style>
  <w:style w:type="paragraph" w:styleId="5">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autoRedefine/>
    <w:qFormat/>
    <w:uiPriority w:val="0"/>
    <w:pPr>
      <w:widowControl w:val="0"/>
      <w:snapToGrid w:val="0"/>
    </w:pPr>
    <w:rPr>
      <w:rFonts w:ascii="Times New Roman" w:hAnsi="Times New Roman" w:eastAsia="宋体" w:cs="Times New Roman"/>
      <w:kern w:val="2"/>
      <w:sz w:val="18"/>
      <w:szCs w:val="18"/>
      <w:lang w:val="en-US" w:eastAsia="zh-CN" w:bidi="ar-SA"/>
    </w:rPr>
  </w:style>
  <w:style w:type="paragraph" w:styleId="7">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autoRedefine/>
    <w:qFormat/>
    <w:uiPriority w:val="0"/>
    <w:rPr>
      <w:b/>
      <w:bCs/>
    </w:rPr>
  </w:style>
  <w:style w:type="character" w:styleId="12">
    <w:name w:val="page number"/>
    <w:basedOn w:val="10"/>
    <w:autoRedefine/>
    <w:qFormat/>
    <w:uiPriority w:val="0"/>
  </w:style>
  <w:style w:type="character" w:styleId="13">
    <w:name w:val="FollowedHyperlink"/>
    <w:basedOn w:val="10"/>
    <w:uiPriority w:val="0"/>
    <w:rPr>
      <w:color w:val="333333"/>
      <w:u w:val="none"/>
    </w:rPr>
  </w:style>
  <w:style w:type="character" w:styleId="14">
    <w:name w:val="Emphasis"/>
    <w:basedOn w:val="10"/>
    <w:autoRedefine/>
    <w:qFormat/>
    <w:uiPriority w:val="20"/>
    <w:rPr>
      <w:i/>
      <w:iCs/>
    </w:rPr>
  </w:style>
  <w:style w:type="character" w:styleId="15">
    <w:name w:val="HTML Definition"/>
    <w:basedOn w:val="10"/>
    <w:qFormat/>
    <w:uiPriority w:val="0"/>
    <w:rPr>
      <w:i/>
      <w:iCs/>
    </w:rPr>
  </w:style>
  <w:style w:type="character" w:styleId="16">
    <w:name w:val="Hyperlink"/>
    <w:basedOn w:val="10"/>
    <w:qFormat/>
    <w:uiPriority w:val="0"/>
    <w:rPr>
      <w:color w:val="0000FF"/>
      <w:u w:val="single"/>
    </w:rPr>
  </w:style>
  <w:style w:type="character" w:styleId="17">
    <w:name w:val="HTML Code"/>
    <w:basedOn w:val="10"/>
    <w:autoRedefine/>
    <w:qFormat/>
    <w:uiPriority w:val="0"/>
    <w:rPr>
      <w:rFonts w:hint="default" w:ascii="Consolas" w:hAnsi="Consolas" w:eastAsia="Consolas" w:cs="Consolas"/>
      <w:color w:val="C7254E"/>
      <w:sz w:val="21"/>
      <w:szCs w:val="21"/>
      <w:shd w:val="clear" w:fill="F9F2F4"/>
    </w:rPr>
  </w:style>
  <w:style w:type="character" w:styleId="18">
    <w:name w:val="footnote reference"/>
    <w:autoRedefine/>
    <w:qFormat/>
    <w:uiPriority w:val="0"/>
    <w:rPr>
      <w:vertAlign w:val="superscript"/>
    </w:rPr>
  </w:style>
  <w:style w:type="character" w:styleId="19">
    <w:name w:val="HTML Keyboard"/>
    <w:basedOn w:val="10"/>
    <w:autoRedefine/>
    <w:qFormat/>
    <w:uiPriority w:val="0"/>
    <w:rPr>
      <w:rFonts w:hint="default" w:ascii="Consolas" w:hAnsi="Consolas" w:eastAsia="Consolas" w:cs="Consolas"/>
      <w:color w:val="FFFFFF"/>
      <w:sz w:val="21"/>
      <w:szCs w:val="21"/>
      <w:shd w:val="clear" w:fill="333333"/>
    </w:rPr>
  </w:style>
  <w:style w:type="character" w:styleId="20">
    <w:name w:val="HTML Sample"/>
    <w:basedOn w:val="10"/>
    <w:autoRedefine/>
    <w:qFormat/>
    <w:uiPriority w:val="0"/>
    <w:rPr>
      <w:rFonts w:ascii="Consolas" w:hAnsi="Consolas" w:eastAsia="Consolas" w:cs="Consolas"/>
      <w:sz w:val="21"/>
      <w:szCs w:val="21"/>
    </w:rPr>
  </w:style>
  <w:style w:type="character" w:customStyle="1" w:styleId="21">
    <w:name w:val="页脚 Char"/>
    <w:basedOn w:val="10"/>
    <w:link w:val="4"/>
    <w:autoRedefine/>
    <w:qFormat/>
    <w:uiPriority w:val="99"/>
    <w:rPr>
      <w:kern w:val="2"/>
      <w:sz w:val="18"/>
      <w:szCs w:val="18"/>
    </w:rPr>
  </w:style>
  <w:style w:type="character" w:customStyle="1" w:styleId="22">
    <w:name w:val="批注框文本 Char"/>
    <w:basedOn w:val="10"/>
    <w:link w:val="3"/>
    <w:autoRedefine/>
    <w:qFormat/>
    <w:uiPriority w:val="0"/>
    <w:rPr>
      <w:kern w:val="2"/>
      <w:sz w:val="18"/>
      <w:szCs w:val="18"/>
    </w:rPr>
  </w:style>
  <w:style w:type="character" w:customStyle="1" w:styleId="23">
    <w:name w:val="Character Style 2"/>
    <w:autoRedefine/>
    <w:qFormat/>
    <w:uiPriority w:val="0"/>
    <w:rPr>
      <w:sz w:val="20"/>
      <w:szCs w:val="20"/>
    </w:rPr>
  </w:style>
  <w:style w:type="character" w:customStyle="1" w:styleId="24">
    <w:name w:val="页眉 Char"/>
    <w:basedOn w:val="10"/>
    <w:link w:val="5"/>
    <w:autoRedefine/>
    <w:qFormat/>
    <w:uiPriority w:val="99"/>
    <w:rPr>
      <w:kern w:val="2"/>
      <w:sz w:val="18"/>
      <w:szCs w:val="18"/>
    </w:rPr>
  </w:style>
  <w:style w:type="paragraph" w:customStyle="1" w:styleId="25">
    <w:name w:val="Char Char Char Char Char Char1 Char Char Char Char Char Char Char Char Char Char Char Char Char"/>
    <w:basedOn w:val="1"/>
    <w:autoRedefine/>
    <w:qFormat/>
    <w:uiPriority w:val="0"/>
    <w:pPr>
      <w:tabs>
        <w:tab w:val="left" w:pos="360"/>
      </w:tabs>
    </w:pPr>
    <w:rPr>
      <w:sz w:val="24"/>
    </w:rPr>
  </w:style>
  <w:style w:type="paragraph" w:customStyle="1" w:styleId="26">
    <w:name w:val="myindent"/>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27">
    <w:name w:val="text"/>
    <w:basedOn w:val="10"/>
    <w:autoRedefine/>
    <w:qFormat/>
    <w:uiPriority w:val="0"/>
    <w:rPr>
      <w:color w:val="666666"/>
    </w:rPr>
  </w:style>
  <w:style w:type="character" w:customStyle="1" w:styleId="28">
    <w:name w:val="cgreen"/>
    <w:basedOn w:val="10"/>
    <w:autoRedefine/>
    <w:qFormat/>
    <w:uiPriority w:val="0"/>
    <w:rPr>
      <w:color w:val="0A9100"/>
    </w:rPr>
  </w:style>
  <w:style w:type="character" w:customStyle="1" w:styleId="29">
    <w:name w:val="cgreen1"/>
    <w:basedOn w:val="10"/>
    <w:autoRedefine/>
    <w:qFormat/>
    <w:uiPriority w:val="0"/>
    <w:rPr>
      <w:color w:val="0A9100"/>
    </w:rPr>
  </w:style>
  <w:style w:type="character" w:customStyle="1" w:styleId="30">
    <w:name w:val="last"/>
    <w:basedOn w:val="10"/>
    <w:autoRedefine/>
    <w:qFormat/>
    <w:uiPriority w:val="0"/>
  </w:style>
  <w:style w:type="character" w:customStyle="1" w:styleId="31">
    <w:name w:val="after"/>
    <w:basedOn w:val="10"/>
    <w:autoRedefine/>
    <w:qFormat/>
    <w:uiPriority w:val="0"/>
    <w:rPr>
      <w:shd w:val="clear" w:fill="FFFFFF"/>
    </w:rPr>
  </w:style>
  <w:style w:type="character" w:customStyle="1" w:styleId="32">
    <w:name w:val="hover23"/>
    <w:basedOn w:val="10"/>
    <w:autoRedefine/>
    <w:qFormat/>
    <w:uiPriority w:val="0"/>
    <w:rPr>
      <w:shd w:val="clear" w:fill="0069AE"/>
    </w:rPr>
  </w:style>
  <w:style w:type="character" w:customStyle="1" w:styleId="33">
    <w:name w:val="hover24"/>
    <w:basedOn w:val="10"/>
    <w:autoRedefine/>
    <w:qFormat/>
    <w:uiPriority w:val="0"/>
    <w:rPr>
      <w:color w:val="000000"/>
      <w:shd w:val="clear" w:fill="FFFFFF"/>
    </w:rPr>
  </w:style>
  <w:style w:type="character" w:customStyle="1" w:styleId="34">
    <w:name w:val="wx-space"/>
    <w:basedOn w:val="10"/>
    <w:autoRedefine/>
    <w:qFormat/>
    <w:uiPriority w:val="0"/>
  </w:style>
  <w:style w:type="character" w:customStyle="1" w:styleId="35">
    <w:name w:val="bsharetext"/>
    <w:basedOn w:val="10"/>
    <w:autoRedefine/>
    <w:qFormat/>
    <w:uiPriority w:val="0"/>
  </w:style>
  <w:style w:type="character" w:customStyle="1" w:styleId="36">
    <w:name w:val="wx-space1"/>
    <w:basedOn w:val="10"/>
    <w:autoRedefine/>
    <w:qFormat/>
    <w:uiPriority w:val="0"/>
  </w:style>
  <w:style w:type="character" w:customStyle="1" w:styleId="37">
    <w:name w:val="select2-selection__rendered"/>
    <w:basedOn w:val="10"/>
    <w:autoRedefine/>
    <w:qFormat/>
    <w:uiPriority w:val="0"/>
    <w:rPr>
      <w:sz w:val="18"/>
      <w:szCs w:val="18"/>
    </w:rPr>
  </w:style>
  <w:style w:type="character" w:customStyle="1" w:styleId="38">
    <w:name w:val="active18"/>
    <w:basedOn w:val="10"/>
    <w:autoRedefine/>
    <w:qFormat/>
    <w:uiPriority w:val="0"/>
    <w:rPr>
      <w:color w:val="FFFFFF"/>
      <w:shd w:val="clear" w:fill="0069AE"/>
    </w:rPr>
  </w:style>
  <w:style w:type="character" w:customStyle="1" w:styleId="39">
    <w:name w:val="active19"/>
    <w:basedOn w:val="10"/>
    <w:autoRedefine/>
    <w:qFormat/>
    <w:uiPriority w:val="0"/>
    <w:rPr>
      <w:shd w:val="clear" w:fill="20A0E4"/>
    </w:rPr>
  </w:style>
  <w:style w:type="character" w:customStyle="1" w:styleId="40">
    <w:name w:val="time"/>
    <w:basedOn w:val="10"/>
    <w:autoRedefine/>
    <w:qFormat/>
    <w:uiPriority w:val="0"/>
    <w:rPr>
      <w:rFonts w:ascii="Arial" w:hAnsi="Arial" w:cs="Arial"/>
      <w:color w:val="999999"/>
      <w:sz w:val="21"/>
      <w:szCs w:val="21"/>
    </w:rPr>
  </w:style>
  <w:style w:type="character" w:customStyle="1" w:styleId="41">
    <w:name w:val="box6"/>
    <w:basedOn w:val="10"/>
    <w:autoRedefine/>
    <w:qFormat/>
    <w:uiPriority w:val="0"/>
    <w:rPr>
      <w:rFonts w:ascii="微软雅黑" w:hAnsi="微软雅黑" w:eastAsia="微软雅黑" w:cs="微软雅黑"/>
      <w:sz w:val="21"/>
      <w:szCs w:val="21"/>
    </w:rPr>
  </w:style>
  <w:style w:type="character" w:customStyle="1" w:styleId="42">
    <w:name w:val="hover54"/>
    <w:basedOn w:val="10"/>
    <w:autoRedefine/>
    <w:qFormat/>
    <w:uiPriority w:val="0"/>
    <w:rPr>
      <w:color w:val="000000"/>
      <w:shd w:val="clear" w:fill="FFFFFF"/>
    </w:rPr>
  </w:style>
  <w:style w:type="character" w:customStyle="1" w:styleId="43">
    <w:name w:val="active2"/>
    <w:basedOn w:val="10"/>
    <w:autoRedefine/>
    <w:qFormat/>
    <w:uiPriority w:val="0"/>
    <w:rPr>
      <w:color w:val="FFFFFF"/>
      <w:shd w:val="clear" w:fill="0069AE"/>
    </w:rPr>
  </w:style>
  <w:style w:type="character" w:customStyle="1" w:styleId="44">
    <w:name w:val="active3"/>
    <w:basedOn w:val="10"/>
    <w:autoRedefine/>
    <w:qFormat/>
    <w:uiPriority w:val="0"/>
    <w:rPr>
      <w:shd w:val="clear" w:fill="20A0E4"/>
    </w:rPr>
  </w:style>
  <w:style w:type="character" w:customStyle="1" w:styleId="45">
    <w:name w:val="hover47"/>
    <w:basedOn w:val="10"/>
    <w:autoRedefine/>
    <w:qFormat/>
    <w:uiPriority w:val="0"/>
    <w:rPr>
      <w:color w:val="000000"/>
      <w:shd w:val="clear" w:fill="FFFFFF"/>
    </w:rPr>
  </w:style>
  <w:style w:type="character" w:customStyle="1" w:styleId="46">
    <w:name w:val="hover"/>
    <w:basedOn w:val="10"/>
    <w:autoRedefine/>
    <w:qFormat/>
    <w:uiPriority w:val="0"/>
    <w:rPr>
      <w:color w:val="000000"/>
      <w:shd w:val="clear" w:fill="FFFFFF"/>
    </w:rPr>
  </w:style>
  <w:style w:type="character" w:customStyle="1" w:styleId="47">
    <w:name w:val="active"/>
    <w:basedOn w:val="10"/>
    <w:autoRedefine/>
    <w:qFormat/>
    <w:uiPriority w:val="0"/>
    <w:rPr>
      <w:shd w:val="clear" w:fill="20A0E4"/>
    </w:rPr>
  </w:style>
  <w:style w:type="character" w:customStyle="1" w:styleId="48">
    <w:name w:val="active1"/>
    <w:basedOn w:val="10"/>
    <w:autoRedefine/>
    <w:qFormat/>
    <w:uiPriority w:val="0"/>
    <w:rPr>
      <w:color w:val="FFFFFF"/>
      <w:shd w:val="clear" w:fill="0069AE"/>
    </w:rPr>
  </w:style>
  <w:style w:type="character" w:customStyle="1" w:styleId="49">
    <w:name w:val="box"/>
    <w:basedOn w:val="10"/>
    <w:autoRedefine/>
    <w:qFormat/>
    <w:uiPriority w:val="0"/>
    <w:rPr>
      <w:rFonts w:ascii="微软雅黑" w:hAnsi="微软雅黑" w:eastAsia="微软雅黑" w:cs="微软雅黑"/>
      <w:color w:val="666666"/>
      <w:sz w:val="21"/>
      <w:szCs w:val="21"/>
      <w:shd w:val="clear" w:fill="FFFFFF"/>
    </w:rPr>
  </w:style>
  <w:style w:type="character" w:customStyle="1" w:styleId="50">
    <w:name w:val="before4"/>
    <w:basedOn w:val="10"/>
    <w:autoRedefine/>
    <w:qFormat/>
    <w:uiPriority w:val="0"/>
    <w:rPr>
      <w:shd w:val="clear" w:fill="DCDCDC"/>
    </w:rPr>
  </w:style>
  <w:style w:type="character" w:customStyle="1" w:styleId="51">
    <w:name w:val="before5"/>
    <w:basedOn w:val="10"/>
    <w:autoRedefine/>
    <w:qFormat/>
    <w:uiPriority w:val="0"/>
    <w:rPr>
      <w:shd w:val="clear" w:fill="0466C7"/>
    </w:rPr>
  </w:style>
  <w:style w:type="character" w:customStyle="1" w:styleId="52">
    <w:name w:val="before6"/>
    <w:basedOn w:val="10"/>
    <w:autoRedefine/>
    <w:qFormat/>
    <w:uiPriority w:val="0"/>
  </w:style>
  <w:style w:type="character" w:customStyle="1" w:styleId="53">
    <w:name w:val="before7"/>
    <w:basedOn w:val="10"/>
    <w:autoRedefine/>
    <w:qFormat/>
    <w:uiPriority w:val="0"/>
    <w:rPr>
      <w:shd w:val="clear" w:fill="0466C7"/>
    </w:rPr>
  </w:style>
  <w:style w:type="character" w:customStyle="1" w:styleId="54">
    <w:name w:val="logo_img"/>
    <w:basedOn w:val="10"/>
    <w:autoRedefine/>
    <w:qFormat/>
    <w:uiPriority w:val="0"/>
  </w:style>
  <w:style w:type="character" w:customStyle="1" w:styleId="55">
    <w:name w:val="logo_img1"/>
    <w:basedOn w:val="10"/>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16</Pages>
  <Words>9398</Words>
  <Characters>9935</Characters>
  <Lines>3</Lines>
  <Paragraphs>7</Paragraphs>
  <TotalTime>32</TotalTime>
  <ScaleCrop>false</ScaleCrop>
  <LinksUpToDate>false</LinksUpToDate>
  <CharactersWithSpaces>9967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2021-06-30T07:55:00Z</dcterms:created>
  <dc:creator>admin</dc:creator>
  <cp:lastModifiedBy>Administrator</cp:lastModifiedBy>
  <cp:lastPrinted>2019-07-31T10:04:00Z</cp:lastPrinted>
  <dcterms:modified xsi:type="dcterms:W3CDTF">2024-04-15T08:34:23Z</dcterms:modified>
  <dc:title>派 车 存 单              湘潭市公务用车派车单</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9B304128D8314F28B4A55C24C7DADC57</vt:lpwstr>
  </property>
</Properties>
</file>