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600" w:lineRule="exact"/>
        <w:jc w:val="center"/>
        <w:rPr>
          <w:rFonts w:eastAsia="方正小标宋_GBK"/>
          <w:bCs/>
          <w:kern w:val="0"/>
          <w:sz w:val="44"/>
          <w:szCs w:val="44"/>
        </w:rPr>
      </w:pPr>
      <w:r>
        <w:rPr>
          <w:rFonts w:eastAsia="方正小标宋_GBK"/>
          <w:bCs/>
          <w:kern w:val="0"/>
          <w:sz w:val="36"/>
          <w:szCs w:val="36"/>
        </w:rPr>
        <w:t>2024年</w:t>
      </w:r>
      <w:r>
        <w:rPr>
          <w:rFonts w:hint="eastAsia" w:eastAsia="方正小标宋_GBK"/>
          <w:bCs/>
          <w:kern w:val="0"/>
          <w:sz w:val="44"/>
          <w:szCs w:val="44"/>
        </w:rPr>
        <w:t>杨嘉桥镇中心校</w:t>
      </w:r>
      <w:r>
        <w:rPr>
          <w:rFonts w:eastAsia="方正小标宋_GBK"/>
          <w:bCs/>
          <w:kern w:val="0"/>
          <w:sz w:val="44"/>
          <w:szCs w:val="44"/>
        </w:rPr>
        <w:t>部门预算</w:t>
      </w:r>
      <w:r>
        <w:rPr>
          <w:rFonts w:hint="eastAsia" w:eastAsia="方正小标宋_GBK"/>
          <w:bCs/>
          <w:kern w:val="0"/>
          <w:sz w:val="44"/>
          <w:szCs w:val="44"/>
        </w:rPr>
        <w:t>资料</w:t>
      </w:r>
    </w:p>
    <w:p>
      <w:pPr>
        <w:widowControl/>
        <w:spacing w:line="600" w:lineRule="exact"/>
        <w:jc w:val="center"/>
        <w:rPr>
          <w:rFonts w:eastAsia="楷体_GB2312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目 录</w:t>
      </w:r>
    </w:p>
    <w:p>
      <w:pPr>
        <w:widowControl/>
        <w:spacing w:line="600" w:lineRule="exact"/>
        <w:ind w:firstLine="643" w:firstLineChars="200"/>
        <w:rPr>
          <w:rFonts w:eastAsia="方正小标宋_GBK"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 xml:space="preserve">第一部分 </w:t>
      </w:r>
      <w:r>
        <w:rPr>
          <w:rFonts w:eastAsia="方正小标宋_GBK"/>
          <w:b/>
          <w:bCs/>
          <w:kern w:val="0"/>
          <w:sz w:val="32"/>
          <w:szCs w:val="32"/>
        </w:rPr>
        <w:t>2024年</w:t>
      </w:r>
      <w:r>
        <w:rPr>
          <w:rFonts w:eastAsia="仿宋_GB2312"/>
          <w:b/>
          <w:bCs/>
          <w:kern w:val="0"/>
          <w:sz w:val="32"/>
          <w:szCs w:val="32"/>
        </w:rPr>
        <w:t>部门预算说明</w:t>
      </w:r>
    </w:p>
    <w:p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第二部分 2024年部门预算表</w:t>
      </w:r>
    </w:p>
    <w:p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1、部门收支总体情况表</w:t>
      </w:r>
    </w:p>
    <w:p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2、部门收入总体情况表</w:t>
      </w:r>
    </w:p>
    <w:p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3、部门支出总体情况表</w:t>
      </w:r>
    </w:p>
    <w:p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4、财政拨款收支情况表</w:t>
      </w:r>
    </w:p>
    <w:p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5、一般公共预算支出表</w:t>
      </w:r>
    </w:p>
    <w:p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6、一般公共预算基本支出表</w:t>
      </w:r>
    </w:p>
    <w:p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7、一般公共预算“三公”经费支出表</w:t>
      </w:r>
    </w:p>
    <w:p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8、政府性基金预算支出情况表</w:t>
      </w:r>
    </w:p>
    <w:p>
      <w:pPr>
        <w:widowControl/>
        <w:spacing w:line="600" w:lineRule="exact"/>
        <w:ind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eastAsia="仿宋_GB2312"/>
          <w:bCs/>
          <w:kern w:val="0"/>
          <w:sz w:val="32"/>
          <w:szCs w:val="32"/>
        </w:rPr>
        <w:t>注：以上部门预算报表中，空表表示本部门无相关收支情况。</w:t>
      </w:r>
    </w:p>
    <w:p>
      <w:pPr>
        <w:widowControl/>
        <w:spacing w:line="600" w:lineRule="exact"/>
        <w:ind w:firstLine="640" w:firstLineChars="200"/>
        <w:rPr>
          <w:rFonts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br w:type="page"/>
      </w:r>
      <w:r>
        <w:rPr>
          <w:rFonts w:eastAsia="方正小标宋_GBK"/>
          <w:bCs/>
          <w:kern w:val="0"/>
          <w:sz w:val="36"/>
          <w:szCs w:val="36"/>
        </w:rPr>
        <w:t>第一部分 部门预算说明</w:t>
      </w:r>
    </w:p>
    <w:p>
      <w:pPr>
        <w:widowControl/>
        <w:spacing w:line="600" w:lineRule="exact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627" w:firstLineChars="196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一、部门基本概况</w:t>
      </w:r>
    </w:p>
    <w:p>
      <w:pPr>
        <w:widowControl/>
        <w:spacing w:line="600" w:lineRule="exact"/>
        <w:ind w:firstLine="630" w:firstLineChars="196"/>
        <w:jc w:val="left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（一）职能职责。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1、贯彻落实县委及县教育局关于教育工作的方针政策和法律法规。组织拟订全镇教育改革与发展规划，并组织实施。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2、依法统筹规划、协调管理全镇教育工作，指导全镇范围内的教育教学改革。负责教育基本信息的统计、分析。完成教育信息化工作和网络信息安全工作。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3、按规定具体负责义务教育实施工作，统筹、管理普通初中小学教育和学前教育工作。全面实施素质教育。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4、协调继续教育等工作。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5、统筹管理镇本级的教育事业经费。参与拟订全镇</w:t>
      </w:r>
      <w:r>
        <w:fldChar w:fldCharType="begin"/>
      </w:r>
      <w:r>
        <w:instrText xml:space="preserve"> HYPERLINK "http://baike.sogou.com/lemma/ShowInnerLink.htm?lemmaId=7665084&amp;ss_c=ssc.citiao.link"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教育经费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使用、基建投资工作。负责统计和监测全镇各中小学校幼儿园教育经费的投入和使用情况。负责指导、协调和监督各中小学校幼儿园的改造和建设。协调全镇资助经济困难学生工作。组织实施教育系统内部审计工作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6、督促、指导本镇各中小学校幼儿园的思想政治工作、德育工作、体育卫生与艺术教育以及国防教育工作。指导、协调和监督管理本镇各中小学校幼儿园的安全稳定工作。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7、主管本镇的教师工作。贯彻实施各中小学校幼儿园教师资格标准。加强教育系统人才队伍建设。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8、统筹管理全镇范围内义务教育的招生考试和学籍工作。制定全镇各中小学校幼儿园招生计划。组织普通初中学业水平测试。</w:t>
      </w:r>
    </w:p>
    <w:p>
      <w:pPr>
        <w:pStyle w:val="9"/>
        <w:shd w:val="clear" w:color="auto" w:fill="FFFFFF"/>
        <w:spacing w:line="450" w:lineRule="atLeast"/>
        <w:ind w:firstLine="672" w:firstLineChars="21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9、组织教育交流与合作，开展与外地的兄弟学校教育合作与交流。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10、督促、指导全镇各中小学校幼儿园党建、纪检监察、宣传培训、思想教育和群团工作。</w:t>
      </w:r>
    </w:p>
    <w:p>
      <w:pPr>
        <w:pStyle w:val="9"/>
        <w:shd w:val="clear" w:color="auto" w:fill="FFFFFF"/>
        <w:spacing w:line="450" w:lineRule="atLeas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11、负责协调片区教育督导委员会日常工作。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12、统筹管理全镇语言文字工作，制定全镇语言文字工作规划并组织实施，指导推广普通话和规范字及普通话师资培训工作。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13、完成县委、县局交办的其他任务。</w:t>
      </w:r>
    </w:p>
    <w:p>
      <w:pPr>
        <w:widowControl/>
        <w:spacing w:line="600" w:lineRule="exact"/>
        <w:ind w:firstLine="630" w:firstLineChars="196"/>
        <w:jc w:val="left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（二）机构设置。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湘潭县杨嘉桥镇中心学校所辖各中小学校（包括小学4所、初中1所、九年一贯制2所、纯公办幼儿园1所），为财务独立核算单位。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本乡镇现有编制人数213人。实有在职人员179人，遗属补助27人，退休人员294人。在校学生2848人,其中学前教育幼儿680人，小学生1555人,初中生</w:t>
      </w:r>
      <w:r>
        <w:rPr>
          <w:rFonts w:hint="eastAsia" w:ascii="仿宋_GB2312" w:eastAsia="仿宋_GB2312"/>
          <w:color w:val="000000"/>
          <w:sz w:val="32"/>
          <w:szCs w:val="32"/>
        </w:rPr>
        <w:t>613</w:t>
      </w:r>
      <w:r>
        <w:rPr>
          <w:rFonts w:hint="eastAsia" w:ascii="仿宋_GB2312" w:eastAsia="仿宋_GB2312"/>
          <w:sz w:val="32"/>
          <w:szCs w:val="32"/>
        </w:rPr>
        <w:t>人。义务教育学校寄宿学生674人，其中小学95人，初中</w:t>
      </w:r>
      <w:r>
        <w:rPr>
          <w:rFonts w:hint="eastAsia" w:ascii="仿宋_GB2312" w:eastAsia="仿宋_GB2312"/>
          <w:color w:val="000000"/>
          <w:sz w:val="32"/>
          <w:szCs w:val="32"/>
        </w:rPr>
        <w:t>579</w:t>
      </w:r>
      <w:r>
        <w:rPr>
          <w:rFonts w:hint="eastAsia" w:ascii="仿宋_GB2312" w:eastAsia="仿宋_GB2312"/>
          <w:sz w:val="32"/>
          <w:szCs w:val="32"/>
        </w:rPr>
        <w:t>人。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二、部门预算单位构成</w:t>
      </w:r>
    </w:p>
    <w:p>
      <w:pPr>
        <w:widowControl/>
        <w:spacing w:line="60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杨嘉桥镇中心学校</w:t>
      </w:r>
      <w:r>
        <w:rPr>
          <w:rFonts w:eastAsia="仿宋_GB2312"/>
          <w:sz w:val="32"/>
          <w:szCs w:val="32"/>
        </w:rPr>
        <w:t>部门只有本级，没有其他预算单位，因此本部门预算仅含本级预算。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三、部门收支总体情况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（一）收入预算：</w:t>
      </w:r>
      <w:r>
        <w:rPr>
          <w:rFonts w:eastAsia="仿宋_GB2312"/>
          <w:sz w:val="32"/>
          <w:szCs w:val="32"/>
        </w:rPr>
        <w:t>包括一般公共预算、政府性基金、国有资本经营预算等财政拨款收入，以及经营收入、事业收入等单位资金。2024年本部门收入预算</w:t>
      </w:r>
      <w:r>
        <w:rPr>
          <w:rFonts w:hint="eastAsia" w:eastAsia="仿宋_GB2312"/>
          <w:sz w:val="32"/>
          <w:szCs w:val="32"/>
          <w:u w:val="single"/>
        </w:rPr>
        <w:t>2967.56</w:t>
      </w:r>
      <w:r>
        <w:rPr>
          <w:rFonts w:eastAsia="仿宋_GB2312"/>
          <w:sz w:val="32"/>
          <w:szCs w:val="32"/>
        </w:rPr>
        <w:t>万元，其中，一般公共预算拨款</w:t>
      </w:r>
      <w:r>
        <w:rPr>
          <w:rFonts w:hint="eastAsia" w:eastAsia="仿宋_GB2312"/>
          <w:sz w:val="32"/>
          <w:szCs w:val="32"/>
          <w:u w:val="single"/>
        </w:rPr>
        <w:t>2766.91</w:t>
      </w:r>
      <w:r>
        <w:rPr>
          <w:rFonts w:eastAsia="仿宋_GB2312"/>
          <w:sz w:val="32"/>
          <w:szCs w:val="32"/>
        </w:rPr>
        <w:t>万元，政府性基金预算拨款</w:t>
      </w:r>
      <w:r>
        <w:rPr>
          <w:rFonts w:hint="eastAsia" w:eastAsia="仿宋_GB2312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</w:rPr>
        <w:t>万元，国有资本经营预算拨款</w:t>
      </w:r>
      <w:r>
        <w:rPr>
          <w:rFonts w:hint="eastAsia" w:eastAsia="仿宋_GB2312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</w:rPr>
        <w:t>万元，纳入专户管理的非税收入</w:t>
      </w:r>
      <w:r>
        <w:rPr>
          <w:rFonts w:hint="eastAsia" w:eastAsia="仿宋_GB2312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</w:rPr>
        <w:t>万元，</w:t>
      </w:r>
      <w:r>
        <w:rPr>
          <w:rFonts w:hint="eastAsia" w:eastAsia="仿宋_GB2312"/>
          <w:sz w:val="32"/>
          <w:szCs w:val="32"/>
        </w:rPr>
        <w:t>上级补助收入</w:t>
      </w:r>
      <w:r>
        <w:rPr>
          <w:rFonts w:eastAsia="仿宋_GB2312"/>
          <w:sz w:val="32"/>
          <w:szCs w:val="32"/>
          <w:u w:val="single"/>
        </w:rPr>
        <w:t>200.65</w:t>
      </w:r>
      <w:r>
        <w:rPr>
          <w:rFonts w:hint="eastAsia" w:eastAsia="仿宋_GB2312"/>
          <w:sz w:val="32"/>
          <w:szCs w:val="32"/>
        </w:rPr>
        <w:t>万元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/>
          <w:b/>
          <w:sz w:val="32"/>
          <w:szCs w:val="32"/>
        </w:rPr>
        <w:t>收入较去年增加</w:t>
      </w:r>
      <w:r>
        <w:rPr>
          <w:rFonts w:hint="eastAsia" w:eastAsia="仿宋_GB2312"/>
          <w:b/>
          <w:sz w:val="32"/>
          <w:szCs w:val="32"/>
          <w:u w:val="single"/>
        </w:rPr>
        <w:t>71.92</w:t>
      </w:r>
      <w:r>
        <w:rPr>
          <w:rFonts w:eastAsia="仿宋_GB2312"/>
          <w:b/>
          <w:sz w:val="32"/>
          <w:szCs w:val="32"/>
        </w:rPr>
        <w:t>万元，主要是</w:t>
      </w:r>
      <w:r>
        <w:rPr>
          <w:rFonts w:hint="eastAsia" w:eastAsia="仿宋_GB2312"/>
          <w:b/>
          <w:sz w:val="32"/>
          <w:szCs w:val="32"/>
        </w:rPr>
        <w:t>工资福利有所提高，生均公用经费提标</w:t>
      </w:r>
      <w:r>
        <w:rPr>
          <w:rFonts w:eastAsia="仿宋_GB2312"/>
          <w:b/>
          <w:sz w:val="32"/>
          <w:szCs w:val="32"/>
        </w:rPr>
        <w:t>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（二）支出预算：</w:t>
      </w:r>
      <w:r>
        <w:rPr>
          <w:rFonts w:eastAsia="仿宋_GB2312"/>
          <w:sz w:val="32"/>
          <w:szCs w:val="32"/>
        </w:rPr>
        <w:t>2024年本部门支出预算</w:t>
      </w:r>
      <w:r>
        <w:rPr>
          <w:rFonts w:hint="eastAsia" w:eastAsia="仿宋_GB2312"/>
          <w:sz w:val="32"/>
          <w:szCs w:val="32"/>
          <w:u w:val="single"/>
        </w:rPr>
        <w:t>2967.56</w:t>
      </w:r>
      <w:r>
        <w:rPr>
          <w:rFonts w:eastAsia="仿宋_GB2312"/>
          <w:sz w:val="32"/>
          <w:szCs w:val="32"/>
        </w:rPr>
        <w:t>万元，其中，一般公共服务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万元，公共安全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万元，教育</w:t>
      </w:r>
      <w:r>
        <w:rPr>
          <w:rFonts w:hint="eastAsia" w:eastAsia="仿宋_GB2312"/>
          <w:sz w:val="32"/>
          <w:szCs w:val="32"/>
          <w:u w:val="single"/>
        </w:rPr>
        <w:t>2967.56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万元，科学技术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万元。</w:t>
      </w:r>
      <w:r>
        <w:rPr>
          <w:rFonts w:eastAsia="仿宋_GB2312"/>
          <w:b/>
          <w:sz w:val="32"/>
          <w:szCs w:val="32"/>
        </w:rPr>
        <w:t>支出较去年增加</w:t>
      </w:r>
      <w:r>
        <w:rPr>
          <w:rFonts w:hint="eastAsia" w:eastAsia="仿宋_GB2312"/>
          <w:b/>
          <w:sz w:val="32"/>
          <w:szCs w:val="32"/>
          <w:u w:val="single"/>
        </w:rPr>
        <w:t>71.92</w:t>
      </w:r>
      <w:r>
        <w:rPr>
          <w:rFonts w:eastAsia="仿宋_GB2312"/>
          <w:b/>
          <w:sz w:val="32"/>
          <w:szCs w:val="32"/>
        </w:rPr>
        <w:t>万元，主要是</w:t>
      </w:r>
      <w:r>
        <w:rPr>
          <w:rFonts w:hint="eastAsia" w:eastAsia="仿宋_GB2312"/>
          <w:b/>
          <w:sz w:val="32"/>
          <w:szCs w:val="32"/>
        </w:rPr>
        <w:t>工资福利有所提高，生均公用经费提标</w:t>
      </w:r>
      <w:r>
        <w:rPr>
          <w:rFonts w:eastAsia="仿宋_GB2312"/>
          <w:b/>
          <w:sz w:val="32"/>
          <w:szCs w:val="32"/>
        </w:rPr>
        <w:t>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四、一般公共预算拨款支出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仿宋_GB2312"/>
          <w:sz w:val="32"/>
          <w:szCs w:val="32"/>
        </w:rPr>
        <w:t>2024年本部门一般公共预算拨款支出预算</w:t>
      </w:r>
      <w:r>
        <w:rPr>
          <w:rFonts w:hint="eastAsia" w:eastAsia="仿宋_GB2312"/>
          <w:sz w:val="32"/>
          <w:szCs w:val="32"/>
          <w:u w:val="single"/>
        </w:rPr>
        <w:t>2766.91</w:t>
      </w:r>
      <w:r>
        <w:rPr>
          <w:rFonts w:eastAsia="仿宋_GB2312"/>
          <w:sz w:val="32"/>
          <w:szCs w:val="32"/>
        </w:rPr>
        <w:t>万元，其中，一般公共服务支出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万元，占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 xml:space="preserve"> %；公共安全支出</w:t>
      </w:r>
      <w:r>
        <w:rPr>
          <w:rFonts w:hint="eastAsia" w:eastAsia="仿宋_GB2312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</w:rPr>
        <w:t>万元，占</w:t>
      </w:r>
      <w:r>
        <w:rPr>
          <w:rFonts w:hint="eastAsia" w:eastAsia="仿宋_GB2312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 xml:space="preserve"> %；教育</w:t>
      </w:r>
      <w:r>
        <w:rPr>
          <w:rFonts w:hint="eastAsia" w:eastAsia="仿宋_GB2312"/>
          <w:sz w:val="32"/>
          <w:szCs w:val="32"/>
          <w:u w:val="single"/>
        </w:rPr>
        <w:t>2766.91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占</w:t>
      </w:r>
      <w:r>
        <w:rPr>
          <w:rFonts w:hint="eastAsia" w:eastAsia="仿宋_GB2312"/>
          <w:sz w:val="32"/>
          <w:szCs w:val="32"/>
          <w:u w:val="single"/>
        </w:rPr>
        <w:t>100</w:t>
      </w:r>
      <w:r>
        <w:rPr>
          <w:rFonts w:eastAsia="仿宋_GB2312"/>
          <w:sz w:val="32"/>
          <w:szCs w:val="32"/>
        </w:rPr>
        <w:t xml:space="preserve"> %。具体安排情况如下：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（一）基本支出：</w:t>
      </w:r>
      <w:r>
        <w:rPr>
          <w:rFonts w:eastAsia="仿宋_GB2312"/>
          <w:sz w:val="32"/>
          <w:szCs w:val="32"/>
        </w:rPr>
        <w:t>2024年本部门基本支出预算数</w:t>
      </w:r>
      <w:r>
        <w:rPr>
          <w:rFonts w:hint="eastAsia" w:ascii="仿宋_GB2312" w:eastAsia="仿宋_GB2312"/>
          <w:sz w:val="32"/>
          <w:szCs w:val="32"/>
          <w:u w:val="single"/>
        </w:rPr>
        <w:t>2738.95</w:t>
      </w:r>
      <w:r>
        <w:rPr>
          <w:rFonts w:eastAsia="仿宋_GB2312"/>
          <w:sz w:val="32"/>
          <w:szCs w:val="32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（二）项目支出：</w:t>
      </w:r>
      <w:r>
        <w:rPr>
          <w:rFonts w:eastAsia="仿宋_GB2312"/>
          <w:sz w:val="32"/>
          <w:szCs w:val="32"/>
        </w:rPr>
        <w:t>2024年本部门项目支出预算</w:t>
      </w:r>
      <w:r>
        <w:rPr>
          <w:rFonts w:hint="eastAsia" w:ascii="仿宋_GB2312" w:eastAsia="仿宋_GB2312"/>
          <w:sz w:val="32"/>
          <w:szCs w:val="32"/>
          <w:u w:val="single"/>
        </w:rPr>
        <w:t>27.96</w:t>
      </w:r>
      <w:r>
        <w:rPr>
          <w:rFonts w:eastAsia="仿宋_GB2312"/>
          <w:sz w:val="32"/>
          <w:szCs w:val="32"/>
        </w:rPr>
        <w:t>万元，主要是部门为完成特定行政工作任务或事业发展目标而发生的支出，包括有关事业发展专项、专项业务费、基本建设支出等，其中：</w:t>
      </w:r>
      <w:r>
        <w:rPr>
          <w:rFonts w:hint="eastAsia" w:eastAsia="仿宋_GB2312"/>
          <w:sz w:val="32"/>
          <w:szCs w:val="32"/>
        </w:rPr>
        <w:t>学前生均公用经费</w:t>
      </w:r>
      <w:r>
        <w:rPr>
          <w:rFonts w:eastAsia="仿宋_GB2312"/>
          <w:sz w:val="32"/>
          <w:szCs w:val="32"/>
        </w:rPr>
        <w:t>支出</w:t>
      </w:r>
      <w:r>
        <w:rPr>
          <w:rFonts w:hint="eastAsia" w:eastAsia="仿宋_GB2312"/>
          <w:sz w:val="32"/>
          <w:szCs w:val="32"/>
          <w:u w:val="single"/>
        </w:rPr>
        <w:t>8.5</w:t>
      </w:r>
      <w:r>
        <w:rPr>
          <w:rFonts w:eastAsia="仿宋_GB2312"/>
          <w:sz w:val="32"/>
          <w:szCs w:val="32"/>
        </w:rPr>
        <w:t>万元，</w:t>
      </w:r>
      <w:r>
        <w:rPr>
          <w:rFonts w:hint="eastAsia" w:eastAsia="仿宋_GB2312"/>
          <w:sz w:val="32"/>
          <w:szCs w:val="32"/>
        </w:rPr>
        <w:t>义务教育生均公用经费（小学）</w:t>
      </w:r>
      <w:r>
        <w:rPr>
          <w:rFonts w:hint="eastAsia" w:eastAsia="仿宋_GB2312"/>
          <w:sz w:val="32"/>
          <w:szCs w:val="32"/>
          <w:u w:val="single"/>
        </w:rPr>
        <w:t>11.96</w:t>
      </w:r>
      <w:r>
        <w:rPr>
          <w:rFonts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</w:rPr>
        <w:t>，义务教育生均公用经费（初中）</w:t>
      </w:r>
      <w:r>
        <w:rPr>
          <w:rFonts w:hint="eastAsia" w:eastAsia="仿宋_GB2312"/>
          <w:sz w:val="32"/>
          <w:szCs w:val="32"/>
          <w:u w:val="single"/>
        </w:rPr>
        <w:t>7.5</w:t>
      </w:r>
      <w:r>
        <w:rPr>
          <w:rFonts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主要用于</w:t>
      </w:r>
      <w:r>
        <w:rPr>
          <w:rFonts w:hint="eastAsia" w:eastAsia="仿宋_GB2312"/>
          <w:sz w:val="32"/>
          <w:szCs w:val="32"/>
        </w:rPr>
        <w:t>教学条件改善，保证学校正常运转</w:t>
      </w:r>
      <w:r>
        <w:rPr>
          <w:rFonts w:eastAsia="仿宋_GB2312"/>
          <w:sz w:val="32"/>
          <w:szCs w:val="32"/>
        </w:rPr>
        <w:t>等方面。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五、政府性基金预算支出</w:t>
      </w:r>
    </w:p>
    <w:p>
      <w:pPr>
        <w:spacing w:line="560" w:lineRule="exact"/>
        <w:ind w:firstLine="645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eastAsia="仿宋_GB2312"/>
          <w:kern w:val="0"/>
          <w:sz w:val="32"/>
          <w:szCs w:val="32"/>
        </w:rPr>
        <w:t>本单位无政府性基金预算安排的支出。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 “三公”经费预算：</w:t>
      </w:r>
      <w:r>
        <w:rPr>
          <w:rFonts w:eastAsia="仿宋_GB2312"/>
          <w:sz w:val="32"/>
          <w:szCs w:val="32"/>
        </w:rPr>
        <w:t>2024年本部门机关本级、</w:t>
      </w:r>
      <w:r>
        <w:rPr>
          <w:rFonts w:hint="eastAsia" w:eastAsia="仿宋_GB2312"/>
          <w:sz w:val="32"/>
          <w:szCs w:val="32"/>
        </w:rPr>
        <w:t>杨嘉桥中学、雁坪中学、荆洲中学、峡山口中学、杨嘉桥中心小学、荆洲中心小学、三合小学、杨嘉桥中心幼儿园</w:t>
      </w:r>
      <w:r>
        <w:rPr>
          <w:rFonts w:eastAsia="仿宋_GB2312"/>
          <w:sz w:val="32"/>
          <w:szCs w:val="32"/>
        </w:rPr>
        <w:t>等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</w:rPr>
        <w:t>9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家行政事业单位“三公”经费预算数为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万元，其中，公务接待费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</w:rPr>
        <w:t>万元，公务用车购置及运行费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万元（其中，公务用车购置费 万元，公务用车运行费 万元），因公出国（境）费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sz w:val="32"/>
          <w:szCs w:val="32"/>
        </w:rPr>
        <w:t>万元。2024年“三公”经费预算较202</w:t>
      </w:r>
      <w:r>
        <w:rPr>
          <w:rFonts w:hint="eastAsia"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年减少（增加或持平）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  <w:u w:val="single"/>
        </w:rPr>
        <w:t>2.4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万元，主要是</w:t>
      </w:r>
      <w:r>
        <w:rPr>
          <w:rFonts w:hint="eastAsia" w:ascii="仿宋_GB2312" w:eastAsia="仿宋_GB2312"/>
          <w:sz w:val="32"/>
          <w:szCs w:val="32"/>
        </w:rPr>
        <w:t>在公务接待方面我们严格按公务接待标准和要求执行，尽量减少接待人次和餐数。</w:t>
      </w:r>
    </w:p>
    <w:p>
      <w:pPr>
        <w:widowControl/>
        <w:spacing w:line="600" w:lineRule="exact"/>
        <w:ind w:firstLine="660"/>
        <w:rPr>
          <w:rFonts w:eastAsia="仿宋_GB2312"/>
          <w:kern w:val="0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（三）一般性支出情况：</w:t>
      </w:r>
      <w:r>
        <w:rPr>
          <w:rFonts w:eastAsia="仿宋_GB2312"/>
          <w:kern w:val="0"/>
          <w:sz w:val="32"/>
          <w:szCs w:val="32"/>
        </w:rPr>
        <w:t>2024年本部门会议费预算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</w:rPr>
        <w:t>5.25</w:t>
      </w:r>
      <w:r>
        <w:rPr>
          <w:rFonts w:eastAsia="仿宋_GB2312"/>
          <w:kern w:val="0"/>
          <w:sz w:val="32"/>
          <w:szCs w:val="32"/>
        </w:rPr>
        <w:t>万元，拟召开</w:t>
      </w:r>
      <w:r>
        <w:rPr>
          <w:rFonts w:hint="eastAsia" w:eastAsia="仿宋_GB2312"/>
          <w:sz w:val="32"/>
          <w:szCs w:val="32"/>
          <w:u w:val="single"/>
        </w:rPr>
        <w:t>50次</w:t>
      </w:r>
      <w:r>
        <w:rPr>
          <w:rFonts w:eastAsia="仿宋_GB2312"/>
          <w:kern w:val="0"/>
          <w:sz w:val="32"/>
          <w:szCs w:val="32"/>
        </w:rPr>
        <w:t>会议，人数</w:t>
      </w:r>
      <w:r>
        <w:rPr>
          <w:rFonts w:hint="eastAsia" w:eastAsia="仿宋_GB2312"/>
          <w:sz w:val="32"/>
          <w:szCs w:val="32"/>
          <w:u w:val="single"/>
        </w:rPr>
        <w:t>800</w:t>
      </w:r>
      <w:r>
        <w:rPr>
          <w:rFonts w:eastAsia="仿宋_GB2312"/>
          <w:kern w:val="0"/>
          <w:sz w:val="32"/>
          <w:szCs w:val="32"/>
        </w:rPr>
        <w:t>人，内容为</w:t>
      </w:r>
      <w:r>
        <w:rPr>
          <w:rFonts w:hint="eastAsia" w:eastAsia="仿宋_GB2312"/>
          <w:kern w:val="0"/>
          <w:sz w:val="32"/>
          <w:szCs w:val="32"/>
        </w:rPr>
        <w:t>例会、教育教学工作会议、安全会议、防疫会议、各种应急处置会议</w:t>
      </w:r>
      <w:r>
        <w:rPr>
          <w:rFonts w:eastAsia="仿宋_GB2312"/>
          <w:kern w:val="0"/>
          <w:sz w:val="32"/>
          <w:szCs w:val="32"/>
        </w:rPr>
        <w:t>；培训费预算</w:t>
      </w:r>
      <w:r>
        <w:rPr>
          <w:rFonts w:hint="eastAsia" w:eastAsia="仿宋_GB2312"/>
          <w:sz w:val="32"/>
          <w:szCs w:val="32"/>
          <w:u w:val="single"/>
        </w:rPr>
        <w:t>8.76</w:t>
      </w:r>
      <w:r>
        <w:rPr>
          <w:rFonts w:eastAsia="仿宋_GB2312"/>
          <w:kern w:val="0"/>
          <w:sz w:val="32"/>
          <w:szCs w:val="32"/>
        </w:rPr>
        <w:t>万元，拟开展</w:t>
      </w:r>
      <w:r>
        <w:rPr>
          <w:rFonts w:hint="eastAsia" w:eastAsia="仿宋_GB2312"/>
          <w:sz w:val="32"/>
          <w:szCs w:val="32"/>
          <w:u w:val="single"/>
        </w:rPr>
        <w:t>40次</w:t>
      </w:r>
      <w:r>
        <w:rPr>
          <w:rFonts w:eastAsia="仿宋_GB2312"/>
          <w:kern w:val="0"/>
          <w:sz w:val="32"/>
          <w:szCs w:val="32"/>
        </w:rPr>
        <w:t>培训，人数</w:t>
      </w:r>
      <w:r>
        <w:rPr>
          <w:rFonts w:hint="eastAsia" w:eastAsia="仿宋_GB2312"/>
          <w:sz w:val="32"/>
          <w:szCs w:val="32"/>
          <w:u w:val="single"/>
        </w:rPr>
        <w:t>200</w:t>
      </w:r>
      <w:r>
        <w:rPr>
          <w:rFonts w:eastAsia="仿宋_GB2312"/>
          <w:kern w:val="0"/>
          <w:sz w:val="32"/>
          <w:szCs w:val="32"/>
        </w:rPr>
        <w:t>人，内容为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</w:rPr>
        <w:t>教学业务能力、食品安全、防溺水、防欺凌、防性侵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</w:rPr>
        <w:t>、防疫、交通安全及上级安排的相关培训</w:t>
      </w:r>
      <w:r>
        <w:rPr>
          <w:rFonts w:eastAsia="仿宋_GB2312"/>
          <w:kern w:val="0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（四）政府采购情况：</w:t>
      </w:r>
      <w:r>
        <w:rPr>
          <w:rFonts w:eastAsia="仿宋_GB2312"/>
          <w:sz w:val="32"/>
          <w:szCs w:val="32"/>
        </w:rPr>
        <w:t>2024年本部门政府采购预算总额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hint="eastAsia" w:eastAsia="仿宋_GB2312"/>
          <w:sz w:val="32"/>
          <w:szCs w:val="32"/>
          <w:u w:val="single"/>
        </w:rPr>
        <w:t>35.91</w:t>
      </w:r>
      <w:r>
        <w:rPr>
          <w:rFonts w:eastAsia="仿宋_GB2312"/>
          <w:sz w:val="32"/>
          <w:szCs w:val="32"/>
        </w:rPr>
        <w:t>万元，其中，货物类采购预算</w:t>
      </w:r>
      <w:r>
        <w:rPr>
          <w:rFonts w:hint="eastAsia" w:eastAsia="仿宋_GB2312"/>
          <w:sz w:val="32"/>
          <w:szCs w:val="32"/>
          <w:u w:val="single"/>
        </w:rPr>
        <w:t>35.91</w:t>
      </w:r>
      <w:r>
        <w:rPr>
          <w:rFonts w:eastAsia="仿宋_GB2312"/>
          <w:sz w:val="32"/>
          <w:szCs w:val="32"/>
        </w:rPr>
        <w:t>万元；工程类采购预算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万元；服务类采购预算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jc w:val="left"/>
        <w:rPr>
          <w:rFonts w:eastAsia="仿宋_GB2312"/>
          <w:bCs/>
          <w:kern w:val="0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（五）国有资产占用使用及新增资产配置情况：</w:t>
      </w:r>
      <w:r>
        <w:rPr>
          <w:rFonts w:eastAsia="仿宋_GB2312"/>
          <w:sz w:val="32"/>
          <w:szCs w:val="32"/>
        </w:rPr>
        <w:t>截至202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bookmarkStart w:id="1" w:name="_GoBack"/>
      <w:bookmarkEnd w:id="1"/>
      <w:r>
        <w:rPr>
          <w:rFonts w:eastAsia="仿宋_GB2312"/>
          <w:sz w:val="32"/>
          <w:szCs w:val="32"/>
        </w:rPr>
        <w:t>年12月底，本部门</w:t>
      </w:r>
      <w:r>
        <w:rPr>
          <w:rFonts w:eastAsia="仿宋_GB2312"/>
          <w:bCs/>
          <w:kern w:val="0"/>
          <w:sz w:val="32"/>
          <w:szCs w:val="32"/>
        </w:rPr>
        <w:t>共有公务用车</w:t>
      </w:r>
      <w:r>
        <w:rPr>
          <w:rFonts w:hint="eastAsia" w:eastAsia="仿宋_GB2312"/>
          <w:bCs/>
          <w:kern w:val="0"/>
          <w:sz w:val="32"/>
          <w:szCs w:val="32"/>
          <w:u w:val="single"/>
        </w:rPr>
        <w:t>0</w:t>
      </w:r>
      <w:r>
        <w:rPr>
          <w:rFonts w:eastAsia="仿宋_GB2312"/>
          <w:bCs/>
          <w:kern w:val="0"/>
          <w:sz w:val="32"/>
          <w:szCs w:val="32"/>
        </w:rPr>
        <w:t>辆，其中，机要通信用车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hint="eastAsia" w:eastAsia="仿宋_GB2312"/>
          <w:bCs/>
          <w:kern w:val="0"/>
          <w:sz w:val="32"/>
          <w:szCs w:val="32"/>
          <w:u w:val="single"/>
        </w:rPr>
        <w:t>0</w:t>
      </w:r>
      <w:r>
        <w:rPr>
          <w:rFonts w:eastAsia="仿宋_GB2312"/>
          <w:bCs/>
          <w:kern w:val="0"/>
          <w:sz w:val="32"/>
          <w:szCs w:val="32"/>
        </w:rPr>
        <w:t>辆，应急保障用车</w:t>
      </w:r>
      <w:r>
        <w:rPr>
          <w:rFonts w:hint="eastAsia" w:eastAsia="仿宋_GB2312"/>
          <w:bCs/>
          <w:kern w:val="0"/>
          <w:sz w:val="32"/>
          <w:szCs w:val="32"/>
          <w:u w:val="single"/>
        </w:rPr>
        <w:t>0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eastAsia="仿宋_GB2312"/>
          <w:bCs/>
          <w:kern w:val="0"/>
          <w:sz w:val="32"/>
          <w:szCs w:val="32"/>
        </w:rPr>
        <w:t>辆，执法执勤用车</w:t>
      </w:r>
      <w:r>
        <w:rPr>
          <w:rFonts w:hint="eastAsia" w:eastAsia="仿宋_GB2312"/>
          <w:bCs/>
          <w:kern w:val="0"/>
          <w:sz w:val="32"/>
          <w:szCs w:val="32"/>
          <w:u w:val="single"/>
        </w:rPr>
        <w:t>0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eastAsia="仿宋_GB2312"/>
          <w:bCs/>
          <w:kern w:val="0"/>
          <w:sz w:val="32"/>
          <w:szCs w:val="32"/>
        </w:rPr>
        <w:t>辆，特种专业技术用车</w:t>
      </w:r>
      <w:r>
        <w:rPr>
          <w:rFonts w:hint="eastAsia" w:eastAsia="仿宋_GB2312"/>
          <w:bCs/>
          <w:kern w:val="0"/>
          <w:sz w:val="32"/>
          <w:szCs w:val="32"/>
          <w:u w:val="single"/>
        </w:rPr>
        <w:t>0</w:t>
      </w:r>
      <w:r>
        <w:rPr>
          <w:rFonts w:eastAsia="仿宋_GB2312"/>
          <w:bCs/>
          <w:kern w:val="0"/>
          <w:sz w:val="32"/>
          <w:szCs w:val="32"/>
        </w:rPr>
        <w:t>辆，其他按照规定配备的公务用车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hint="eastAsia" w:eastAsia="仿宋_GB2312"/>
          <w:bCs/>
          <w:kern w:val="0"/>
          <w:sz w:val="32"/>
          <w:szCs w:val="32"/>
          <w:u w:val="single"/>
        </w:rPr>
        <w:t>0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eastAsia="仿宋_GB2312"/>
          <w:bCs/>
          <w:kern w:val="0"/>
          <w:sz w:val="32"/>
          <w:szCs w:val="32"/>
        </w:rPr>
        <w:t>辆；单位价值50万元以上通用设备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hint="eastAsia" w:eastAsia="仿宋_GB2312"/>
          <w:bCs/>
          <w:kern w:val="0"/>
          <w:sz w:val="32"/>
          <w:szCs w:val="32"/>
          <w:u w:val="single"/>
        </w:rPr>
        <w:t>0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eastAsia="仿宋_GB2312"/>
          <w:bCs/>
          <w:kern w:val="0"/>
          <w:sz w:val="32"/>
          <w:szCs w:val="32"/>
        </w:rPr>
        <w:t>台，单位价值100万元以上专用设备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hint="eastAsia" w:eastAsia="仿宋_GB2312"/>
          <w:bCs/>
          <w:kern w:val="0"/>
          <w:sz w:val="32"/>
          <w:szCs w:val="32"/>
          <w:u w:val="single"/>
        </w:rPr>
        <w:t>0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eastAsia="仿宋_GB2312"/>
          <w:bCs/>
          <w:kern w:val="0"/>
          <w:sz w:val="32"/>
          <w:szCs w:val="32"/>
        </w:rPr>
        <w:t>台。2024年拟新增配置公务用车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hint="eastAsia" w:eastAsia="仿宋_GB2312"/>
          <w:bCs/>
          <w:kern w:val="0"/>
          <w:sz w:val="32"/>
          <w:szCs w:val="32"/>
          <w:u w:val="single"/>
        </w:rPr>
        <w:t>0</w:t>
      </w:r>
      <w:r>
        <w:rPr>
          <w:rFonts w:eastAsia="仿宋_GB2312"/>
          <w:bCs/>
          <w:kern w:val="0"/>
          <w:sz w:val="32"/>
          <w:szCs w:val="32"/>
        </w:rPr>
        <w:t>辆，其中，机要通信用车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hint="eastAsia" w:eastAsia="仿宋_GB2312"/>
          <w:bCs/>
          <w:kern w:val="0"/>
          <w:sz w:val="32"/>
          <w:szCs w:val="32"/>
          <w:u w:val="single"/>
        </w:rPr>
        <w:t>0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eastAsia="仿宋_GB2312"/>
          <w:bCs/>
          <w:kern w:val="0"/>
          <w:sz w:val="32"/>
          <w:szCs w:val="32"/>
        </w:rPr>
        <w:t>辆，应急保障用车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hint="eastAsia" w:eastAsia="仿宋_GB2312"/>
          <w:bCs/>
          <w:kern w:val="0"/>
          <w:sz w:val="32"/>
          <w:szCs w:val="32"/>
          <w:u w:val="single"/>
        </w:rPr>
        <w:t>0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eastAsia="仿宋_GB2312"/>
          <w:bCs/>
          <w:kern w:val="0"/>
          <w:sz w:val="32"/>
          <w:szCs w:val="32"/>
        </w:rPr>
        <w:t>辆，执法执勤用车</w:t>
      </w:r>
      <w:r>
        <w:rPr>
          <w:rFonts w:hint="eastAsia" w:eastAsia="仿宋_GB2312"/>
          <w:bCs/>
          <w:kern w:val="0"/>
          <w:sz w:val="32"/>
          <w:szCs w:val="32"/>
          <w:u w:val="single"/>
        </w:rPr>
        <w:t>0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eastAsia="仿宋_GB2312"/>
          <w:bCs/>
          <w:kern w:val="0"/>
          <w:sz w:val="32"/>
          <w:szCs w:val="32"/>
        </w:rPr>
        <w:t>辆，特种专业技术用车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hint="eastAsia" w:eastAsia="仿宋_GB2312"/>
          <w:bCs/>
          <w:kern w:val="0"/>
          <w:sz w:val="32"/>
          <w:szCs w:val="32"/>
          <w:u w:val="single"/>
        </w:rPr>
        <w:t>0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eastAsia="仿宋_GB2312"/>
          <w:bCs/>
          <w:kern w:val="0"/>
          <w:sz w:val="32"/>
          <w:szCs w:val="32"/>
        </w:rPr>
        <w:t>辆，其他按照规定配备的公务用车</w:t>
      </w:r>
      <w:r>
        <w:rPr>
          <w:rFonts w:hint="eastAsia" w:eastAsia="仿宋_GB2312"/>
          <w:bCs/>
          <w:kern w:val="0"/>
          <w:sz w:val="32"/>
          <w:szCs w:val="32"/>
          <w:u w:val="single"/>
        </w:rPr>
        <w:t>0</w:t>
      </w:r>
      <w:r>
        <w:rPr>
          <w:rFonts w:eastAsia="仿宋_GB2312"/>
          <w:bCs/>
          <w:kern w:val="0"/>
          <w:sz w:val="32"/>
          <w:szCs w:val="32"/>
        </w:rPr>
        <w:t>辆；新增配备单位价值50万元以上通用设备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hint="eastAsia" w:eastAsia="仿宋_GB2312"/>
          <w:bCs/>
          <w:kern w:val="0"/>
          <w:sz w:val="32"/>
          <w:szCs w:val="32"/>
          <w:u w:val="single"/>
        </w:rPr>
        <w:t>0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eastAsia="仿宋_GB2312"/>
          <w:bCs/>
          <w:kern w:val="0"/>
          <w:sz w:val="32"/>
          <w:szCs w:val="32"/>
        </w:rPr>
        <w:t>台，单位价值100万元以上专用设备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hint="eastAsia" w:eastAsia="仿宋_GB2312"/>
          <w:bCs/>
          <w:kern w:val="0"/>
          <w:sz w:val="32"/>
          <w:szCs w:val="32"/>
          <w:u w:val="single"/>
        </w:rPr>
        <w:t>0</w:t>
      </w:r>
      <w:r>
        <w:rPr>
          <w:rFonts w:eastAsia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eastAsia="仿宋_GB2312"/>
          <w:bCs/>
          <w:kern w:val="0"/>
          <w:sz w:val="32"/>
          <w:szCs w:val="32"/>
        </w:rPr>
        <w:t>台。</w:t>
      </w:r>
    </w:p>
    <w:p>
      <w:pPr>
        <w:widowControl/>
        <w:spacing w:line="600" w:lineRule="exact"/>
        <w:ind w:firstLine="660"/>
        <w:jc w:val="left"/>
        <w:rPr>
          <w:rFonts w:eastAsia="仿宋_GB2312"/>
          <w:bCs/>
          <w:kern w:val="0"/>
          <w:sz w:val="32"/>
          <w:szCs w:val="32"/>
        </w:rPr>
      </w:pPr>
      <w:r>
        <w:rPr>
          <w:rFonts w:eastAsia="楷体_GB2312"/>
          <w:b/>
          <w:bCs/>
          <w:kern w:val="0"/>
          <w:sz w:val="32"/>
          <w:szCs w:val="32"/>
        </w:rPr>
        <w:t>（六）预算绩效目标说明：</w:t>
      </w:r>
      <w:r>
        <w:rPr>
          <w:rFonts w:eastAsia="仿宋_GB2312"/>
          <w:bCs/>
          <w:kern w:val="0"/>
          <w:sz w:val="32"/>
          <w:szCs w:val="32"/>
        </w:rPr>
        <w:t>本部门所有支出实行绩效目标管理。纳入2024年部门整体支出绩效目标的金额为</w:t>
      </w:r>
      <w:r>
        <w:rPr>
          <w:rFonts w:hint="eastAsia" w:eastAsia="仿宋_GB2312"/>
          <w:sz w:val="32"/>
          <w:szCs w:val="32"/>
          <w:u w:val="single"/>
        </w:rPr>
        <w:t>2967.56</w:t>
      </w:r>
      <w:r>
        <w:rPr>
          <w:rFonts w:eastAsia="仿宋_GB2312"/>
          <w:bCs/>
          <w:kern w:val="0"/>
          <w:sz w:val="32"/>
          <w:szCs w:val="32"/>
        </w:rPr>
        <w:t>万元，其中，基本支出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</w:rPr>
        <w:t>2738.95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bCs/>
          <w:kern w:val="0"/>
          <w:sz w:val="32"/>
          <w:szCs w:val="32"/>
        </w:rPr>
        <w:t>万元，项目支出</w:t>
      </w:r>
      <w:r>
        <w:rPr>
          <w:rFonts w:hint="eastAsia" w:ascii="仿宋_GB2312" w:eastAsia="仿宋_GB2312"/>
          <w:sz w:val="32"/>
          <w:szCs w:val="32"/>
          <w:u w:val="single"/>
        </w:rPr>
        <w:t>228.61</w:t>
      </w:r>
      <w:r>
        <w:rPr>
          <w:rFonts w:eastAsia="仿宋_GB2312"/>
          <w:bCs/>
          <w:kern w:val="0"/>
          <w:sz w:val="32"/>
          <w:szCs w:val="32"/>
        </w:rPr>
        <w:t>万元，具体绩效目标详见报表。</w:t>
      </w:r>
    </w:p>
    <w:p>
      <w:pPr>
        <w:widowControl/>
        <w:spacing w:line="600" w:lineRule="exact"/>
        <w:ind w:firstLine="66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七、名词解释</w:t>
      </w:r>
    </w:p>
    <w:p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    </w:t>
      </w:r>
      <w:r>
        <w:rPr>
          <w:rFonts w:eastAsia="仿宋_GB2312"/>
          <w:sz w:val="32"/>
          <w:szCs w:val="32"/>
        </w:rPr>
        <w:t xml:space="preserve"> 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>
      <w:pPr>
        <w:spacing w:line="560" w:lineRule="exact"/>
        <w:jc w:val="center"/>
        <w:rPr>
          <w:rFonts w:eastAsia="仿宋_GB2312"/>
          <w:sz w:val="32"/>
          <w:szCs w:val="32"/>
        </w:rPr>
      </w:pPr>
    </w:p>
    <w:p>
      <w:pPr>
        <w:spacing w:line="560" w:lineRule="exact"/>
        <w:jc w:val="center"/>
        <w:rPr>
          <w:rFonts w:eastAsia="仿宋_GB2312"/>
          <w:sz w:val="32"/>
          <w:szCs w:val="32"/>
        </w:rPr>
      </w:pPr>
    </w:p>
    <w:p>
      <w:pPr>
        <w:spacing w:line="560" w:lineRule="exact"/>
        <w:jc w:val="center"/>
        <w:rPr>
          <w:rFonts w:eastAsia="仿宋_GB2312"/>
          <w:sz w:val="32"/>
          <w:szCs w:val="32"/>
        </w:rPr>
      </w:pPr>
    </w:p>
    <w:p>
      <w:pPr>
        <w:spacing w:line="560" w:lineRule="exact"/>
        <w:jc w:val="center"/>
        <w:rPr>
          <w:rFonts w:eastAsia="仿宋_GB2312"/>
          <w:sz w:val="32"/>
          <w:szCs w:val="32"/>
        </w:rPr>
      </w:pPr>
    </w:p>
    <w:p>
      <w:pPr>
        <w:spacing w:line="560" w:lineRule="exact"/>
        <w:jc w:val="center"/>
        <w:rPr>
          <w:rFonts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" w:hAnsi="仿宋" w:eastAsia="仿宋" w:cs="仿宋"/>
          <w:b/>
          <w:sz w:val="32"/>
          <w:szCs w:val="32"/>
        </w:rPr>
      </w:pPr>
    </w:p>
    <w:p>
      <w:pPr>
        <w:spacing w:line="560" w:lineRule="exact"/>
        <w:jc w:val="center"/>
        <w:rPr>
          <w:rFonts w:ascii="仿宋" w:hAnsi="仿宋" w:eastAsia="仿宋" w:cs="仿宋"/>
          <w:b/>
          <w:sz w:val="32"/>
          <w:szCs w:val="32"/>
        </w:rPr>
      </w:pPr>
    </w:p>
    <w:p>
      <w:pPr>
        <w:spacing w:line="560" w:lineRule="exact"/>
        <w:jc w:val="center"/>
        <w:rPr>
          <w:rFonts w:ascii="仿宋" w:hAnsi="仿宋" w:eastAsia="仿宋" w:cs="仿宋"/>
          <w:b/>
          <w:sz w:val="32"/>
          <w:szCs w:val="32"/>
        </w:rPr>
      </w:pPr>
    </w:p>
    <w:p>
      <w:pPr>
        <w:spacing w:line="560" w:lineRule="exact"/>
        <w:jc w:val="center"/>
        <w:rPr>
          <w:rFonts w:ascii="仿宋" w:hAnsi="仿宋" w:eastAsia="仿宋" w:cs="仿宋"/>
          <w:b/>
          <w:sz w:val="32"/>
          <w:szCs w:val="32"/>
        </w:rPr>
      </w:pPr>
    </w:p>
    <w:p>
      <w:pPr>
        <w:spacing w:line="560" w:lineRule="exact"/>
        <w:jc w:val="center"/>
        <w:rPr>
          <w:rFonts w:ascii="仿宋" w:hAnsi="仿宋" w:eastAsia="仿宋" w:cs="仿宋"/>
          <w:b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spacing w:line="560" w:lineRule="exact"/>
        <w:jc w:val="center"/>
        <w:rPr>
          <w:rFonts w:ascii="仿宋" w:hAnsi="仿宋" w:eastAsia="仿宋" w:cs="仿宋"/>
          <w:b/>
          <w:sz w:val="32"/>
          <w:szCs w:val="32"/>
        </w:rPr>
      </w:pPr>
    </w:p>
    <w:p>
      <w:pPr>
        <w:spacing w:line="560" w:lineRule="exact"/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第二部分  2024年部门预算表</w:t>
      </w:r>
    </w:p>
    <w:p>
      <w:pPr>
        <w:ind w:firstLine="1343" w:firstLineChars="446"/>
        <w:rPr>
          <w:rFonts w:eastAsia="黑体"/>
          <w:color w:val="000000"/>
          <w:kern w:val="0"/>
          <w:sz w:val="2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经费预算公开表格（表1）</w:t>
      </w: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部门收支总表</w:t>
      </w:r>
    </w:p>
    <w:p>
      <w:pPr>
        <w:wordWrap w:val="0"/>
        <w:ind w:right="105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10"/>
        <w:tblW w:w="97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2967.56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2967.56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2766.91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2967.56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200.65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（八）卫生健康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sz w:val="14"/>
                <w:szCs w:val="14"/>
              </w:rPr>
            </w:pPr>
            <w:r>
              <w:rPr>
                <w:color w:val="000000"/>
                <w:kern w:val="0"/>
                <w:szCs w:val="21"/>
              </w:rPr>
              <w:t>2967.56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支出总计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2967.56</w:t>
            </w:r>
          </w:p>
        </w:tc>
      </w:tr>
    </w:tbl>
    <w:p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经费预算公开表格（表2）</w:t>
      </w: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部门收入总表</w:t>
      </w:r>
    </w:p>
    <w:p>
      <w:pPr>
        <w:wordWrap w:val="0"/>
        <w:ind w:right="42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10"/>
        <w:tblW w:w="932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70"/>
        <w:gridCol w:w="500"/>
        <w:gridCol w:w="1579"/>
        <w:gridCol w:w="1110"/>
        <w:gridCol w:w="1015"/>
        <w:gridCol w:w="939"/>
        <w:gridCol w:w="903"/>
        <w:gridCol w:w="408"/>
        <w:gridCol w:w="944"/>
        <w:gridCol w:w="935"/>
        <w:gridCol w:w="3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68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1110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857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4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4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935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37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</w:p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57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1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</w:p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90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4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4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  <w:jc w:val="center"/>
        </w:trPr>
        <w:tc>
          <w:tcPr>
            <w:tcW w:w="34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5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4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4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教育支出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2967.56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2766.91</w:t>
            </w: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2766.91</w:t>
            </w: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200.65</w:t>
            </w: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20502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普通教育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2967.56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2766.91</w:t>
            </w: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2766.91</w:t>
            </w: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200.65</w:t>
            </w: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103" w:firstLineChars="49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2050201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180" w:firstLineChars="100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Cs w:val="21"/>
              </w:rPr>
              <w:t>2050202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180" w:firstLineChars="100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小学教育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2858.57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2657.92</w:t>
            </w: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2657.92</w:t>
            </w: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200.65</w:t>
            </w: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105" w:firstLineChars="5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2050203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180" w:firstLineChars="10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初中教育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74.99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74.99</w:t>
            </w: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74.99</w:t>
            </w: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社会保障和就业支出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20805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行政事业业单位养老支出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2080505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13"/>
                <w:szCs w:val="13"/>
              </w:rPr>
              <w:t>机关事业单位基本养老保险缴费支出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3"/>
                <w:szCs w:val="13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卫生健康支出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21011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3"/>
                <w:szCs w:val="13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行政事业单位医疗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2101102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3"/>
                <w:szCs w:val="13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事业单位医疗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住房保障支出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22102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住房保障支出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2210201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住房公积金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360" w:firstLineChars="200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  计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2967.56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2766.91</w:t>
            </w: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2766.91</w:t>
            </w: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200.65</w:t>
            </w: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>
      <w:pPr>
        <w:jc w:val="center"/>
        <w:rPr>
          <w:color w:val="000000"/>
        </w:rPr>
      </w:pPr>
      <w:r>
        <w:rPr>
          <w:color w:val="000000"/>
        </w:rPr>
        <w:br w:type="column"/>
      </w:r>
    </w:p>
    <w:p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经费预算公开表格（表3）</w:t>
      </w:r>
    </w:p>
    <w:p>
      <w:pPr>
        <w:spacing w:line="240" w:lineRule="exact"/>
        <w:rPr>
          <w:rFonts w:eastAsia="黑体"/>
          <w:color w:val="000000"/>
          <w:kern w:val="0"/>
          <w:sz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部门支出总表</w:t>
      </w: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10"/>
        <w:tblW w:w="9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334"/>
        <w:gridCol w:w="1303"/>
        <w:gridCol w:w="1130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317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1303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334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3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181" w:firstLineChars="100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教育支出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2967.56</w:t>
            </w: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2738.95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228.61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 20502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 普通教育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2967.56</w:t>
            </w: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2738.95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228.61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266" w:firstLineChars="147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2050201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4"/>
                <w:szCs w:val="14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   学前教育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4"/>
                <w:szCs w:val="1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270" w:firstLineChars="150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2050202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  小学教育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2858.57</w:t>
            </w: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2738.95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119.62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270" w:firstLineChars="150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2050203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4"/>
                <w:szCs w:val="14"/>
              </w:rPr>
              <w:t xml:space="preserve">     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初中教育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74.99</w:t>
            </w: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74.99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社会保障和就业支出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 xml:space="preserve">  20805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 xml:space="preserve">  行政事业业单位养老支出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  2080505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3"/>
                <w:szCs w:val="13"/>
              </w:rPr>
              <w:t>机关事业单位基本养老保险缴费支出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     210  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3"/>
                <w:szCs w:val="13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卫生健康支出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21011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3"/>
                <w:szCs w:val="13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行政事业单位医疗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2101102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3"/>
                <w:szCs w:val="13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事业单位医疗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住房保障支出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 xml:space="preserve">  22102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 xml:space="preserve">  住房改革支出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   2210201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   住房公积金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180" w:firstLineChars="100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210" w:firstLineChars="100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210" w:firstLineChars="100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210" w:firstLineChars="10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2967.56</w:t>
            </w: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2738.95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228.61</w:t>
            </w:r>
          </w:p>
        </w:tc>
      </w:tr>
    </w:tbl>
    <w:p>
      <w:pPr>
        <w:spacing w:line="600" w:lineRule="exact"/>
        <w:jc w:val="left"/>
        <w:rPr>
          <w:rFonts w:ascii="仿宋_GB2312" w:eastAsia="仿宋_GB2312"/>
          <w:sz w:val="30"/>
          <w:szCs w:val="30"/>
        </w:rPr>
      </w:pPr>
    </w:p>
    <w:p>
      <w:pPr>
        <w:ind w:firstLine="1042" w:firstLineChars="346"/>
        <w:jc w:val="left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042" w:firstLineChars="346"/>
        <w:jc w:val="left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042" w:firstLineChars="346"/>
        <w:jc w:val="left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经费预算公开表格（表4）</w:t>
      </w:r>
    </w:p>
    <w:p>
      <w:pPr>
        <w:spacing w:line="240" w:lineRule="exact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部门财政拨款收支总表</w:t>
      </w:r>
    </w:p>
    <w:p>
      <w:pPr>
        <w:ind w:right="105"/>
        <w:jc w:val="right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10"/>
        <w:tblW w:w="92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2766.91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2766.91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2766.91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2766.91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（八）卫生健康支出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2766.91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支出总计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2766.91</w:t>
            </w:r>
          </w:p>
        </w:tc>
      </w:tr>
    </w:tbl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黑体"/>
          <w:color w:val="000000"/>
          <w:kern w:val="0"/>
          <w:sz w:val="2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经费预算公开表格（表5）</w:t>
      </w: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一般公共预算支出表</w:t>
      </w:r>
    </w:p>
    <w:p>
      <w:pPr>
        <w:wordWrap w:val="0"/>
        <w:ind w:right="420"/>
        <w:jc w:val="right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10"/>
        <w:tblW w:w="88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383"/>
        <w:gridCol w:w="3278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7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3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7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教育支出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2766.91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2738.95</w:t>
            </w: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27.96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 xml:space="preserve">  20502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 xml:space="preserve">  普通教育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2766.91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2738.95</w:t>
            </w: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27.96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  </w:t>
            </w:r>
            <w:r>
              <w:rPr>
                <w:color w:val="000000"/>
                <w:kern w:val="0"/>
                <w:szCs w:val="21"/>
              </w:rPr>
              <w:t>2050201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  学前教育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8.5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4"/>
                <w:szCs w:val="1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  </w:t>
            </w:r>
            <w:r>
              <w:rPr>
                <w:color w:val="000000"/>
                <w:kern w:val="0"/>
                <w:szCs w:val="21"/>
              </w:rPr>
              <w:t>2050202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  小学教育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2750.91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2738.95</w:t>
            </w: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11.96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420" w:firstLineChars="200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205020</w:t>
            </w: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360" w:firstLineChars="20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初中教育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7.5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社会保障和就业支出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 xml:space="preserve">  20805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 xml:space="preserve">  行政事业业单位养老支出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  2080505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13"/>
                <w:szCs w:val="13"/>
              </w:rPr>
              <w:t>机关事业单位基本养老保险缴费支出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卫生健康支出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211" w:firstLineChars="100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21011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 xml:space="preserve">  行政事业单位医疗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   2101102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事业单位医疗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住房保障支出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 xml:space="preserve">  22102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 xml:space="preserve">  住房改革支出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   2210201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   住房公积金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2766.91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2738.95</w:t>
            </w: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27.96</w:t>
            </w:r>
          </w:p>
        </w:tc>
      </w:tr>
    </w:tbl>
    <w:p>
      <w:pPr>
        <w:rPr>
          <w:color w:val="00000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经费预算公开表格（表6）</w:t>
      </w:r>
    </w:p>
    <w:p>
      <w:pPr>
        <w:spacing w:line="240" w:lineRule="exact"/>
        <w:rPr>
          <w:rFonts w:eastAsia="黑体"/>
          <w:color w:val="000000"/>
          <w:kern w:val="0"/>
          <w:sz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一般公共预算基本支出表</w:t>
      </w:r>
    </w:p>
    <w:p>
      <w:pPr>
        <w:wordWrap w:val="0"/>
        <w:ind w:right="420"/>
        <w:jc w:val="center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 xml:space="preserve">                                                           单位：万元</w:t>
      </w:r>
    </w:p>
    <w:tbl>
      <w:tblPr>
        <w:tblStyle w:val="10"/>
        <w:tblW w:w="91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>301</w:t>
            </w: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工资福利支出　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2,639.89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2,639.89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  <w:r>
              <w:rPr>
                <w:rFonts w:hint="eastAsia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基本工资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991.08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991.08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</w:rPr>
              <w:t>30102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津贴补贴　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87.55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87.55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30103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奖金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414.76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414.76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30107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绩效工资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482.78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482.78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30108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机关事业单位基本养老保险缴费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264.63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264.63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30110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职工基本医疗保险缴费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169.50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169.50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30112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其他社会保障缴费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20.93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20.93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30113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住房公积金　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208.66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208.66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>302</w:t>
            </w: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商品和服务支出　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66.32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66.32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30228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工会经费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29.48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29.48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30229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福利费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36.84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36.84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color w:val="000000"/>
                <w:sz w:val="18"/>
                <w:szCs w:val="18"/>
              </w:rPr>
              <w:t>303</w:t>
            </w:r>
            <w:r>
              <w:rPr>
                <w:rFonts w:hint="eastAsia"/>
                <w:b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对个人和家庭补助　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32.74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32.74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30305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生活补助　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20.45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20.45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30306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奖励金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12.29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4"/>
                <w:szCs w:val="14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12.29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2738.95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2672.63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66.32</w:t>
            </w:r>
          </w:p>
        </w:tc>
      </w:tr>
    </w:tbl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经费预算公开表格（表7）</w:t>
      </w:r>
    </w:p>
    <w:p>
      <w:pPr>
        <w:spacing w:line="240" w:lineRule="exact"/>
        <w:rPr>
          <w:rFonts w:eastAsia="黑体"/>
          <w:color w:val="000000"/>
          <w:kern w:val="0"/>
          <w:sz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</w:rPr>
        <w:t>经费支出表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 xml:space="preserve">  单位：万元</w:t>
      </w:r>
    </w:p>
    <w:tbl>
      <w:tblPr>
        <w:tblStyle w:val="10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724"/>
        <w:gridCol w:w="679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72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7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2.4</w:t>
            </w:r>
          </w:p>
        </w:tc>
        <w:tc>
          <w:tcPr>
            <w:tcW w:w="68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2.4</w:t>
            </w: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4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>
      <w:pPr>
        <w:rPr>
          <w:color w:val="000000"/>
        </w:rPr>
      </w:pPr>
      <w:r>
        <w:rPr>
          <w:rFonts w:hint="eastAsia"/>
          <w:color w:val="000000"/>
        </w:rPr>
        <w:t>中心校没有公务用车运行费用。公务接待严格执行“从严从简、依法依规、节俭办事、标准控制”的原则。</w:t>
      </w:r>
    </w:p>
    <w:p>
      <w:pPr>
        <w:ind w:firstLine="1680" w:firstLineChars="800"/>
        <w:rPr>
          <w:color w:val="000000"/>
        </w:rPr>
      </w:pPr>
      <w:r>
        <w:rPr>
          <w:color w:val="000000"/>
        </w:rPr>
        <w:br w:type="column"/>
      </w:r>
    </w:p>
    <w:p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经费预算公开表格（表8）</w:t>
      </w:r>
    </w:p>
    <w:p>
      <w:pPr>
        <w:spacing w:line="240" w:lineRule="exact"/>
        <w:rPr>
          <w:rFonts w:eastAsia="黑体"/>
          <w:color w:val="000000"/>
          <w:kern w:val="0"/>
          <w:sz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政府性基金预算支出表</w:t>
      </w:r>
    </w:p>
    <w:p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10"/>
        <w:tblW w:w="90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0</w:t>
            </w: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0</w:t>
            </w: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0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　</w:t>
            </w: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　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　</w:t>
            </w:r>
          </w:p>
        </w:tc>
      </w:tr>
    </w:tbl>
    <w:p>
      <w:pPr>
        <w:rPr>
          <w:rFonts w:ascii="仿宋_GB2312" w:eastAsia="仿宋_GB2312"/>
          <w:sz w:val="30"/>
          <w:szCs w:val="30"/>
        </w:rPr>
      </w:pPr>
      <w:bookmarkStart w:id="0" w:name="RANGE_A1_D24"/>
      <w:bookmarkEnd w:id="0"/>
      <w:r>
        <w:rPr>
          <w:rFonts w:hint="eastAsia" w:eastAsia="楷体_GB2312"/>
          <w:bCs/>
          <w:color w:val="000000"/>
          <w:kern w:val="0"/>
          <w:sz w:val="30"/>
          <w:szCs w:val="30"/>
        </w:rPr>
        <w:t>说明：本单位无政府性基金预算安排的支出。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等线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WMyMDIyMzA3YmY3M2MwYmI0NGVjNmM0ODhhMzA3NjQifQ=="/>
  </w:docVars>
  <w:rsids>
    <w:rsidRoot w:val="0C9C0351"/>
    <w:rsid w:val="00002861"/>
    <w:rsid w:val="00004943"/>
    <w:rsid w:val="00023B64"/>
    <w:rsid w:val="00031AFD"/>
    <w:rsid w:val="00034329"/>
    <w:rsid w:val="00040722"/>
    <w:rsid w:val="0005184F"/>
    <w:rsid w:val="00051C53"/>
    <w:rsid w:val="00052FB4"/>
    <w:rsid w:val="00062D77"/>
    <w:rsid w:val="000632D0"/>
    <w:rsid w:val="000657A5"/>
    <w:rsid w:val="000810D3"/>
    <w:rsid w:val="000812CB"/>
    <w:rsid w:val="000820DE"/>
    <w:rsid w:val="00095498"/>
    <w:rsid w:val="00096E9E"/>
    <w:rsid w:val="000B5ECC"/>
    <w:rsid w:val="000C35E5"/>
    <w:rsid w:val="000D0C56"/>
    <w:rsid w:val="000E01F7"/>
    <w:rsid w:val="000E063F"/>
    <w:rsid w:val="000E3669"/>
    <w:rsid w:val="000F00A1"/>
    <w:rsid w:val="000F7BE4"/>
    <w:rsid w:val="00105D2C"/>
    <w:rsid w:val="001141F7"/>
    <w:rsid w:val="0011540C"/>
    <w:rsid w:val="00116EDB"/>
    <w:rsid w:val="001174B2"/>
    <w:rsid w:val="00117EDF"/>
    <w:rsid w:val="0012570D"/>
    <w:rsid w:val="001316A9"/>
    <w:rsid w:val="00135332"/>
    <w:rsid w:val="00143F3F"/>
    <w:rsid w:val="00144DD1"/>
    <w:rsid w:val="00146313"/>
    <w:rsid w:val="001475DA"/>
    <w:rsid w:val="00151F01"/>
    <w:rsid w:val="0015379C"/>
    <w:rsid w:val="001641F4"/>
    <w:rsid w:val="00164E05"/>
    <w:rsid w:val="001A12F5"/>
    <w:rsid w:val="001A21C9"/>
    <w:rsid w:val="001A23F5"/>
    <w:rsid w:val="001B7B51"/>
    <w:rsid w:val="001C07C8"/>
    <w:rsid w:val="001C12D0"/>
    <w:rsid w:val="001D0959"/>
    <w:rsid w:val="001E0F2E"/>
    <w:rsid w:val="001E17A6"/>
    <w:rsid w:val="001E37CD"/>
    <w:rsid w:val="001F037A"/>
    <w:rsid w:val="00200555"/>
    <w:rsid w:val="00204F95"/>
    <w:rsid w:val="002063B2"/>
    <w:rsid w:val="0020686B"/>
    <w:rsid w:val="0021557E"/>
    <w:rsid w:val="00222D3C"/>
    <w:rsid w:val="00222F3B"/>
    <w:rsid w:val="00233A9B"/>
    <w:rsid w:val="002440EB"/>
    <w:rsid w:val="00244FE2"/>
    <w:rsid w:val="00252731"/>
    <w:rsid w:val="00263D0A"/>
    <w:rsid w:val="00272725"/>
    <w:rsid w:val="00275280"/>
    <w:rsid w:val="00275292"/>
    <w:rsid w:val="00280149"/>
    <w:rsid w:val="00280401"/>
    <w:rsid w:val="002812B8"/>
    <w:rsid w:val="00292283"/>
    <w:rsid w:val="00297ABD"/>
    <w:rsid w:val="002A43C7"/>
    <w:rsid w:val="002A630C"/>
    <w:rsid w:val="002A741B"/>
    <w:rsid w:val="002B2626"/>
    <w:rsid w:val="002B2C3F"/>
    <w:rsid w:val="002F4715"/>
    <w:rsid w:val="0030355E"/>
    <w:rsid w:val="00303F27"/>
    <w:rsid w:val="00304299"/>
    <w:rsid w:val="003066AF"/>
    <w:rsid w:val="0031029D"/>
    <w:rsid w:val="003136F2"/>
    <w:rsid w:val="00321998"/>
    <w:rsid w:val="00331D27"/>
    <w:rsid w:val="00332D91"/>
    <w:rsid w:val="00341553"/>
    <w:rsid w:val="003445A6"/>
    <w:rsid w:val="00344FCC"/>
    <w:rsid w:val="003530A5"/>
    <w:rsid w:val="00367365"/>
    <w:rsid w:val="003735A1"/>
    <w:rsid w:val="003807AB"/>
    <w:rsid w:val="00390AA4"/>
    <w:rsid w:val="003A0B06"/>
    <w:rsid w:val="003A0E3D"/>
    <w:rsid w:val="003C6578"/>
    <w:rsid w:val="003C6E57"/>
    <w:rsid w:val="003D4AED"/>
    <w:rsid w:val="003D55A4"/>
    <w:rsid w:val="003D7520"/>
    <w:rsid w:val="003E1C7A"/>
    <w:rsid w:val="003E6026"/>
    <w:rsid w:val="004010E4"/>
    <w:rsid w:val="00410C67"/>
    <w:rsid w:val="00422769"/>
    <w:rsid w:val="00433185"/>
    <w:rsid w:val="00437157"/>
    <w:rsid w:val="00445F2F"/>
    <w:rsid w:val="00461B8B"/>
    <w:rsid w:val="004633CF"/>
    <w:rsid w:val="00465030"/>
    <w:rsid w:val="00467D92"/>
    <w:rsid w:val="00472544"/>
    <w:rsid w:val="00477C80"/>
    <w:rsid w:val="004811DD"/>
    <w:rsid w:val="00482B72"/>
    <w:rsid w:val="004860B7"/>
    <w:rsid w:val="00491CFB"/>
    <w:rsid w:val="004A2416"/>
    <w:rsid w:val="004C1D09"/>
    <w:rsid w:val="004D5FD7"/>
    <w:rsid w:val="004D734B"/>
    <w:rsid w:val="004E3F67"/>
    <w:rsid w:val="004F419C"/>
    <w:rsid w:val="004F5AE8"/>
    <w:rsid w:val="0050242A"/>
    <w:rsid w:val="00504549"/>
    <w:rsid w:val="00505A5C"/>
    <w:rsid w:val="00511743"/>
    <w:rsid w:val="00517DBA"/>
    <w:rsid w:val="00520FF3"/>
    <w:rsid w:val="00521696"/>
    <w:rsid w:val="00524F23"/>
    <w:rsid w:val="00525E4E"/>
    <w:rsid w:val="00525F48"/>
    <w:rsid w:val="005453E4"/>
    <w:rsid w:val="005574F5"/>
    <w:rsid w:val="005574FF"/>
    <w:rsid w:val="00561DB8"/>
    <w:rsid w:val="0056293C"/>
    <w:rsid w:val="00572874"/>
    <w:rsid w:val="00577BFE"/>
    <w:rsid w:val="005865DF"/>
    <w:rsid w:val="005876E2"/>
    <w:rsid w:val="00595A56"/>
    <w:rsid w:val="00597FC4"/>
    <w:rsid w:val="005A2734"/>
    <w:rsid w:val="005A5D9B"/>
    <w:rsid w:val="005B0A54"/>
    <w:rsid w:val="005B1DB7"/>
    <w:rsid w:val="005B3528"/>
    <w:rsid w:val="005B52C6"/>
    <w:rsid w:val="005B6E83"/>
    <w:rsid w:val="005C6ACE"/>
    <w:rsid w:val="005D0FD7"/>
    <w:rsid w:val="005D6CF6"/>
    <w:rsid w:val="005E41B1"/>
    <w:rsid w:val="005E5A92"/>
    <w:rsid w:val="005F0FF9"/>
    <w:rsid w:val="006133C2"/>
    <w:rsid w:val="00615811"/>
    <w:rsid w:val="00616400"/>
    <w:rsid w:val="0061706E"/>
    <w:rsid w:val="006255D6"/>
    <w:rsid w:val="00630F07"/>
    <w:rsid w:val="006353A1"/>
    <w:rsid w:val="0064624F"/>
    <w:rsid w:val="00654EBA"/>
    <w:rsid w:val="00657BEE"/>
    <w:rsid w:val="00660CB7"/>
    <w:rsid w:val="0066785F"/>
    <w:rsid w:val="006705B4"/>
    <w:rsid w:val="00674684"/>
    <w:rsid w:val="00675154"/>
    <w:rsid w:val="0068119F"/>
    <w:rsid w:val="006A72AF"/>
    <w:rsid w:val="006B174C"/>
    <w:rsid w:val="006B3F59"/>
    <w:rsid w:val="006C4D2C"/>
    <w:rsid w:val="006E43F6"/>
    <w:rsid w:val="006E597C"/>
    <w:rsid w:val="0072675F"/>
    <w:rsid w:val="00727CFE"/>
    <w:rsid w:val="00734074"/>
    <w:rsid w:val="007411EB"/>
    <w:rsid w:val="00743F8F"/>
    <w:rsid w:val="00754962"/>
    <w:rsid w:val="007558DD"/>
    <w:rsid w:val="00770C00"/>
    <w:rsid w:val="007718D4"/>
    <w:rsid w:val="00773808"/>
    <w:rsid w:val="00781EDC"/>
    <w:rsid w:val="00782A85"/>
    <w:rsid w:val="00784CB4"/>
    <w:rsid w:val="00786FBA"/>
    <w:rsid w:val="007903DC"/>
    <w:rsid w:val="00791CBD"/>
    <w:rsid w:val="00792B85"/>
    <w:rsid w:val="00795BD4"/>
    <w:rsid w:val="007973B5"/>
    <w:rsid w:val="007A732D"/>
    <w:rsid w:val="007C0BF7"/>
    <w:rsid w:val="007C6EE9"/>
    <w:rsid w:val="007D09F3"/>
    <w:rsid w:val="007D4E4C"/>
    <w:rsid w:val="007E0F08"/>
    <w:rsid w:val="007E2446"/>
    <w:rsid w:val="007E2EC1"/>
    <w:rsid w:val="007F14B2"/>
    <w:rsid w:val="007F66A0"/>
    <w:rsid w:val="007F7932"/>
    <w:rsid w:val="008179FF"/>
    <w:rsid w:val="00825B4F"/>
    <w:rsid w:val="00831923"/>
    <w:rsid w:val="008441D3"/>
    <w:rsid w:val="00845BB4"/>
    <w:rsid w:val="00845F28"/>
    <w:rsid w:val="00846D49"/>
    <w:rsid w:val="00851ADC"/>
    <w:rsid w:val="0085325A"/>
    <w:rsid w:val="0085663B"/>
    <w:rsid w:val="00860760"/>
    <w:rsid w:val="0086076C"/>
    <w:rsid w:val="008669E6"/>
    <w:rsid w:val="008711F5"/>
    <w:rsid w:val="008732A2"/>
    <w:rsid w:val="00893473"/>
    <w:rsid w:val="00894065"/>
    <w:rsid w:val="008A2115"/>
    <w:rsid w:val="008A4DD6"/>
    <w:rsid w:val="008C03C7"/>
    <w:rsid w:val="008D2442"/>
    <w:rsid w:val="008E0D2B"/>
    <w:rsid w:val="008E2847"/>
    <w:rsid w:val="009055F0"/>
    <w:rsid w:val="00907A97"/>
    <w:rsid w:val="00915397"/>
    <w:rsid w:val="009208D8"/>
    <w:rsid w:val="009248BE"/>
    <w:rsid w:val="00943670"/>
    <w:rsid w:val="00946912"/>
    <w:rsid w:val="009529E7"/>
    <w:rsid w:val="00960B35"/>
    <w:rsid w:val="00975879"/>
    <w:rsid w:val="00977A7E"/>
    <w:rsid w:val="00982FAE"/>
    <w:rsid w:val="00984261"/>
    <w:rsid w:val="0098438F"/>
    <w:rsid w:val="00992A72"/>
    <w:rsid w:val="009A3075"/>
    <w:rsid w:val="009B385A"/>
    <w:rsid w:val="009B7FBE"/>
    <w:rsid w:val="009C7E0F"/>
    <w:rsid w:val="009D172C"/>
    <w:rsid w:val="009F5EA7"/>
    <w:rsid w:val="00A01CFE"/>
    <w:rsid w:val="00A12996"/>
    <w:rsid w:val="00A16E7A"/>
    <w:rsid w:val="00A17AC3"/>
    <w:rsid w:val="00A239D1"/>
    <w:rsid w:val="00A323D5"/>
    <w:rsid w:val="00A32B13"/>
    <w:rsid w:val="00A3735B"/>
    <w:rsid w:val="00A373FF"/>
    <w:rsid w:val="00A431A6"/>
    <w:rsid w:val="00A45BF7"/>
    <w:rsid w:val="00A50F4E"/>
    <w:rsid w:val="00A61A34"/>
    <w:rsid w:val="00A63E3A"/>
    <w:rsid w:val="00A664F1"/>
    <w:rsid w:val="00A71F81"/>
    <w:rsid w:val="00A722F6"/>
    <w:rsid w:val="00A90F07"/>
    <w:rsid w:val="00A92E52"/>
    <w:rsid w:val="00A9576A"/>
    <w:rsid w:val="00AA34D8"/>
    <w:rsid w:val="00AA4882"/>
    <w:rsid w:val="00AA6BFF"/>
    <w:rsid w:val="00AA7A48"/>
    <w:rsid w:val="00AC190B"/>
    <w:rsid w:val="00AC2D59"/>
    <w:rsid w:val="00AD0275"/>
    <w:rsid w:val="00AD30A1"/>
    <w:rsid w:val="00AE021C"/>
    <w:rsid w:val="00AF235B"/>
    <w:rsid w:val="00AF6534"/>
    <w:rsid w:val="00AF7352"/>
    <w:rsid w:val="00B316D1"/>
    <w:rsid w:val="00B332E6"/>
    <w:rsid w:val="00B34233"/>
    <w:rsid w:val="00B376B0"/>
    <w:rsid w:val="00B41CEF"/>
    <w:rsid w:val="00B44009"/>
    <w:rsid w:val="00B5134A"/>
    <w:rsid w:val="00B5151F"/>
    <w:rsid w:val="00B578B3"/>
    <w:rsid w:val="00B708F5"/>
    <w:rsid w:val="00B728E7"/>
    <w:rsid w:val="00B80D2A"/>
    <w:rsid w:val="00B8640D"/>
    <w:rsid w:val="00B87A91"/>
    <w:rsid w:val="00B92EC7"/>
    <w:rsid w:val="00B95439"/>
    <w:rsid w:val="00BA133C"/>
    <w:rsid w:val="00BA2C7A"/>
    <w:rsid w:val="00BB24A6"/>
    <w:rsid w:val="00BC2E9E"/>
    <w:rsid w:val="00BD7C2D"/>
    <w:rsid w:val="00BE55E1"/>
    <w:rsid w:val="00C108D3"/>
    <w:rsid w:val="00C12725"/>
    <w:rsid w:val="00C16571"/>
    <w:rsid w:val="00C17F6A"/>
    <w:rsid w:val="00C20D03"/>
    <w:rsid w:val="00C25BCA"/>
    <w:rsid w:val="00C32AA3"/>
    <w:rsid w:val="00C33CD0"/>
    <w:rsid w:val="00C3549B"/>
    <w:rsid w:val="00C45CC4"/>
    <w:rsid w:val="00C4611E"/>
    <w:rsid w:val="00C46DE1"/>
    <w:rsid w:val="00C50299"/>
    <w:rsid w:val="00C52BE1"/>
    <w:rsid w:val="00C5617C"/>
    <w:rsid w:val="00C637BB"/>
    <w:rsid w:val="00C814E2"/>
    <w:rsid w:val="00C81D14"/>
    <w:rsid w:val="00C82674"/>
    <w:rsid w:val="00C84013"/>
    <w:rsid w:val="00C96926"/>
    <w:rsid w:val="00CA5B1A"/>
    <w:rsid w:val="00CB0D3E"/>
    <w:rsid w:val="00CB67C8"/>
    <w:rsid w:val="00CC116A"/>
    <w:rsid w:val="00CC13F5"/>
    <w:rsid w:val="00CC3CAD"/>
    <w:rsid w:val="00CC3DCB"/>
    <w:rsid w:val="00CD3CFB"/>
    <w:rsid w:val="00CE39B7"/>
    <w:rsid w:val="00CE6849"/>
    <w:rsid w:val="00CF6D1F"/>
    <w:rsid w:val="00D15F21"/>
    <w:rsid w:val="00D17B90"/>
    <w:rsid w:val="00D2798A"/>
    <w:rsid w:val="00D33A38"/>
    <w:rsid w:val="00D347A3"/>
    <w:rsid w:val="00D37907"/>
    <w:rsid w:val="00D45A74"/>
    <w:rsid w:val="00D5514D"/>
    <w:rsid w:val="00D61EEB"/>
    <w:rsid w:val="00D63D1A"/>
    <w:rsid w:val="00D70FCB"/>
    <w:rsid w:val="00D807A3"/>
    <w:rsid w:val="00D845A7"/>
    <w:rsid w:val="00D849A9"/>
    <w:rsid w:val="00D856EE"/>
    <w:rsid w:val="00D8759B"/>
    <w:rsid w:val="00D9646B"/>
    <w:rsid w:val="00DA5317"/>
    <w:rsid w:val="00DA585E"/>
    <w:rsid w:val="00DB44F6"/>
    <w:rsid w:val="00DB5B32"/>
    <w:rsid w:val="00DB741C"/>
    <w:rsid w:val="00DC105F"/>
    <w:rsid w:val="00DC4252"/>
    <w:rsid w:val="00DD2D87"/>
    <w:rsid w:val="00DD3ECA"/>
    <w:rsid w:val="00DD700A"/>
    <w:rsid w:val="00DE2358"/>
    <w:rsid w:val="00DE76FB"/>
    <w:rsid w:val="00DF1555"/>
    <w:rsid w:val="00DF75C8"/>
    <w:rsid w:val="00E0093A"/>
    <w:rsid w:val="00E04F76"/>
    <w:rsid w:val="00E201ED"/>
    <w:rsid w:val="00E21948"/>
    <w:rsid w:val="00E23BB7"/>
    <w:rsid w:val="00E2681C"/>
    <w:rsid w:val="00E30CE7"/>
    <w:rsid w:val="00E323E9"/>
    <w:rsid w:val="00E33A85"/>
    <w:rsid w:val="00E367A6"/>
    <w:rsid w:val="00E40A57"/>
    <w:rsid w:val="00E40F3D"/>
    <w:rsid w:val="00E41F67"/>
    <w:rsid w:val="00E43420"/>
    <w:rsid w:val="00E44219"/>
    <w:rsid w:val="00E46B75"/>
    <w:rsid w:val="00E46F48"/>
    <w:rsid w:val="00E558F2"/>
    <w:rsid w:val="00E63D0F"/>
    <w:rsid w:val="00E66BF3"/>
    <w:rsid w:val="00E700EF"/>
    <w:rsid w:val="00E708AE"/>
    <w:rsid w:val="00E72DC5"/>
    <w:rsid w:val="00E73C87"/>
    <w:rsid w:val="00E73D6C"/>
    <w:rsid w:val="00E80E47"/>
    <w:rsid w:val="00E82FD4"/>
    <w:rsid w:val="00E836C2"/>
    <w:rsid w:val="00E838D9"/>
    <w:rsid w:val="00E84CBB"/>
    <w:rsid w:val="00E916D0"/>
    <w:rsid w:val="00EA1B9C"/>
    <w:rsid w:val="00EB2A92"/>
    <w:rsid w:val="00EB36F5"/>
    <w:rsid w:val="00EC447F"/>
    <w:rsid w:val="00EC4E51"/>
    <w:rsid w:val="00EC6E74"/>
    <w:rsid w:val="00ED3180"/>
    <w:rsid w:val="00EE0875"/>
    <w:rsid w:val="00EE5CAE"/>
    <w:rsid w:val="00EE6B50"/>
    <w:rsid w:val="00EF2EC9"/>
    <w:rsid w:val="00EF3E36"/>
    <w:rsid w:val="00F116D6"/>
    <w:rsid w:val="00F133DE"/>
    <w:rsid w:val="00F212B1"/>
    <w:rsid w:val="00F238D9"/>
    <w:rsid w:val="00F24C41"/>
    <w:rsid w:val="00F24E60"/>
    <w:rsid w:val="00F25A87"/>
    <w:rsid w:val="00F30EC8"/>
    <w:rsid w:val="00F417BE"/>
    <w:rsid w:val="00F44327"/>
    <w:rsid w:val="00F510F5"/>
    <w:rsid w:val="00F512FD"/>
    <w:rsid w:val="00F51AA5"/>
    <w:rsid w:val="00F651A1"/>
    <w:rsid w:val="00F7300F"/>
    <w:rsid w:val="00F7480C"/>
    <w:rsid w:val="00F8060D"/>
    <w:rsid w:val="00F837A3"/>
    <w:rsid w:val="00F9023F"/>
    <w:rsid w:val="00F94142"/>
    <w:rsid w:val="00F96D3A"/>
    <w:rsid w:val="00FA2EB9"/>
    <w:rsid w:val="00FA4E3D"/>
    <w:rsid w:val="00FC08C9"/>
    <w:rsid w:val="00FC0F4F"/>
    <w:rsid w:val="00FC22E3"/>
    <w:rsid w:val="00FC2650"/>
    <w:rsid w:val="015A60C5"/>
    <w:rsid w:val="051D6637"/>
    <w:rsid w:val="05247BED"/>
    <w:rsid w:val="0529072E"/>
    <w:rsid w:val="06B761CF"/>
    <w:rsid w:val="074556ED"/>
    <w:rsid w:val="0A9D08FD"/>
    <w:rsid w:val="0B211C58"/>
    <w:rsid w:val="0B930569"/>
    <w:rsid w:val="0C2B6A36"/>
    <w:rsid w:val="0C9C0351"/>
    <w:rsid w:val="0DB92234"/>
    <w:rsid w:val="0F1C1B39"/>
    <w:rsid w:val="0F3928F3"/>
    <w:rsid w:val="1155785D"/>
    <w:rsid w:val="11C372AA"/>
    <w:rsid w:val="13987071"/>
    <w:rsid w:val="145923F1"/>
    <w:rsid w:val="164F3530"/>
    <w:rsid w:val="187E16A4"/>
    <w:rsid w:val="18CB43A7"/>
    <w:rsid w:val="197E0E85"/>
    <w:rsid w:val="19B03A66"/>
    <w:rsid w:val="1AA9360A"/>
    <w:rsid w:val="1B4B69E2"/>
    <w:rsid w:val="1B6C3C36"/>
    <w:rsid w:val="1D082345"/>
    <w:rsid w:val="1FEB19C9"/>
    <w:rsid w:val="20DE1DD9"/>
    <w:rsid w:val="21DC37DA"/>
    <w:rsid w:val="22682C5A"/>
    <w:rsid w:val="23F84D76"/>
    <w:rsid w:val="23FD2470"/>
    <w:rsid w:val="24DD318E"/>
    <w:rsid w:val="25F65836"/>
    <w:rsid w:val="262843D1"/>
    <w:rsid w:val="27260611"/>
    <w:rsid w:val="272F0153"/>
    <w:rsid w:val="28E41E1E"/>
    <w:rsid w:val="29764C11"/>
    <w:rsid w:val="2AF94956"/>
    <w:rsid w:val="2B0D2D96"/>
    <w:rsid w:val="2BBF313E"/>
    <w:rsid w:val="2C8E6CA9"/>
    <w:rsid w:val="2EDE1483"/>
    <w:rsid w:val="2FE529BE"/>
    <w:rsid w:val="31261CFD"/>
    <w:rsid w:val="32CB448B"/>
    <w:rsid w:val="33860146"/>
    <w:rsid w:val="33A367C7"/>
    <w:rsid w:val="33D77C4D"/>
    <w:rsid w:val="3450458B"/>
    <w:rsid w:val="345248B5"/>
    <w:rsid w:val="34D93BA2"/>
    <w:rsid w:val="34DB72D1"/>
    <w:rsid w:val="35A047D3"/>
    <w:rsid w:val="368D4700"/>
    <w:rsid w:val="36A61B35"/>
    <w:rsid w:val="37D112BB"/>
    <w:rsid w:val="3844227B"/>
    <w:rsid w:val="38B4332A"/>
    <w:rsid w:val="393360AB"/>
    <w:rsid w:val="394C161C"/>
    <w:rsid w:val="3C316F40"/>
    <w:rsid w:val="3C8B38E1"/>
    <w:rsid w:val="3E215B37"/>
    <w:rsid w:val="3F617C16"/>
    <w:rsid w:val="3FEE374D"/>
    <w:rsid w:val="401E2C49"/>
    <w:rsid w:val="405F1F11"/>
    <w:rsid w:val="40A91BE9"/>
    <w:rsid w:val="41F471F0"/>
    <w:rsid w:val="42A33231"/>
    <w:rsid w:val="42BD2E47"/>
    <w:rsid w:val="44117178"/>
    <w:rsid w:val="45A63D4C"/>
    <w:rsid w:val="46131A28"/>
    <w:rsid w:val="47E83D5A"/>
    <w:rsid w:val="495A3A36"/>
    <w:rsid w:val="49B40261"/>
    <w:rsid w:val="4B626C4E"/>
    <w:rsid w:val="4C367264"/>
    <w:rsid w:val="4CF44356"/>
    <w:rsid w:val="4F126323"/>
    <w:rsid w:val="508D5468"/>
    <w:rsid w:val="50A94A59"/>
    <w:rsid w:val="53A76D3B"/>
    <w:rsid w:val="546764F8"/>
    <w:rsid w:val="5487497A"/>
    <w:rsid w:val="54FE2D68"/>
    <w:rsid w:val="55A0637F"/>
    <w:rsid w:val="56605F1C"/>
    <w:rsid w:val="57CD239A"/>
    <w:rsid w:val="58044A73"/>
    <w:rsid w:val="590A6E24"/>
    <w:rsid w:val="597A13D1"/>
    <w:rsid w:val="598B5EFD"/>
    <w:rsid w:val="598C427F"/>
    <w:rsid w:val="5AD06876"/>
    <w:rsid w:val="5B055B45"/>
    <w:rsid w:val="5B9B046B"/>
    <w:rsid w:val="5FC23A64"/>
    <w:rsid w:val="5FE20D8B"/>
    <w:rsid w:val="60E25C6E"/>
    <w:rsid w:val="61E32270"/>
    <w:rsid w:val="64096A65"/>
    <w:rsid w:val="64844D14"/>
    <w:rsid w:val="64E1622C"/>
    <w:rsid w:val="655D7E06"/>
    <w:rsid w:val="659748E5"/>
    <w:rsid w:val="65F71656"/>
    <w:rsid w:val="66F608A9"/>
    <w:rsid w:val="67366C70"/>
    <w:rsid w:val="675276F7"/>
    <w:rsid w:val="6828370B"/>
    <w:rsid w:val="68782ADA"/>
    <w:rsid w:val="69CC36A7"/>
    <w:rsid w:val="69F80811"/>
    <w:rsid w:val="6BE72777"/>
    <w:rsid w:val="6C3E6B6A"/>
    <w:rsid w:val="6DF95BB2"/>
    <w:rsid w:val="70021E23"/>
    <w:rsid w:val="700C6B7C"/>
    <w:rsid w:val="71342C40"/>
    <w:rsid w:val="729152E5"/>
    <w:rsid w:val="75AC5336"/>
    <w:rsid w:val="775C6E31"/>
    <w:rsid w:val="78D30742"/>
    <w:rsid w:val="7B6C7563"/>
    <w:rsid w:val="7B71251E"/>
    <w:rsid w:val="7DB01F50"/>
    <w:rsid w:val="7E8103B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16"/>
    <w:autoRedefine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  <w:szCs w:val="24"/>
    </w:rPr>
  </w:style>
  <w:style w:type="paragraph" w:styleId="3">
    <w:name w:val="heading 3"/>
    <w:basedOn w:val="1"/>
    <w:next w:val="1"/>
    <w:link w:val="14"/>
    <w:autoRedefine/>
    <w:qFormat/>
    <w:uiPriority w:val="0"/>
    <w:pPr>
      <w:keepNext/>
      <w:keepLines/>
      <w:spacing w:line="413" w:lineRule="auto"/>
      <w:outlineLvl w:val="2"/>
    </w:pPr>
    <w:rPr>
      <w:rFonts w:ascii="Calibri" w:hAnsi="Calibri"/>
      <w:b/>
      <w:sz w:val="32"/>
      <w:szCs w:val="24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autoRedefine/>
    <w:unhideWhenUsed/>
    <w:qFormat/>
    <w:uiPriority w:val="99"/>
    <w:pPr>
      <w:jc w:val="left"/>
    </w:pPr>
  </w:style>
  <w:style w:type="paragraph" w:styleId="5">
    <w:name w:val="Date"/>
    <w:basedOn w:val="1"/>
    <w:next w:val="1"/>
    <w:autoRedefine/>
    <w:qFormat/>
    <w:uiPriority w:val="0"/>
    <w:pPr>
      <w:ind w:left="100" w:leftChars="2500"/>
    </w:pPr>
  </w:style>
  <w:style w:type="paragraph" w:styleId="6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7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unhideWhenUsed/>
    <w:qFormat/>
    <w:uiPriority w:val="99"/>
    <w:rPr>
      <w:sz w:val="24"/>
    </w:rPr>
  </w:style>
  <w:style w:type="character" w:styleId="12">
    <w:name w:val="FollowedHyperlink"/>
    <w:basedOn w:val="11"/>
    <w:autoRedefine/>
    <w:unhideWhenUsed/>
    <w:qFormat/>
    <w:uiPriority w:val="99"/>
    <w:rPr>
      <w:color w:val="000000"/>
      <w:u w:val="none"/>
    </w:rPr>
  </w:style>
  <w:style w:type="character" w:styleId="13">
    <w:name w:val="Hyperlink"/>
    <w:basedOn w:val="11"/>
    <w:autoRedefine/>
    <w:unhideWhenUsed/>
    <w:qFormat/>
    <w:uiPriority w:val="99"/>
    <w:rPr>
      <w:color w:val="000000"/>
      <w:u w:val="none"/>
    </w:rPr>
  </w:style>
  <w:style w:type="character" w:customStyle="1" w:styleId="14">
    <w:name w:val="标题 3 Char"/>
    <w:basedOn w:val="11"/>
    <w:link w:val="3"/>
    <w:autoRedefine/>
    <w:semiHidden/>
    <w:qFormat/>
    <w:locked/>
    <w:uiPriority w:val="0"/>
    <w:rPr>
      <w:rFonts w:ascii="Calibri" w:hAnsi="Calibri" w:eastAsia="宋体"/>
      <w:b/>
      <w:kern w:val="2"/>
      <w:sz w:val="32"/>
      <w:szCs w:val="24"/>
      <w:lang w:val="en-US" w:eastAsia="zh-CN" w:bidi="ar-SA"/>
    </w:rPr>
  </w:style>
  <w:style w:type="character" w:customStyle="1" w:styleId="15">
    <w:name w:val="页眉 Char"/>
    <w:basedOn w:val="11"/>
    <w:link w:val="8"/>
    <w:autoRedefine/>
    <w:semiHidden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6">
    <w:name w:val="标题 2 Char"/>
    <w:basedOn w:val="11"/>
    <w:link w:val="2"/>
    <w:autoRedefine/>
    <w:semiHidden/>
    <w:qFormat/>
    <w:locked/>
    <w:uiPriority w:val="0"/>
    <w:rPr>
      <w:rFonts w:ascii="Arial" w:hAnsi="Arial" w:eastAsia="黑体"/>
      <w:b/>
      <w:kern w:val="2"/>
      <w:sz w:val="32"/>
      <w:szCs w:val="24"/>
      <w:lang w:val="en-US" w:eastAsia="zh-CN" w:bidi="ar-SA"/>
    </w:rPr>
  </w:style>
  <w:style w:type="character" w:customStyle="1" w:styleId="17">
    <w:name w:val="页脚 Char"/>
    <w:basedOn w:val="11"/>
    <w:link w:val="7"/>
    <w:autoRedefine/>
    <w:semiHidden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15</Pages>
  <Words>1025</Words>
  <Characters>5844</Characters>
  <Lines>48</Lines>
  <Paragraphs>13</Paragraphs>
  <TotalTime>499</TotalTime>
  <ScaleCrop>false</ScaleCrop>
  <LinksUpToDate>false</LinksUpToDate>
  <CharactersWithSpaces>6856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2022-05-30T06:42:00Z</dcterms:created>
  <dc:creator>Administrator</dc:creator>
  <cp:lastModifiedBy>user</cp:lastModifiedBy>
  <cp:lastPrinted>2023-01-17T07:32:00Z</cp:lastPrinted>
  <dcterms:modified xsi:type="dcterms:W3CDTF">2024-01-19T07:15:56Z</dcterms:modified>
  <dc:title>×××部门预算编制说明</dc:title>
  <cp:revision>244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08A54256922D42A4B7D758335BEFA7AB</vt:lpwstr>
  </property>
</Properties>
</file>