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hd w:val="clear" w:color="auto" w:fill="FFFFFF"/>
        <w:spacing w:line="600" w:lineRule="exact"/>
        <w:jc w:val="center"/>
        <w:outlineLvl w:val="1"/>
        <w:rPr>
          <w:rFonts w:ascii="微软雅黑" w:hAnsi="微软雅黑" w:eastAsia="微软雅黑" w:cs="宋体"/>
          <w:kern w:val="0"/>
          <w:sz w:val="45"/>
          <w:szCs w:val="45"/>
        </w:rPr>
      </w:pPr>
      <w:r>
        <w:rPr>
          <w:rFonts w:hint="eastAsia" w:ascii="微软雅黑" w:hAnsi="微软雅黑" w:eastAsia="微软雅黑" w:cs="宋体"/>
          <w:kern w:val="0"/>
          <w:sz w:val="45"/>
          <w:szCs w:val="45"/>
        </w:rPr>
        <w:t>茶恩寺镇中心学校</w:t>
      </w:r>
    </w:p>
    <w:p>
      <w:pPr>
        <w:widowControl/>
        <w:shd w:val="clear" w:color="auto" w:fill="FFFFFF"/>
        <w:spacing w:line="600" w:lineRule="exact"/>
        <w:jc w:val="center"/>
        <w:outlineLvl w:val="1"/>
        <w:rPr>
          <w:rFonts w:ascii="微软雅黑" w:hAnsi="微软雅黑" w:eastAsia="微软雅黑" w:cs="宋体"/>
          <w:kern w:val="0"/>
          <w:sz w:val="45"/>
          <w:szCs w:val="45"/>
        </w:rPr>
      </w:pPr>
      <w:r>
        <w:rPr>
          <w:rFonts w:hint="eastAsia" w:ascii="微软雅黑" w:hAnsi="微软雅黑" w:eastAsia="微软雅黑" w:cs="宋体"/>
          <w:kern w:val="0"/>
          <w:sz w:val="45"/>
          <w:szCs w:val="45"/>
        </w:rPr>
        <w:t>202</w:t>
      </w:r>
      <w:r>
        <w:rPr>
          <w:rFonts w:ascii="微软雅黑" w:hAnsi="微软雅黑" w:eastAsia="微软雅黑" w:cs="宋体"/>
          <w:kern w:val="0"/>
          <w:sz w:val="45"/>
          <w:szCs w:val="45"/>
        </w:rPr>
        <w:t>4</w:t>
      </w:r>
      <w:r>
        <w:rPr>
          <w:rFonts w:hint="eastAsia" w:ascii="微软雅黑" w:hAnsi="微软雅黑" w:eastAsia="微软雅黑" w:cs="宋体"/>
          <w:kern w:val="0"/>
          <w:sz w:val="45"/>
          <w:szCs w:val="45"/>
        </w:rPr>
        <w:t>年部门预算公开资料</w:t>
      </w:r>
    </w:p>
    <w:p>
      <w:pPr>
        <w:widowControl/>
        <w:shd w:val="clear" w:color="auto" w:fill="FFFFFF"/>
        <w:spacing w:line="600" w:lineRule="exact"/>
        <w:jc w:val="center"/>
        <w:outlineLvl w:val="1"/>
        <w:rPr>
          <w:rFonts w:ascii="仿宋" w:hAnsi="仿宋" w:eastAsia="仿宋" w:cs="仿宋"/>
          <w:b/>
          <w:bCs/>
          <w:kern w:val="0"/>
          <w:sz w:val="28"/>
          <w:szCs w:val="28"/>
        </w:rPr>
      </w:pPr>
    </w:p>
    <w:p>
      <w:pPr>
        <w:widowControl/>
        <w:shd w:val="clear" w:color="auto" w:fill="FFFFFF"/>
        <w:spacing w:line="600" w:lineRule="exact"/>
        <w:jc w:val="center"/>
        <w:outlineLvl w:val="1"/>
        <w:rPr>
          <w:rFonts w:ascii="仿宋" w:hAnsi="仿宋" w:eastAsia="仿宋" w:cs="仿宋"/>
          <w:b/>
          <w:bCs/>
          <w:kern w:val="0"/>
          <w:sz w:val="28"/>
          <w:szCs w:val="28"/>
        </w:rPr>
      </w:pPr>
      <w:r>
        <w:rPr>
          <w:rFonts w:hint="eastAsia" w:ascii="仿宋" w:hAnsi="仿宋" w:eastAsia="仿宋" w:cs="仿宋"/>
          <w:b/>
          <w:bCs/>
          <w:kern w:val="0"/>
          <w:sz w:val="28"/>
          <w:szCs w:val="28"/>
        </w:rPr>
        <w:t>目  录</w:t>
      </w:r>
    </w:p>
    <w:p>
      <w:pPr>
        <w:widowControl/>
        <w:shd w:val="clear" w:color="auto" w:fill="FFFFFF"/>
        <w:spacing w:before="100" w:beforeAutospacing="1" w:line="560" w:lineRule="exact"/>
        <w:jc w:val="left"/>
        <w:rPr>
          <w:rFonts w:ascii="仿宋" w:hAnsi="仿宋" w:eastAsia="仿宋" w:cs="仿宋"/>
          <w:kern w:val="0"/>
          <w:sz w:val="28"/>
          <w:szCs w:val="28"/>
        </w:rPr>
      </w:pPr>
      <w:r>
        <w:rPr>
          <w:rFonts w:hint="eastAsia" w:ascii="仿宋" w:hAnsi="仿宋" w:eastAsia="仿宋" w:cs="仿宋"/>
          <w:sz w:val="28"/>
          <w:szCs w:val="28"/>
        </w:rPr>
        <w:t>第一部分  202</w:t>
      </w:r>
      <w:r>
        <w:rPr>
          <w:rFonts w:ascii="仿宋" w:hAnsi="仿宋" w:eastAsia="仿宋" w:cs="仿宋"/>
          <w:sz w:val="28"/>
          <w:szCs w:val="28"/>
        </w:rPr>
        <w:t>4</w:t>
      </w:r>
      <w:r>
        <w:rPr>
          <w:rFonts w:hint="eastAsia" w:ascii="仿宋" w:hAnsi="仿宋" w:eastAsia="仿宋" w:cs="仿宋"/>
          <w:sz w:val="28"/>
          <w:szCs w:val="28"/>
        </w:rPr>
        <w:t>年部门预算说明</w:t>
      </w:r>
    </w:p>
    <w:p>
      <w:pPr>
        <w:numPr>
          <w:ilvl w:val="0"/>
          <w:numId w:val="1"/>
        </w:numPr>
        <w:spacing w:line="560" w:lineRule="exact"/>
        <w:rPr>
          <w:rFonts w:ascii="仿宋" w:hAnsi="仿宋" w:eastAsia="仿宋" w:cs="仿宋"/>
          <w:sz w:val="28"/>
          <w:szCs w:val="28"/>
        </w:rPr>
      </w:pPr>
      <w:r>
        <w:rPr>
          <w:rFonts w:hint="eastAsia" w:ascii="仿宋" w:hAnsi="仿宋" w:eastAsia="仿宋" w:cs="仿宋"/>
          <w:sz w:val="28"/>
          <w:szCs w:val="28"/>
        </w:rPr>
        <w:t>单位基本概况　</w:t>
      </w:r>
    </w:p>
    <w:p>
      <w:pPr>
        <w:spacing w:line="560" w:lineRule="exact"/>
        <w:rPr>
          <w:rFonts w:ascii="仿宋" w:hAnsi="仿宋" w:eastAsia="仿宋" w:cs="仿宋"/>
          <w:sz w:val="28"/>
          <w:szCs w:val="28"/>
        </w:rPr>
      </w:pPr>
      <w:r>
        <w:rPr>
          <w:rFonts w:ascii="仿宋" w:hAnsi="仿宋" w:eastAsia="仿宋" w:cs="仿宋"/>
          <w:sz w:val="28"/>
          <w:szCs w:val="28"/>
        </w:rPr>
        <w:fldChar w:fldCharType="begin"/>
      </w:r>
      <w:r>
        <w:rPr>
          <w:rFonts w:hint="eastAsia" w:ascii="仿宋" w:hAnsi="仿宋" w:eastAsia="仿宋" w:cs="仿宋"/>
          <w:sz w:val="28"/>
          <w:szCs w:val="28"/>
        </w:rPr>
        <w:instrText xml:space="preserve">= 1 \* GB4</w:instrText>
      </w:r>
      <w:r>
        <w:rPr>
          <w:rFonts w:ascii="仿宋" w:hAnsi="仿宋" w:eastAsia="仿宋" w:cs="仿宋"/>
          <w:sz w:val="28"/>
          <w:szCs w:val="28"/>
        </w:rPr>
        <w:fldChar w:fldCharType="separate"/>
      </w:r>
      <w:r>
        <w:rPr>
          <w:rFonts w:hint="eastAsia" w:ascii="宋体" w:hAnsi="宋体" w:cs="宋体"/>
          <w:sz w:val="28"/>
          <w:szCs w:val="28"/>
        </w:rPr>
        <w:t>㈠</w:t>
      </w:r>
      <w:r>
        <w:rPr>
          <w:rFonts w:ascii="仿宋" w:hAnsi="仿宋" w:eastAsia="仿宋" w:cs="仿宋"/>
          <w:sz w:val="28"/>
          <w:szCs w:val="28"/>
        </w:rPr>
        <w:fldChar w:fldCharType="end"/>
      </w:r>
      <w:r>
        <w:rPr>
          <w:rFonts w:hint="eastAsia" w:ascii="仿宋" w:hAnsi="仿宋" w:eastAsia="仿宋" w:cs="仿宋"/>
          <w:sz w:val="28"/>
          <w:szCs w:val="28"/>
        </w:rPr>
        <w:t xml:space="preserve"> 职能职责　</w:t>
      </w:r>
    </w:p>
    <w:p>
      <w:pPr>
        <w:spacing w:line="560" w:lineRule="exact"/>
        <w:rPr>
          <w:rFonts w:ascii="仿宋" w:hAnsi="仿宋" w:eastAsia="仿宋" w:cs="仿宋"/>
          <w:sz w:val="28"/>
          <w:szCs w:val="28"/>
        </w:rPr>
      </w:pPr>
      <w:r>
        <w:rPr>
          <w:rFonts w:ascii="仿宋" w:hAnsi="仿宋" w:eastAsia="仿宋" w:cs="仿宋"/>
          <w:sz w:val="28"/>
          <w:szCs w:val="28"/>
        </w:rPr>
        <w:fldChar w:fldCharType="begin"/>
      </w:r>
      <w:r>
        <w:rPr>
          <w:rFonts w:hint="eastAsia" w:ascii="仿宋" w:hAnsi="仿宋" w:eastAsia="仿宋" w:cs="仿宋"/>
          <w:sz w:val="28"/>
          <w:szCs w:val="28"/>
        </w:rPr>
        <w:instrText xml:space="preserve">= 2 \* GB4</w:instrText>
      </w:r>
      <w:r>
        <w:rPr>
          <w:rFonts w:ascii="仿宋" w:hAnsi="仿宋" w:eastAsia="仿宋" w:cs="仿宋"/>
          <w:sz w:val="28"/>
          <w:szCs w:val="28"/>
        </w:rPr>
        <w:fldChar w:fldCharType="separate"/>
      </w:r>
      <w:r>
        <w:rPr>
          <w:rFonts w:hint="eastAsia" w:ascii="宋体" w:hAnsi="宋体" w:cs="宋体"/>
          <w:sz w:val="28"/>
          <w:szCs w:val="28"/>
        </w:rPr>
        <w:t>㈡</w:t>
      </w:r>
      <w:r>
        <w:rPr>
          <w:rFonts w:ascii="仿宋" w:hAnsi="仿宋" w:eastAsia="仿宋" w:cs="仿宋"/>
          <w:sz w:val="28"/>
          <w:szCs w:val="28"/>
        </w:rPr>
        <w:fldChar w:fldCharType="end"/>
      </w:r>
      <w:r>
        <w:rPr>
          <w:rFonts w:hint="eastAsia" w:ascii="仿宋" w:hAnsi="仿宋" w:eastAsia="仿宋" w:cs="仿宋"/>
          <w:sz w:val="28"/>
          <w:szCs w:val="28"/>
        </w:rPr>
        <w:t xml:space="preserve"> 机构设置及人员情况</w:t>
      </w:r>
    </w:p>
    <w:p>
      <w:pPr>
        <w:numPr>
          <w:ilvl w:val="0"/>
          <w:numId w:val="1"/>
        </w:numPr>
        <w:spacing w:line="560" w:lineRule="exact"/>
        <w:rPr>
          <w:rFonts w:ascii="仿宋" w:hAnsi="仿宋" w:eastAsia="仿宋" w:cs="仿宋"/>
          <w:sz w:val="28"/>
          <w:szCs w:val="28"/>
        </w:rPr>
      </w:pPr>
      <w:r>
        <w:rPr>
          <w:rFonts w:hint="eastAsia" w:ascii="仿宋" w:hAnsi="仿宋" w:eastAsia="仿宋" w:cs="仿宋"/>
          <w:sz w:val="28"/>
          <w:szCs w:val="28"/>
        </w:rPr>
        <w:t>部门预算单位构成</w:t>
      </w:r>
    </w:p>
    <w:p>
      <w:pPr>
        <w:numPr>
          <w:ilvl w:val="0"/>
          <w:numId w:val="1"/>
        </w:numPr>
        <w:spacing w:line="560" w:lineRule="exact"/>
        <w:rPr>
          <w:rFonts w:ascii="仿宋" w:hAnsi="仿宋" w:eastAsia="仿宋" w:cs="仿宋"/>
          <w:sz w:val="28"/>
          <w:szCs w:val="28"/>
        </w:rPr>
      </w:pPr>
      <w:r>
        <w:rPr>
          <w:rFonts w:hint="eastAsia" w:ascii="仿宋" w:hAnsi="仿宋" w:eastAsia="仿宋" w:cs="仿宋"/>
          <w:sz w:val="28"/>
          <w:szCs w:val="28"/>
        </w:rPr>
        <w:t>部门收支总体情况</w:t>
      </w:r>
    </w:p>
    <w:p>
      <w:pPr>
        <w:numPr>
          <w:ilvl w:val="0"/>
          <w:numId w:val="1"/>
        </w:numPr>
        <w:spacing w:line="560" w:lineRule="exact"/>
        <w:rPr>
          <w:rFonts w:ascii="仿宋" w:hAnsi="仿宋" w:eastAsia="仿宋" w:cs="仿宋"/>
          <w:sz w:val="28"/>
          <w:szCs w:val="28"/>
        </w:rPr>
      </w:pPr>
      <w:r>
        <w:rPr>
          <w:rFonts w:hint="eastAsia" w:ascii="仿宋" w:hAnsi="仿宋" w:eastAsia="仿宋" w:cs="仿宋"/>
          <w:sz w:val="28"/>
          <w:szCs w:val="28"/>
        </w:rPr>
        <w:t>一般公共预算拨款支出</w:t>
      </w:r>
    </w:p>
    <w:p>
      <w:pPr>
        <w:numPr>
          <w:ilvl w:val="0"/>
          <w:numId w:val="1"/>
        </w:numPr>
        <w:spacing w:line="560" w:lineRule="exact"/>
        <w:rPr>
          <w:rFonts w:ascii="仿宋" w:hAnsi="仿宋" w:eastAsia="仿宋" w:cs="仿宋"/>
          <w:sz w:val="28"/>
          <w:szCs w:val="28"/>
        </w:rPr>
      </w:pPr>
      <w:r>
        <w:rPr>
          <w:rFonts w:hint="eastAsia" w:ascii="仿宋" w:hAnsi="仿宋" w:eastAsia="仿宋" w:cs="仿宋"/>
          <w:sz w:val="28"/>
          <w:szCs w:val="28"/>
        </w:rPr>
        <w:t>政府性基金预算安排的支出</w:t>
      </w:r>
    </w:p>
    <w:p>
      <w:pPr>
        <w:numPr>
          <w:ilvl w:val="0"/>
          <w:numId w:val="1"/>
        </w:numPr>
        <w:spacing w:line="560" w:lineRule="exact"/>
        <w:rPr>
          <w:rFonts w:ascii="仿宋" w:hAnsi="仿宋" w:eastAsia="仿宋" w:cs="仿宋"/>
          <w:sz w:val="28"/>
          <w:szCs w:val="28"/>
        </w:rPr>
      </w:pPr>
      <w:r>
        <w:rPr>
          <w:rFonts w:hint="eastAsia" w:ascii="仿宋" w:hAnsi="仿宋" w:eastAsia="仿宋" w:cs="仿宋"/>
          <w:sz w:val="28"/>
          <w:szCs w:val="28"/>
        </w:rPr>
        <w:t>其他重要事项的情况说明</w:t>
      </w:r>
    </w:p>
    <w:p>
      <w:pPr>
        <w:numPr>
          <w:ilvl w:val="0"/>
          <w:numId w:val="1"/>
        </w:numPr>
        <w:spacing w:line="560" w:lineRule="exact"/>
        <w:rPr>
          <w:rFonts w:ascii="仿宋" w:hAnsi="仿宋" w:eastAsia="仿宋" w:cs="仿宋"/>
          <w:sz w:val="28"/>
          <w:szCs w:val="28"/>
        </w:rPr>
      </w:pPr>
      <w:r>
        <w:rPr>
          <w:rFonts w:hint="eastAsia" w:ascii="仿宋" w:hAnsi="仿宋" w:eastAsia="仿宋" w:cs="仿宋"/>
          <w:sz w:val="28"/>
          <w:szCs w:val="28"/>
        </w:rPr>
        <w:t>名词解释</w:t>
      </w:r>
    </w:p>
    <w:p>
      <w:pPr>
        <w:spacing w:line="560" w:lineRule="exact"/>
        <w:rPr>
          <w:rFonts w:ascii="仿宋" w:hAnsi="仿宋" w:eastAsia="仿宋" w:cs="仿宋"/>
          <w:sz w:val="28"/>
          <w:szCs w:val="28"/>
        </w:rPr>
      </w:pPr>
      <w:r>
        <w:rPr>
          <w:rFonts w:hint="eastAsia" w:ascii="仿宋" w:hAnsi="仿宋" w:eastAsia="仿宋" w:cs="仿宋"/>
          <w:sz w:val="28"/>
          <w:szCs w:val="28"/>
        </w:rPr>
        <w:t>第二部分  202</w:t>
      </w:r>
      <w:r>
        <w:rPr>
          <w:rFonts w:ascii="仿宋" w:hAnsi="仿宋" w:eastAsia="仿宋" w:cs="仿宋"/>
          <w:sz w:val="28"/>
          <w:szCs w:val="28"/>
        </w:rPr>
        <w:t>4</w:t>
      </w:r>
      <w:r>
        <w:rPr>
          <w:rFonts w:hint="eastAsia" w:ascii="仿宋" w:hAnsi="仿宋" w:eastAsia="仿宋" w:cs="仿宋"/>
          <w:sz w:val="28"/>
          <w:szCs w:val="28"/>
        </w:rPr>
        <w:t>年部门预算表</w:t>
      </w:r>
    </w:p>
    <w:p>
      <w:pPr>
        <w:spacing w:line="560" w:lineRule="exact"/>
        <w:rPr>
          <w:rFonts w:ascii="仿宋" w:hAnsi="仿宋" w:eastAsia="仿宋" w:cs="仿宋"/>
          <w:sz w:val="28"/>
          <w:szCs w:val="28"/>
        </w:rPr>
      </w:pPr>
      <w:r>
        <w:rPr>
          <w:rFonts w:hint="eastAsia" w:ascii="仿宋" w:hAnsi="仿宋" w:eastAsia="仿宋" w:cs="仿宋"/>
          <w:sz w:val="28"/>
          <w:szCs w:val="28"/>
        </w:rPr>
        <w:t>一、部门收支总表</w:t>
      </w:r>
    </w:p>
    <w:p>
      <w:pPr>
        <w:spacing w:line="560" w:lineRule="exact"/>
        <w:rPr>
          <w:rFonts w:ascii="仿宋" w:hAnsi="仿宋" w:eastAsia="仿宋" w:cs="仿宋"/>
          <w:sz w:val="28"/>
          <w:szCs w:val="28"/>
        </w:rPr>
      </w:pPr>
      <w:r>
        <w:rPr>
          <w:rFonts w:hint="eastAsia" w:ascii="仿宋" w:hAnsi="仿宋" w:eastAsia="仿宋" w:cs="仿宋"/>
          <w:sz w:val="28"/>
          <w:szCs w:val="28"/>
        </w:rPr>
        <w:t>二、部门收入总表</w:t>
      </w:r>
    </w:p>
    <w:p>
      <w:pPr>
        <w:spacing w:line="560" w:lineRule="exact"/>
        <w:rPr>
          <w:rFonts w:ascii="仿宋" w:hAnsi="仿宋" w:eastAsia="仿宋" w:cs="仿宋"/>
          <w:sz w:val="28"/>
          <w:szCs w:val="28"/>
        </w:rPr>
      </w:pPr>
      <w:r>
        <w:rPr>
          <w:rFonts w:hint="eastAsia" w:ascii="仿宋" w:hAnsi="仿宋" w:eastAsia="仿宋" w:cs="仿宋"/>
          <w:sz w:val="28"/>
          <w:szCs w:val="28"/>
        </w:rPr>
        <w:t>三、部门支出总表</w:t>
      </w:r>
    </w:p>
    <w:p>
      <w:pPr>
        <w:spacing w:line="560" w:lineRule="exact"/>
        <w:rPr>
          <w:rFonts w:ascii="仿宋" w:hAnsi="仿宋" w:eastAsia="仿宋" w:cs="仿宋"/>
          <w:sz w:val="28"/>
          <w:szCs w:val="28"/>
        </w:rPr>
      </w:pPr>
      <w:r>
        <w:rPr>
          <w:rFonts w:hint="eastAsia" w:ascii="仿宋" w:hAnsi="仿宋" w:eastAsia="仿宋" w:cs="仿宋"/>
          <w:sz w:val="28"/>
          <w:szCs w:val="28"/>
        </w:rPr>
        <w:t>四、部门财政拨款收支总表</w:t>
      </w:r>
    </w:p>
    <w:p>
      <w:pPr>
        <w:spacing w:line="560" w:lineRule="exact"/>
        <w:rPr>
          <w:rFonts w:ascii="仿宋" w:hAnsi="仿宋" w:eastAsia="仿宋" w:cs="仿宋"/>
          <w:sz w:val="28"/>
          <w:szCs w:val="28"/>
        </w:rPr>
      </w:pPr>
      <w:r>
        <w:rPr>
          <w:rFonts w:hint="eastAsia" w:ascii="仿宋" w:hAnsi="仿宋" w:eastAsia="仿宋" w:cs="仿宋"/>
          <w:sz w:val="28"/>
          <w:szCs w:val="28"/>
        </w:rPr>
        <w:t>五、一般公共预算支出表</w:t>
      </w:r>
    </w:p>
    <w:p>
      <w:pPr>
        <w:spacing w:line="560" w:lineRule="exact"/>
        <w:rPr>
          <w:rFonts w:ascii="仿宋" w:hAnsi="仿宋" w:eastAsia="仿宋" w:cs="仿宋"/>
          <w:sz w:val="28"/>
          <w:szCs w:val="28"/>
        </w:rPr>
      </w:pPr>
      <w:r>
        <w:rPr>
          <w:rFonts w:hint="eastAsia" w:ascii="仿宋" w:hAnsi="仿宋" w:eastAsia="仿宋" w:cs="仿宋"/>
          <w:sz w:val="28"/>
          <w:szCs w:val="28"/>
        </w:rPr>
        <w:t>六、一般公共预算基本支出表</w:t>
      </w:r>
    </w:p>
    <w:p>
      <w:pPr>
        <w:spacing w:line="560" w:lineRule="exact"/>
        <w:rPr>
          <w:rFonts w:ascii="仿宋" w:hAnsi="仿宋" w:eastAsia="仿宋" w:cs="仿宋"/>
          <w:sz w:val="28"/>
          <w:szCs w:val="28"/>
        </w:rPr>
      </w:pPr>
      <w:r>
        <w:rPr>
          <w:rFonts w:hint="eastAsia" w:ascii="仿宋" w:hAnsi="仿宋" w:eastAsia="仿宋" w:cs="仿宋"/>
          <w:sz w:val="28"/>
          <w:szCs w:val="28"/>
        </w:rPr>
        <w:t>七、一般公共预算“三公”经费支出表</w:t>
      </w:r>
    </w:p>
    <w:p>
      <w:pPr>
        <w:spacing w:line="560" w:lineRule="exact"/>
        <w:rPr>
          <w:rFonts w:ascii="仿宋" w:hAnsi="仿宋" w:eastAsia="仿宋" w:cs="仿宋"/>
          <w:sz w:val="28"/>
          <w:szCs w:val="28"/>
        </w:rPr>
      </w:pPr>
      <w:r>
        <w:rPr>
          <w:rFonts w:hint="eastAsia" w:ascii="仿宋" w:hAnsi="仿宋" w:eastAsia="仿宋" w:cs="仿宋"/>
          <w:sz w:val="28"/>
          <w:szCs w:val="28"/>
        </w:rPr>
        <w:t>八、政府性基金预算支出表</w:t>
      </w:r>
    </w:p>
    <w:p>
      <w:pPr>
        <w:spacing w:line="560" w:lineRule="exact"/>
        <w:rPr>
          <w:rFonts w:ascii="仿宋" w:hAnsi="仿宋" w:eastAsia="仿宋" w:cs="仿宋"/>
          <w:sz w:val="28"/>
          <w:szCs w:val="28"/>
        </w:rPr>
      </w:pPr>
      <w:r>
        <w:rPr>
          <w:rFonts w:hint="eastAsia" w:ascii="仿宋" w:hAnsi="仿宋" w:eastAsia="仿宋" w:cs="仿宋"/>
          <w:sz w:val="28"/>
          <w:szCs w:val="28"/>
        </w:rPr>
        <w:t>九、附表：项目支出绩效目标明细表</w:t>
      </w:r>
    </w:p>
    <w:p>
      <w:pPr>
        <w:spacing w:line="560" w:lineRule="exact"/>
        <w:rPr>
          <w:rFonts w:ascii="仿宋" w:hAnsi="仿宋" w:eastAsia="仿宋" w:cs="仿宋"/>
          <w:sz w:val="28"/>
          <w:szCs w:val="28"/>
        </w:rPr>
      </w:pPr>
    </w:p>
    <w:p>
      <w:pPr>
        <w:widowControl/>
        <w:shd w:val="clear" w:color="auto" w:fill="FFFFFF"/>
        <w:spacing w:before="100" w:beforeAutospacing="1" w:line="560" w:lineRule="exact"/>
        <w:jc w:val="center"/>
        <w:rPr>
          <w:rFonts w:ascii="仿宋" w:hAnsi="仿宋" w:eastAsia="仿宋" w:cs="仿宋"/>
          <w:kern w:val="0"/>
          <w:sz w:val="28"/>
          <w:szCs w:val="28"/>
        </w:rPr>
      </w:pPr>
      <w:r>
        <w:rPr>
          <w:rFonts w:hint="eastAsia" w:ascii="仿宋" w:hAnsi="仿宋" w:eastAsia="仿宋" w:cs="仿宋"/>
          <w:sz w:val="36"/>
          <w:szCs w:val="36"/>
        </w:rPr>
        <w:t>第一部分  202</w:t>
      </w:r>
      <w:r>
        <w:rPr>
          <w:rFonts w:ascii="仿宋" w:hAnsi="仿宋" w:eastAsia="仿宋" w:cs="仿宋"/>
          <w:sz w:val="36"/>
          <w:szCs w:val="36"/>
        </w:rPr>
        <w:t>4</w:t>
      </w:r>
      <w:r>
        <w:rPr>
          <w:rFonts w:hint="eastAsia" w:ascii="仿宋" w:hAnsi="仿宋" w:eastAsia="仿宋" w:cs="仿宋"/>
          <w:sz w:val="36"/>
          <w:szCs w:val="36"/>
        </w:rPr>
        <w:t>年部门预算说明</w:t>
      </w:r>
    </w:p>
    <w:p>
      <w:pPr>
        <w:ind w:firstLine="643" w:firstLineChars="200"/>
        <w:rPr>
          <w:b/>
          <w:bCs/>
          <w:sz w:val="32"/>
          <w:szCs w:val="32"/>
        </w:rPr>
      </w:pPr>
    </w:p>
    <w:p>
      <w:pPr>
        <w:numPr>
          <w:ilvl w:val="0"/>
          <w:numId w:val="2"/>
        </w:numPr>
        <w:spacing w:line="560" w:lineRule="exact"/>
        <w:ind w:firstLine="602" w:firstLineChars="200"/>
        <w:rPr>
          <w:rFonts w:ascii="仿宋_GB2312" w:eastAsia="仿宋_GB2312"/>
          <w:b/>
          <w:bCs/>
          <w:sz w:val="30"/>
          <w:szCs w:val="30"/>
        </w:rPr>
      </w:pPr>
      <w:r>
        <w:rPr>
          <w:rFonts w:hint="eastAsia" w:ascii="仿宋_GB2312" w:eastAsia="仿宋_GB2312"/>
          <w:b/>
          <w:bCs/>
          <w:sz w:val="30"/>
          <w:szCs w:val="30"/>
        </w:rPr>
        <w:t>单位基本概况</w:t>
      </w:r>
    </w:p>
    <w:p>
      <w:pPr>
        <w:pStyle w:val="9"/>
        <w:shd w:val="clear" w:color="auto" w:fill="FFFFFF"/>
        <w:spacing w:line="560" w:lineRule="exact"/>
        <w:ind w:firstLine="480"/>
        <w:rPr>
          <w:rFonts w:eastAsia="仿宋_GB2312"/>
          <w:kern w:val="0"/>
          <w:sz w:val="32"/>
          <w:szCs w:val="32"/>
        </w:rPr>
      </w:pPr>
      <w:r>
        <w:rPr>
          <w:rFonts w:hint="eastAsia" w:eastAsia="仿宋_GB2312"/>
          <w:kern w:val="0"/>
          <w:sz w:val="32"/>
          <w:szCs w:val="32"/>
        </w:rPr>
        <w:fldChar w:fldCharType="begin"/>
      </w:r>
      <w:r>
        <w:rPr>
          <w:rFonts w:hint="eastAsia" w:eastAsia="仿宋_GB2312"/>
          <w:kern w:val="0"/>
          <w:sz w:val="32"/>
          <w:szCs w:val="32"/>
        </w:rPr>
        <w:instrText xml:space="preserve"> = 1 \* GB4 \* MERGEFORMAT </w:instrText>
      </w:r>
      <w:r>
        <w:rPr>
          <w:rFonts w:hint="eastAsia" w:eastAsia="仿宋_GB2312"/>
          <w:kern w:val="0"/>
          <w:sz w:val="32"/>
          <w:szCs w:val="32"/>
        </w:rPr>
        <w:fldChar w:fldCharType="separate"/>
      </w:r>
      <w:r>
        <w:rPr>
          <w:rFonts w:eastAsia="仿宋_GB2312"/>
          <w:kern w:val="0"/>
          <w:sz w:val="32"/>
          <w:szCs w:val="32"/>
        </w:rPr>
        <w:t>㈠</w:t>
      </w:r>
      <w:r>
        <w:rPr>
          <w:rFonts w:hint="eastAsia" w:eastAsia="仿宋_GB2312"/>
          <w:kern w:val="0"/>
          <w:sz w:val="32"/>
          <w:szCs w:val="32"/>
        </w:rPr>
        <w:fldChar w:fldCharType="end"/>
      </w:r>
      <w:r>
        <w:rPr>
          <w:rFonts w:hint="eastAsia" w:eastAsia="仿宋_GB2312"/>
          <w:kern w:val="0"/>
          <w:sz w:val="32"/>
          <w:szCs w:val="32"/>
        </w:rPr>
        <w:t>职能职责</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1、贯彻落实国家、省、市、县关于教育工作的方针政策和法律法规。组织拟订全镇教育改革与发展战略、方针、政策和规划，并组织实施。</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 xml:space="preserve"> 2、依法统筹规划、协调管理全镇教育事业，指导全镇权限范围内各级各类教育教学改革。负责教育基本信息的统计、分析和发布。指导教育信息化工作和网络信息安全工作。</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 xml:space="preserve"> 3、负责推进义务教育均衡发展和促进教育公平，按规定具体负责义务教育实施工作，统筹、管理普通中小学教育和学前教育。全面实施素质教育。</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4、统筹管理镇本级的教育事业经费。负责统计和监测全镇权限范围内各级各类学校教育经费的投入和使用情况。负责指导、协调和监督权限范围内各级各类学校的改造和建设。指导、管理全镇资助经济困难学生工作。</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5、督促、指导权限范围内各级各类学校的思想政治工作、德育工作、体育卫生与艺术教育以及国防教育工作。指导、协调和监督管理权限范围内学校的安全稳定工作。</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6、辖区内中小学教职工、教育设备管理。</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7、督促、指导全镇教育系统党建、组织、纪检监察、宣传培训、思想教育和群团工作。</w:t>
      </w:r>
    </w:p>
    <w:p>
      <w:pPr>
        <w:pStyle w:val="9"/>
        <w:shd w:val="clear" w:color="auto" w:fill="FFFFFF"/>
        <w:spacing w:line="560" w:lineRule="exact"/>
        <w:ind w:firstLine="480"/>
        <w:rPr>
          <w:rFonts w:eastAsia="仿宋_GB2312"/>
          <w:kern w:val="0"/>
          <w:sz w:val="32"/>
          <w:szCs w:val="32"/>
        </w:rPr>
      </w:pPr>
      <w:r>
        <w:rPr>
          <w:rFonts w:hint="eastAsia" w:ascii="仿宋_GB2312" w:eastAsia="仿宋_GB2312"/>
          <w:sz w:val="32"/>
          <w:szCs w:val="32"/>
        </w:rPr>
        <w:t>8、完成县教育局、镇党委政府交办的其他任务。</w:t>
      </w:r>
    </w:p>
    <w:p>
      <w:pPr>
        <w:spacing w:line="560" w:lineRule="exact"/>
        <w:ind w:firstLine="645"/>
        <w:jc w:val="left"/>
        <w:rPr>
          <w:rFonts w:eastAsia="仿宋_GB2312"/>
          <w:kern w:val="0"/>
          <w:sz w:val="32"/>
          <w:szCs w:val="32"/>
        </w:rPr>
      </w:pPr>
      <w:r>
        <w:rPr>
          <w:rFonts w:hint="eastAsia" w:eastAsia="仿宋_GB2312"/>
          <w:kern w:val="0"/>
          <w:sz w:val="32"/>
          <w:szCs w:val="32"/>
        </w:rPr>
        <w:fldChar w:fldCharType="begin"/>
      </w:r>
      <w:r>
        <w:rPr>
          <w:rFonts w:hint="eastAsia" w:eastAsia="仿宋_GB2312"/>
          <w:kern w:val="0"/>
          <w:sz w:val="32"/>
          <w:szCs w:val="32"/>
        </w:rPr>
        <w:instrText xml:space="preserve"> = 2 \* GB4 \* MERGEFORMAT </w:instrText>
      </w:r>
      <w:r>
        <w:rPr>
          <w:rFonts w:hint="eastAsia" w:eastAsia="仿宋_GB2312"/>
          <w:kern w:val="0"/>
          <w:sz w:val="32"/>
          <w:szCs w:val="32"/>
        </w:rPr>
        <w:fldChar w:fldCharType="separate"/>
      </w:r>
      <w:r>
        <w:rPr>
          <w:rFonts w:hint="eastAsia" w:eastAsia="仿宋_GB2312"/>
          <w:kern w:val="0"/>
          <w:sz w:val="32"/>
          <w:szCs w:val="32"/>
        </w:rPr>
        <w:t>㈡</w:t>
      </w:r>
      <w:r>
        <w:rPr>
          <w:rFonts w:hint="eastAsia" w:eastAsia="仿宋_GB2312"/>
          <w:kern w:val="0"/>
          <w:sz w:val="32"/>
          <w:szCs w:val="32"/>
        </w:rPr>
        <w:fldChar w:fldCharType="end"/>
      </w:r>
      <w:r>
        <w:rPr>
          <w:rFonts w:hint="eastAsia" w:eastAsia="仿宋_GB2312"/>
          <w:kern w:val="0"/>
          <w:sz w:val="32"/>
          <w:szCs w:val="32"/>
        </w:rPr>
        <w:t>机构设置及人员情况</w:t>
      </w:r>
    </w:p>
    <w:p>
      <w:pPr>
        <w:spacing w:line="560" w:lineRule="exact"/>
        <w:ind w:firstLine="645"/>
        <w:jc w:val="left"/>
        <w:rPr>
          <w:rFonts w:eastAsia="仿宋_GB2312"/>
          <w:kern w:val="0"/>
          <w:sz w:val="32"/>
          <w:szCs w:val="32"/>
        </w:rPr>
      </w:pPr>
      <w:r>
        <w:rPr>
          <w:rFonts w:hint="eastAsia" w:eastAsia="仿宋_GB2312"/>
          <w:kern w:val="0"/>
          <w:sz w:val="32"/>
          <w:szCs w:val="32"/>
        </w:rPr>
        <w:t>茶恩寺镇中心学校辖区范围内有公办义务教育学校</w:t>
      </w:r>
      <w:r>
        <w:rPr>
          <w:rFonts w:eastAsia="仿宋_GB2312"/>
          <w:kern w:val="0"/>
          <w:sz w:val="32"/>
          <w:szCs w:val="32"/>
        </w:rPr>
        <w:t>8</w:t>
      </w:r>
      <w:r>
        <w:rPr>
          <w:rFonts w:hint="eastAsia" w:eastAsia="仿宋_GB2312"/>
          <w:kern w:val="0"/>
          <w:sz w:val="32"/>
          <w:szCs w:val="32"/>
        </w:rPr>
        <w:t>所，其中初级中学2所，九年一贯制学校1所，小学</w:t>
      </w:r>
      <w:r>
        <w:rPr>
          <w:rFonts w:eastAsia="仿宋_GB2312"/>
          <w:kern w:val="0"/>
          <w:sz w:val="32"/>
          <w:szCs w:val="32"/>
        </w:rPr>
        <w:t>5</w:t>
      </w:r>
      <w:r>
        <w:rPr>
          <w:rFonts w:hint="eastAsia" w:eastAsia="仿宋_GB2312"/>
          <w:kern w:val="0"/>
          <w:sz w:val="32"/>
          <w:szCs w:val="32"/>
        </w:rPr>
        <w:t>所；纯公办幼儿园1所，民办幼儿园</w:t>
      </w:r>
      <w:r>
        <w:rPr>
          <w:rFonts w:eastAsia="仿宋_GB2312"/>
          <w:kern w:val="0"/>
          <w:sz w:val="32"/>
          <w:szCs w:val="32"/>
        </w:rPr>
        <w:t>3</w:t>
      </w:r>
      <w:r>
        <w:rPr>
          <w:rFonts w:hint="eastAsia" w:eastAsia="仿宋_GB2312"/>
          <w:kern w:val="0"/>
          <w:sz w:val="32"/>
          <w:szCs w:val="32"/>
        </w:rPr>
        <w:t>所。</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全镇现有编制人数</w:t>
      </w:r>
      <w:r>
        <w:rPr>
          <w:rFonts w:ascii="仿宋_GB2312" w:eastAsia="仿宋_GB2312"/>
          <w:sz w:val="32"/>
          <w:szCs w:val="32"/>
        </w:rPr>
        <w:t>181</w:t>
      </w:r>
      <w:r>
        <w:rPr>
          <w:rFonts w:hint="eastAsia" w:ascii="仿宋_GB2312" w:eastAsia="仿宋_GB2312"/>
          <w:sz w:val="32"/>
          <w:szCs w:val="32"/>
        </w:rPr>
        <w:t>人。实有在职人员</w:t>
      </w:r>
      <w:r>
        <w:rPr>
          <w:rFonts w:ascii="仿宋_GB2312" w:eastAsia="仿宋_GB2312"/>
          <w:sz w:val="32"/>
          <w:szCs w:val="32"/>
        </w:rPr>
        <w:t>180</w:t>
      </w:r>
      <w:r>
        <w:rPr>
          <w:rFonts w:hint="eastAsia" w:ascii="仿宋_GB2312" w:eastAsia="仿宋_GB2312"/>
          <w:sz w:val="32"/>
          <w:szCs w:val="32"/>
        </w:rPr>
        <w:t>人，遗属补助1</w:t>
      </w:r>
      <w:r>
        <w:rPr>
          <w:rFonts w:ascii="仿宋_GB2312" w:eastAsia="仿宋_GB2312"/>
          <w:sz w:val="32"/>
          <w:szCs w:val="32"/>
        </w:rPr>
        <w:t>2</w:t>
      </w:r>
      <w:r>
        <w:rPr>
          <w:rFonts w:hint="eastAsia" w:ascii="仿宋_GB2312" w:eastAsia="仿宋_GB2312"/>
          <w:sz w:val="32"/>
          <w:szCs w:val="32"/>
        </w:rPr>
        <w:t>人，退休人员1</w:t>
      </w:r>
      <w:r>
        <w:rPr>
          <w:rFonts w:ascii="仿宋_GB2312" w:eastAsia="仿宋_GB2312"/>
          <w:sz w:val="32"/>
          <w:szCs w:val="32"/>
        </w:rPr>
        <w:t>49</w:t>
      </w:r>
      <w:r>
        <w:rPr>
          <w:rFonts w:hint="eastAsia" w:ascii="仿宋_GB2312" w:eastAsia="仿宋_GB2312"/>
          <w:sz w:val="32"/>
          <w:szCs w:val="32"/>
        </w:rPr>
        <w:t>人。在校学生</w:t>
      </w:r>
      <w:r>
        <w:rPr>
          <w:rFonts w:ascii="仿宋_GB2312" w:eastAsia="仿宋_GB2312"/>
          <w:sz w:val="32"/>
          <w:szCs w:val="32"/>
        </w:rPr>
        <w:t>2989</w:t>
      </w:r>
      <w:r>
        <w:rPr>
          <w:rFonts w:hint="eastAsia" w:ascii="仿宋_GB2312" w:eastAsia="仿宋_GB2312"/>
          <w:sz w:val="32"/>
          <w:szCs w:val="32"/>
        </w:rPr>
        <w:t>人,其中学前教育幼儿</w:t>
      </w:r>
      <w:r>
        <w:rPr>
          <w:rFonts w:ascii="仿宋_GB2312" w:eastAsia="仿宋_GB2312"/>
          <w:sz w:val="32"/>
          <w:szCs w:val="32"/>
        </w:rPr>
        <w:t>398</w:t>
      </w:r>
      <w:r>
        <w:rPr>
          <w:rFonts w:hint="eastAsia" w:ascii="仿宋_GB2312" w:eastAsia="仿宋_GB2312"/>
          <w:sz w:val="32"/>
          <w:szCs w:val="32"/>
        </w:rPr>
        <w:t>人，小学生</w:t>
      </w:r>
      <w:r>
        <w:rPr>
          <w:rFonts w:ascii="仿宋_GB2312" w:eastAsia="仿宋_GB2312"/>
          <w:sz w:val="32"/>
          <w:szCs w:val="32"/>
        </w:rPr>
        <w:t>1649</w:t>
      </w:r>
      <w:r>
        <w:rPr>
          <w:rFonts w:hint="eastAsia" w:ascii="仿宋_GB2312" w:eastAsia="仿宋_GB2312"/>
          <w:sz w:val="32"/>
          <w:szCs w:val="32"/>
        </w:rPr>
        <w:t>人,初中生</w:t>
      </w:r>
      <w:r>
        <w:rPr>
          <w:rFonts w:ascii="仿宋_GB2312" w:eastAsia="仿宋_GB2312"/>
          <w:sz w:val="32"/>
          <w:szCs w:val="32"/>
        </w:rPr>
        <w:t>942</w:t>
      </w:r>
      <w:r>
        <w:rPr>
          <w:rFonts w:hint="eastAsia" w:ascii="仿宋_GB2312" w:eastAsia="仿宋_GB2312"/>
          <w:sz w:val="32"/>
          <w:szCs w:val="32"/>
        </w:rPr>
        <w:t>人。义务教育学校寄宿学生9</w:t>
      </w:r>
      <w:r>
        <w:rPr>
          <w:rFonts w:ascii="仿宋_GB2312" w:eastAsia="仿宋_GB2312"/>
          <w:sz w:val="32"/>
          <w:szCs w:val="32"/>
        </w:rPr>
        <w:t>8</w:t>
      </w:r>
      <w:r>
        <w:rPr>
          <w:rFonts w:hint="eastAsia" w:ascii="仿宋_GB2312" w:eastAsia="仿宋_GB2312"/>
          <w:sz w:val="32"/>
          <w:szCs w:val="32"/>
        </w:rPr>
        <w:t>2人，其中小学1</w:t>
      </w:r>
      <w:r>
        <w:rPr>
          <w:rFonts w:ascii="仿宋_GB2312" w:eastAsia="仿宋_GB2312"/>
          <w:sz w:val="32"/>
          <w:szCs w:val="32"/>
        </w:rPr>
        <w:t>57</w:t>
      </w:r>
      <w:r>
        <w:rPr>
          <w:rFonts w:hint="eastAsia" w:ascii="仿宋_GB2312" w:eastAsia="仿宋_GB2312"/>
          <w:sz w:val="32"/>
          <w:szCs w:val="32"/>
        </w:rPr>
        <w:t>人，初中8</w:t>
      </w:r>
      <w:r>
        <w:rPr>
          <w:rFonts w:ascii="仿宋_GB2312" w:eastAsia="仿宋_GB2312"/>
          <w:sz w:val="32"/>
          <w:szCs w:val="32"/>
        </w:rPr>
        <w:t>25</w:t>
      </w:r>
      <w:r>
        <w:rPr>
          <w:rFonts w:hint="eastAsia" w:ascii="仿宋_GB2312" w:eastAsia="仿宋_GB2312"/>
          <w:sz w:val="32"/>
          <w:szCs w:val="32"/>
        </w:rPr>
        <w:t>人。</w:t>
      </w:r>
    </w:p>
    <w:p>
      <w:pPr>
        <w:spacing w:line="560" w:lineRule="exact"/>
        <w:ind w:firstLine="602" w:firstLineChars="200"/>
        <w:jc w:val="left"/>
        <w:rPr>
          <w:rFonts w:ascii="仿宋_GB2312" w:eastAsia="仿宋_GB2312"/>
          <w:sz w:val="30"/>
          <w:szCs w:val="30"/>
        </w:rPr>
      </w:pPr>
      <w:r>
        <w:rPr>
          <w:rFonts w:hint="eastAsia" w:ascii="仿宋_GB2312" w:eastAsia="仿宋_GB2312"/>
          <w:b/>
          <w:sz w:val="30"/>
          <w:szCs w:val="30"/>
        </w:rPr>
        <w:t>二、部门预算单位构成</w:t>
      </w:r>
    </w:p>
    <w:p>
      <w:pPr>
        <w:pStyle w:val="9"/>
        <w:shd w:val="clear" w:color="auto" w:fill="FFFFFF"/>
        <w:spacing w:line="560" w:lineRule="exact"/>
        <w:ind w:firstLine="640" w:firstLineChars="200"/>
        <w:rPr>
          <w:rFonts w:eastAsia="仿宋_GB2312"/>
          <w:kern w:val="0"/>
          <w:sz w:val="32"/>
          <w:szCs w:val="32"/>
        </w:rPr>
      </w:pPr>
      <w:r>
        <w:rPr>
          <w:rFonts w:hint="eastAsia" w:eastAsia="仿宋_GB2312"/>
          <w:kern w:val="0"/>
          <w:sz w:val="32"/>
          <w:szCs w:val="32"/>
        </w:rPr>
        <w:t>本部门为汇总预算，纳入编制范围的预算单位包括：辖区内的中小学校</w:t>
      </w:r>
      <w:r>
        <w:rPr>
          <w:rFonts w:eastAsia="仿宋_GB2312"/>
          <w:kern w:val="0"/>
          <w:sz w:val="32"/>
          <w:szCs w:val="32"/>
        </w:rPr>
        <w:t>8</w:t>
      </w:r>
      <w:r>
        <w:rPr>
          <w:rFonts w:hint="eastAsia" w:eastAsia="仿宋_GB2312"/>
          <w:kern w:val="0"/>
          <w:sz w:val="32"/>
          <w:szCs w:val="32"/>
        </w:rPr>
        <w:t>所、公办幼儿园1所。</w:t>
      </w:r>
    </w:p>
    <w:p>
      <w:pPr>
        <w:spacing w:line="560" w:lineRule="exact"/>
        <w:ind w:firstLine="452" w:firstLineChars="150"/>
        <w:rPr>
          <w:rFonts w:ascii="仿宋_GB2312" w:eastAsia="仿宋_GB2312"/>
          <w:b/>
          <w:sz w:val="30"/>
          <w:szCs w:val="30"/>
        </w:rPr>
      </w:pPr>
      <w:r>
        <w:rPr>
          <w:rFonts w:hint="eastAsia" w:ascii="仿宋_GB2312" w:eastAsia="仿宋_GB2312"/>
          <w:b/>
          <w:sz w:val="30"/>
          <w:szCs w:val="30"/>
        </w:rPr>
        <w:t xml:space="preserve"> 三、部门收支总体情况</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1、收入预算：2024年本部门收入预算</w:t>
      </w:r>
      <w:r>
        <w:rPr>
          <w:rFonts w:ascii="仿宋_GB2312" w:eastAsia="仿宋_GB2312"/>
          <w:sz w:val="32"/>
          <w:szCs w:val="32"/>
        </w:rPr>
        <w:t>2,596.25</w:t>
      </w:r>
      <w:r>
        <w:rPr>
          <w:rFonts w:hint="eastAsia" w:ascii="仿宋_GB2312" w:eastAsia="仿宋_GB2312"/>
          <w:sz w:val="32"/>
          <w:szCs w:val="32"/>
        </w:rPr>
        <w:t>万元，其中一般公共预算拨款</w:t>
      </w:r>
      <w:r>
        <w:rPr>
          <w:rFonts w:ascii="仿宋_GB2312" w:eastAsia="仿宋_GB2312"/>
          <w:sz w:val="32"/>
          <w:szCs w:val="32"/>
        </w:rPr>
        <w:t>2333.99</w:t>
      </w:r>
      <w:r>
        <w:rPr>
          <w:rFonts w:hint="eastAsia" w:ascii="仿宋_GB2312" w:eastAsia="仿宋_GB2312"/>
          <w:sz w:val="32"/>
          <w:szCs w:val="32"/>
        </w:rPr>
        <w:t>万元，政府性基金预算拨款0万元，上级补助收入</w:t>
      </w:r>
      <w:r>
        <w:rPr>
          <w:rFonts w:ascii="仿宋_GB2312" w:eastAsia="仿宋_GB2312"/>
          <w:sz w:val="32"/>
          <w:szCs w:val="32"/>
        </w:rPr>
        <w:t>242.26</w:t>
      </w:r>
      <w:r>
        <w:rPr>
          <w:rFonts w:hint="eastAsia" w:ascii="仿宋_GB2312" w:eastAsia="仿宋_GB2312"/>
          <w:sz w:val="32"/>
          <w:szCs w:val="32"/>
        </w:rPr>
        <w:t>万元，纳入专户管理的非税收入拨款</w:t>
      </w:r>
      <w:r>
        <w:rPr>
          <w:rFonts w:ascii="仿宋_GB2312" w:eastAsia="仿宋_GB2312"/>
          <w:sz w:val="32"/>
          <w:szCs w:val="32"/>
        </w:rPr>
        <w:t>2</w:t>
      </w:r>
      <w:r>
        <w:rPr>
          <w:rFonts w:hint="eastAsia" w:ascii="仿宋_GB2312" w:eastAsia="仿宋_GB2312"/>
          <w:sz w:val="32"/>
          <w:szCs w:val="32"/>
        </w:rPr>
        <w:t>0万元。收入预算较去年增加</w:t>
      </w:r>
      <w:r>
        <w:rPr>
          <w:rFonts w:ascii="仿宋_GB2312" w:eastAsia="仿宋_GB2312"/>
          <w:sz w:val="32"/>
          <w:szCs w:val="32"/>
        </w:rPr>
        <w:t>122</w:t>
      </w:r>
      <w:r>
        <w:rPr>
          <w:rFonts w:hint="eastAsia" w:ascii="仿宋_GB2312" w:eastAsia="仿宋_GB2312"/>
          <w:sz w:val="32"/>
          <w:szCs w:val="32"/>
        </w:rPr>
        <w:t xml:space="preserve">万元，主要是本年度生均公用经费预算年初已下达到乡镇中心学校。       </w:t>
      </w:r>
    </w:p>
    <w:p>
      <w:pPr>
        <w:pStyle w:val="9"/>
        <w:shd w:val="clear" w:color="auto" w:fill="FFFFFF"/>
        <w:spacing w:line="450" w:lineRule="atLeast"/>
        <w:ind w:firstLine="480"/>
        <w:rPr>
          <w:rFonts w:eastAsia="仿宋_GB2312"/>
          <w:kern w:val="0"/>
          <w:sz w:val="32"/>
          <w:szCs w:val="32"/>
        </w:rPr>
      </w:pPr>
      <w:r>
        <w:rPr>
          <w:rFonts w:hint="eastAsia" w:ascii="仿宋_GB2312" w:eastAsia="仿宋_GB2312"/>
          <w:sz w:val="32"/>
          <w:szCs w:val="32"/>
        </w:rPr>
        <w:t>2、支出预算：2024年本部门支出预算</w:t>
      </w:r>
      <w:r>
        <w:rPr>
          <w:rFonts w:ascii="仿宋_GB2312" w:eastAsia="仿宋_GB2312"/>
          <w:sz w:val="32"/>
          <w:szCs w:val="32"/>
        </w:rPr>
        <w:t>2,596.25</w:t>
      </w:r>
      <w:r>
        <w:rPr>
          <w:rFonts w:hint="eastAsia" w:ascii="仿宋_GB2312" w:eastAsia="仿宋_GB2312"/>
          <w:sz w:val="32"/>
          <w:szCs w:val="32"/>
        </w:rPr>
        <w:t>万元，其中：教育支出</w:t>
      </w:r>
      <w:r>
        <w:rPr>
          <w:rFonts w:ascii="仿宋_GB2312" w:eastAsia="仿宋_GB2312"/>
          <w:sz w:val="32"/>
          <w:szCs w:val="32"/>
        </w:rPr>
        <w:t>2,596.25</w:t>
      </w:r>
      <w:r>
        <w:rPr>
          <w:rFonts w:hint="eastAsia" w:ascii="仿宋_GB2312" w:eastAsia="仿宋_GB2312"/>
          <w:sz w:val="32"/>
          <w:szCs w:val="32"/>
        </w:rPr>
        <w:t>万元，社会保障和就业支出</w:t>
      </w:r>
      <w:r>
        <w:rPr>
          <w:rFonts w:ascii="仿宋_GB2312" w:eastAsia="仿宋_GB2312"/>
          <w:sz w:val="32"/>
          <w:szCs w:val="32"/>
        </w:rPr>
        <w:t>0</w:t>
      </w:r>
      <w:r>
        <w:rPr>
          <w:rFonts w:hint="eastAsia" w:ascii="仿宋_GB2312" w:eastAsia="仿宋_GB2312"/>
          <w:sz w:val="32"/>
          <w:szCs w:val="32"/>
        </w:rPr>
        <w:t>万元，卫生健康支出</w:t>
      </w:r>
      <w:r>
        <w:rPr>
          <w:rFonts w:ascii="仿宋_GB2312" w:eastAsia="仿宋_GB2312"/>
          <w:sz w:val="32"/>
          <w:szCs w:val="32"/>
        </w:rPr>
        <w:t>0</w:t>
      </w:r>
      <w:r>
        <w:rPr>
          <w:rFonts w:hint="eastAsia" w:ascii="仿宋_GB2312" w:eastAsia="仿宋_GB2312"/>
          <w:sz w:val="32"/>
          <w:szCs w:val="32"/>
        </w:rPr>
        <w:t>万元。支出预算较去年增加1</w:t>
      </w:r>
      <w:r>
        <w:rPr>
          <w:rFonts w:ascii="仿宋_GB2312" w:eastAsia="仿宋_GB2312"/>
          <w:sz w:val="32"/>
          <w:szCs w:val="32"/>
        </w:rPr>
        <w:t>22</w:t>
      </w:r>
      <w:r>
        <w:rPr>
          <w:rFonts w:hint="eastAsia" w:ascii="仿宋_GB2312" w:eastAsia="仿宋_GB2312"/>
          <w:sz w:val="32"/>
          <w:szCs w:val="32"/>
        </w:rPr>
        <w:t>万元，主要是本年度生均公用经费预算年初已下达到乡镇中心学校。</w:t>
      </w:r>
    </w:p>
    <w:p>
      <w:pPr>
        <w:spacing w:line="560" w:lineRule="exact"/>
        <w:ind w:firstLine="645"/>
        <w:jc w:val="left"/>
        <w:rPr>
          <w:rFonts w:ascii="仿宋_GB2312" w:eastAsia="仿宋_GB2312"/>
          <w:b/>
          <w:bCs/>
          <w:sz w:val="30"/>
          <w:szCs w:val="30"/>
        </w:rPr>
      </w:pPr>
      <w:r>
        <w:rPr>
          <w:rFonts w:hint="eastAsia" w:ascii="仿宋_GB2312" w:eastAsia="仿宋_GB2312"/>
          <w:b/>
          <w:bCs/>
          <w:sz w:val="30"/>
          <w:szCs w:val="30"/>
        </w:rPr>
        <w:t>四、一般公共预算拨款支出</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2024年本部门一般公共预算拨款支出预算2</w:t>
      </w:r>
      <w:r>
        <w:rPr>
          <w:rFonts w:ascii="仿宋_GB2312" w:eastAsia="仿宋_GB2312"/>
          <w:sz w:val="32"/>
          <w:szCs w:val="32"/>
        </w:rPr>
        <w:t>333.99</w:t>
      </w:r>
      <w:r>
        <w:rPr>
          <w:rFonts w:hint="eastAsia" w:ascii="仿宋_GB2312" w:eastAsia="仿宋_GB2312"/>
          <w:sz w:val="32"/>
          <w:szCs w:val="32"/>
        </w:rPr>
        <w:t>万元，其中教育支出</w:t>
      </w:r>
      <w:r>
        <w:rPr>
          <w:rFonts w:ascii="仿宋_GB2312" w:eastAsia="仿宋_GB2312"/>
          <w:sz w:val="32"/>
          <w:szCs w:val="32"/>
        </w:rPr>
        <w:t>2333.99</w:t>
      </w:r>
      <w:r>
        <w:rPr>
          <w:rFonts w:hint="eastAsia" w:ascii="仿宋_GB2312" w:eastAsia="仿宋_GB2312"/>
          <w:sz w:val="32"/>
          <w:szCs w:val="32"/>
        </w:rPr>
        <w:t>万元，占一般公共预算拨款支出的</w:t>
      </w:r>
      <w:r>
        <w:rPr>
          <w:rFonts w:ascii="仿宋_GB2312" w:eastAsia="仿宋_GB2312"/>
          <w:sz w:val="32"/>
          <w:szCs w:val="32"/>
        </w:rPr>
        <w:t>100</w:t>
      </w:r>
      <w:r>
        <w:rPr>
          <w:rFonts w:hint="eastAsia" w:ascii="仿宋_GB2312" w:eastAsia="仿宋_GB2312"/>
          <w:sz w:val="32"/>
          <w:szCs w:val="32"/>
        </w:rPr>
        <w:t>%；社会保障和就业支出</w:t>
      </w:r>
      <w:r>
        <w:rPr>
          <w:rFonts w:ascii="仿宋_GB2312" w:eastAsia="仿宋_GB2312"/>
          <w:sz w:val="32"/>
          <w:szCs w:val="32"/>
        </w:rPr>
        <w:t>0</w:t>
      </w:r>
      <w:r>
        <w:rPr>
          <w:rFonts w:hint="eastAsia" w:ascii="仿宋_GB2312" w:eastAsia="仿宋_GB2312"/>
          <w:sz w:val="32"/>
          <w:szCs w:val="32"/>
        </w:rPr>
        <w:t>万元；卫生健康支出</w:t>
      </w:r>
      <w:r>
        <w:rPr>
          <w:rFonts w:ascii="仿宋_GB2312" w:eastAsia="仿宋_GB2312"/>
          <w:sz w:val="32"/>
          <w:szCs w:val="32"/>
        </w:rPr>
        <w:t>0</w:t>
      </w:r>
      <w:r>
        <w:rPr>
          <w:rFonts w:hint="eastAsia" w:ascii="仿宋_GB2312" w:eastAsia="仿宋_GB2312"/>
          <w:sz w:val="32"/>
          <w:szCs w:val="32"/>
        </w:rPr>
        <w:t>万元。具体安排情况如下：</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fldChar w:fldCharType="begin"/>
      </w:r>
      <w:r>
        <w:rPr>
          <w:rFonts w:hint="eastAsia" w:ascii="仿宋_GB2312" w:eastAsia="仿宋_GB2312"/>
          <w:sz w:val="32"/>
          <w:szCs w:val="32"/>
        </w:rPr>
        <w:instrText xml:space="preserve"> = 1 \* GB4 \* MERGEFORMAT </w:instrText>
      </w:r>
      <w:r>
        <w:rPr>
          <w:rFonts w:hint="eastAsia" w:ascii="仿宋_GB2312" w:eastAsia="仿宋_GB2312"/>
          <w:sz w:val="32"/>
          <w:szCs w:val="32"/>
        </w:rPr>
        <w:fldChar w:fldCharType="separate"/>
      </w:r>
      <w:r>
        <w:rPr>
          <w:rFonts w:hint="eastAsia" w:ascii="仿宋_GB2312" w:eastAsia="仿宋_GB2312"/>
          <w:sz w:val="32"/>
          <w:szCs w:val="32"/>
        </w:rPr>
        <w:t>㈠</w:t>
      </w:r>
      <w:r>
        <w:rPr>
          <w:rFonts w:hint="eastAsia" w:ascii="仿宋_GB2312" w:eastAsia="仿宋_GB2312"/>
          <w:sz w:val="32"/>
          <w:szCs w:val="32"/>
        </w:rPr>
        <w:fldChar w:fldCharType="end"/>
      </w:r>
      <w:r>
        <w:rPr>
          <w:rFonts w:hint="eastAsia" w:ascii="仿宋_GB2312" w:eastAsia="仿宋_GB2312"/>
          <w:sz w:val="32"/>
          <w:szCs w:val="32"/>
        </w:rPr>
        <w:t xml:space="preserve"> 基本支出：</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2024年本部门基本支出预算</w:t>
      </w:r>
      <w:r>
        <w:rPr>
          <w:rFonts w:ascii="仿宋_GB2312" w:eastAsia="仿宋_GB2312"/>
          <w:sz w:val="32"/>
          <w:szCs w:val="32"/>
        </w:rPr>
        <w:t>2,303.75</w:t>
      </w:r>
      <w:r>
        <w:rPr>
          <w:rFonts w:hint="eastAsia" w:ascii="仿宋_GB2312" w:eastAsia="仿宋_GB2312"/>
          <w:sz w:val="32"/>
          <w:szCs w:val="32"/>
        </w:rPr>
        <w:t>万元，主要是为保障部门正常运转、完成日常工作任务而发生的各项支出，包括用于基本工资、津贴补贴、绩效工资、养老保险、医疗保险等。</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fldChar w:fldCharType="begin"/>
      </w:r>
      <w:r>
        <w:rPr>
          <w:rFonts w:hint="eastAsia" w:ascii="仿宋_GB2312" w:eastAsia="仿宋_GB2312"/>
          <w:sz w:val="32"/>
          <w:szCs w:val="32"/>
        </w:rPr>
        <w:instrText xml:space="preserve"> = 2 \* GB4 </w:instrText>
      </w:r>
      <w:r>
        <w:rPr>
          <w:rFonts w:hint="eastAsia" w:ascii="仿宋_GB2312" w:eastAsia="仿宋_GB2312"/>
          <w:sz w:val="32"/>
          <w:szCs w:val="32"/>
        </w:rPr>
        <w:fldChar w:fldCharType="separate"/>
      </w:r>
      <w:r>
        <w:rPr>
          <w:rFonts w:hint="eastAsia" w:ascii="仿宋_GB2312" w:eastAsia="仿宋_GB2312"/>
          <w:sz w:val="32"/>
          <w:szCs w:val="32"/>
        </w:rPr>
        <w:t>㈡</w:t>
      </w:r>
      <w:r>
        <w:rPr>
          <w:rFonts w:hint="eastAsia" w:ascii="仿宋_GB2312" w:eastAsia="仿宋_GB2312"/>
          <w:sz w:val="32"/>
          <w:szCs w:val="32"/>
        </w:rPr>
        <w:fldChar w:fldCharType="end"/>
      </w:r>
      <w:r>
        <w:rPr>
          <w:rFonts w:hint="eastAsia" w:ascii="仿宋_GB2312" w:eastAsia="仿宋_GB2312"/>
          <w:sz w:val="32"/>
          <w:szCs w:val="32"/>
        </w:rPr>
        <w:t xml:space="preserve"> 项目支出：</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2024年本部门项目支出预算</w:t>
      </w:r>
      <w:r>
        <w:rPr>
          <w:rFonts w:ascii="仿宋_GB2312" w:eastAsia="仿宋_GB2312"/>
          <w:sz w:val="32"/>
          <w:szCs w:val="32"/>
        </w:rPr>
        <w:t>30.23</w:t>
      </w:r>
      <w:r>
        <w:rPr>
          <w:rFonts w:hint="eastAsia" w:ascii="仿宋_GB2312" w:eastAsia="仿宋_GB2312"/>
          <w:sz w:val="32"/>
          <w:szCs w:val="32"/>
        </w:rPr>
        <w:t>万元，主要是部门为完成特定事业发展目标而发生的支出，包括有关事业发展专项、专项业务费、基本建设支出等，其中：按项目管理的商品服务支出</w:t>
      </w:r>
      <w:r>
        <w:rPr>
          <w:rFonts w:ascii="仿宋_GB2312" w:eastAsia="仿宋_GB2312"/>
          <w:sz w:val="32"/>
          <w:szCs w:val="32"/>
        </w:rPr>
        <w:t>30.23</w:t>
      </w:r>
      <w:r>
        <w:rPr>
          <w:rFonts w:hint="eastAsia" w:ascii="仿宋_GB2312" w:eastAsia="仿宋_GB2312"/>
          <w:sz w:val="32"/>
          <w:szCs w:val="32"/>
        </w:rPr>
        <w:t>万元，主要用于校舍维修、专用设备的购置等方面。</w:t>
      </w:r>
    </w:p>
    <w:p>
      <w:pPr>
        <w:pStyle w:val="9"/>
        <w:numPr>
          <w:ilvl w:val="0"/>
          <w:numId w:val="3"/>
        </w:numPr>
        <w:shd w:val="clear" w:color="auto" w:fill="FFFFFF"/>
        <w:spacing w:line="450" w:lineRule="atLeast"/>
        <w:rPr>
          <w:rFonts w:ascii="仿宋_GB2312" w:eastAsia="仿宋_GB2312"/>
          <w:sz w:val="32"/>
          <w:szCs w:val="32"/>
        </w:rPr>
      </w:pPr>
      <w:r>
        <w:rPr>
          <w:rFonts w:hint="eastAsia" w:ascii="仿宋_GB2312" w:eastAsia="仿宋_GB2312"/>
          <w:sz w:val="32"/>
          <w:szCs w:val="32"/>
        </w:rPr>
        <w:t>校舍维修20万。</w:t>
      </w:r>
    </w:p>
    <w:p>
      <w:pPr>
        <w:pStyle w:val="9"/>
        <w:numPr>
          <w:ilvl w:val="0"/>
          <w:numId w:val="3"/>
        </w:numPr>
        <w:shd w:val="clear" w:color="auto" w:fill="FFFFFF"/>
        <w:spacing w:line="450" w:lineRule="atLeast"/>
        <w:rPr>
          <w:rFonts w:eastAsia="仿宋_GB2312"/>
          <w:kern w:val="0"/>
          <w:sz w:val="32"/>
          <w:szCs w:val="32"/>
        </w:rPr>
      </w:pPr>
      <w:r>
        <w:rPr>
          <w:rFonts w:hint="eastAsia" w:ascii="仿宋_GB2312" w:eastAsia="仿宋_GB2312"/>
          <w:sz w:val="32"/>
          <w:szCs w:val="32"/>
        </w:rPr>
        <w:t>专用设备购置10.23万。</w:t>
      </w:r>
    </w:p>
    <w:p>
      <w:pPr>
        <w:pStyle w:val="9"/>
        <w:shd w:val="clear" w:color="auto" w:fill="FFFFFF"/>
        <w:spacing w:line="560" w:lineRule="exact"/>
        <w:rPr>
          <w:rFonts w:ascii="仿宋_GB2312" w:eastAsia="仿宋_GB2312"/>
          <w:b/>
          <w:bCs/>
          <w:sz w:val="30"/>
          <w:szCs w:val="30"/>
        </w:rPr>
      </w:pPr>
      <w:r>
        <w:rPr>
          <w:rFonts w:hint="eastAsia" w:ascii="仿宋_GB2312" w:eastAsia="仿宋_GB2312"/>
          <w:b/>
          <w:bCs/>
          <w:sz w:val="30"/>
          <w:szCs w:val="30"/>
        </w:rPr>
        <w:t>五、政府性基金预算安排的支出：</w:t>
      </w:r>
    </w:p>
    <w:p>
      <w:pPr>
        <w:spacing w:line="560" w:lineRule="exact"/>
        <w:ind w:firstLine="645"/>
        <w:jc w:val="left"/>
        <w:rPr>
          <w:rFonts w:ascii="仿宋_GB2312" w:eastAsia="仿宋_GB2312"/>
          <w:sz w:val="30"/>
          <w:szCs w:val="30"/>
        </w:rPr>
      </w:pPr>
      <w:r>
        <w:rPr>
          <w:rFonts w:hint="eastAsia" w:eastAsia="仿宋_GB2312"/>
          <w:kern w:val="0"/>
          <w:sz w:val="32"/>
          <w:szCs w:val="32"/>
        </w:rPr>
        <w:t>本部门无政府性基金预算安排的支出。</w:t>
      </w:r>
    </w:p>
    <w:p>
      <w:pPr>
        <w:spacing w:line="560" w:lineRule="exact"/>
        <w:jc w:val="left"/>
        <w:rPr>
          <w:rFonts w:ascii="仿宋_GB2312" w:eastAsia="仿宋_GB2312"/>
          <w:b/>
          <w:bCs/>
          <w:sz w:val="30"/>
          <w:szCs w:val="30"/>
        </w:rPr>
      </w:pPr>
      <w:r>
        <w:rPr>
          <w:rFonts w:hint="eastAsia" w:ascii="仿宋_GB2312" w:eastAsia="仿宋_GB2312"/>
          <w:b/>
          <w:bCs/>
          <w:sz w:val="30"/>
          <w:szCs w:val="30"/>
        </w:rPr>
        <w:t>六、其他重要事项的情况说明：</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1、“ 三公”经费预算</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2024年本部门所辖的各中小学校公共财政拨款安排“三公”经费预算0万元，其中：公务接待费0万元、公务用车购置及运行费0万元（其中，公务用车购置费0万元，公务用车运行费0万元），因公出国（境）费0万元。2024年“三公经费”预算与202</w:t>
      </w:r>
      <w:r>
        <w:rPr>
          <w:rFonts w:ascii="仿宋_GB2312" w:eastAsia="仿宋_GB2312"/>
          <w:sz w:val="32"/>
          <w:szCs w:val="32"/>
        </w:rPr>
        <w:t>3</w:t>
      </w:r>
      <w:r>
        <w:rPr>
          <w:rFonts w:hint="eastAsia" w:ascii="仿宋_GB2312" w:eastAsia="仿宋_GB2312"/>
          <w:sz w:val="32"/>
          <w:szCs w:val="32"/>
        </w:rPr>
        <w:t>年基本相同。主要是在公务接待方面我们严格按公务接待标准和要求执行，尽量减少接待人次和餐数。</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2、一般性支出情况：2024年本部门会议费预算6.82万元，预计召开会议40次，人数为180人次，内容为开学工作、教育教学、安全工作、师德师风等；培训费预算11.3668万元，预计组织教师培训180人次，主要内容为校本培训、新教师培训、班主任培训等。</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3、政府采购安排情况：</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2024年本部门政府采购预算总额21.67万元，其中，货物类采购预算21.67万元；</w:t>
      </w:r>
      <w:r>
        <w:rPr>
          <w:rFonts w:eastAsia="仿宋_GB2312"/>
          <w:sz w:val="32"/>
          <w:szCs w:val="32"/>
        </w:rPr>
        <w:t>工程类采购预算</w:t>
      </w:r>
      <w:r>
        <w:rPr>
          <w:rFonts w:hint="eastAsia" w:eastAsia="仿宋_GB2312"/>
          <w:sz w:val="32"/>
          <w:szCs w:val="32"/>
        </w:rPr>
        <w:t>0</w:t>
      </w:r>
      <w:r>
        <w:rPr>
          <w:rFonts w:eastAsia="仿宋_GB2312"/>
          <w:sz w:val="32"/>
          <w:szCs w:val="32"/>
        </w:rPr>
        <w:t>万元；服务类采购预算</w:t>
      </w:r>
      <w:r>
        <w:rPr>
          <w:rFonts w:hint="eastAsia" w:eastAsia="仿宋_GB2312"/>
          <w:sz w:val="32"/>
          <w:szCs w:val="32"/>
        </w:rPr>
        <w:t>0</w:t>
      </w:r>
      <w:r>
        <w:rPr>
          <w:rFonts w:eastAsia="仿宋_GB2312"/>
          <w:sz w:val="32"/>
          <w:szCs w:val="32"/>
        </w:rPr>
        <w:t>万元</w:t>
      </w:r>
      <w:r>
        <w:rPr>
          <w:rFonts w:hint="eastAsia" w:ascii="仿宋_GB2312" w:eastAsia="仿宋_GB2312"/>
          <w:sz w:val="32"/>
          <w:szCs w:val="32"/>
        </w:rPr>
        <w:t>。</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4、国有资产占用使用及新增资产配置情况：</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截</w:t>
      </w:r>
      <w:r>
        <w:rPr>
          <w:rFonts w:hint="eastAsia" w:ascii="仿宋_GB2312" w:eastAsia="仿宋_GB2312"/>
          <w:sz w:val="32"/>
          <w:szCs w:val="32"/>
          <w:lang w:val="en-US" w:eastAsia="zh-CN"/>
        </w:rPr>
        <w:t>至</w:t>
      </w:r>
      <w:r>
        <w:rPr>
          <w:rFonts w:hint="eastAsia" w:ascii="仿宋_GB2312" w:eastAsia="仿宋_GB2312"/>
          <w:sz w:val="32"/>
          <w:szCs w:val="32"/>
        </w:rPr>
        <w:t>2023年12月底，本部门共有公务用车0辆。单位价值50万元以上通用设备 0 台，单位价值100万元以上专用设备 0 台。</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2024年拟新增配置公务用车0辆；新增配备单位价值50万元以上通用设备0台，单位价值100万元以上专用设备0台。</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5、预算绩效目标情况说明：</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本部门所有支出实行绩效目标管理。纳入2024年部门整体支出绩效目标的金额为</w:t>
      </w:r>
      <w:r>
        <w:rPr>
          <w:rFonts w:ascii="仿宋_GB2312" w:eastAsia="仿宋_GB2312"/>
          <w:sz w:val="32"/>
          <w:szCs w:val="32"/>
        </w:rPr>
        <w:t>2,596.25</w:t>
      </w:r>
      <w:r>
        <w:rPr>
          <w:rFonts w:hint="eastAsia" w:ascii="仿宋_GB2312" w:eastAsia="仿宋_GB2312"/>
          <w:sz w:val="32"/>
          <w:szCs w:val="32"/>
        </w:rPr>
        <w:t>万元，其中，基本支出</w:t>
      </w:r>
      <w:r>
        <w:rPr>
          <w:rFonts w:ascii="仿宋_GB2312" w:eastAsia="仿宋_GB2312"/>
          <w:sz w:val="32"/>
          <w:szCs w:val="32"/>
        </w:rPr>
        <w:t>2,303.75</w:t>
      </w:r>
      <w:r>
        <w:rPr>
          <w:rFonts w:hint="eastAsia" w:ascii="仿宋_GB2312" w:eastAsia="仿宋_GB2312"/>
          <w:sz w:val="32"/>
          <w:szCs w:val="32"/>
        </w:rPr>
        <w:t>万元，项目支出</w:t>
      </w:r>
      <w:r>
        <w:rPr>
          <w:rFonts w:ascii="仿宋_GB2312" w:eastAsia="仿宋_GB2312"/>
          <w:sz w:val="32"/>
          <w:szCs w:val="32"/>
        </w:rPr>
        <w:t>292.50</w:t>
      </w:r>
      <w:r>
        <w:rPr>
          <w:rFonts w:hint="eastAsia" w:ascii="仿宋_GB2312" w:eastAsia="仿宋_GB2312"/>
          <w:sz w:val="32"/>
          <w:szCs w:val="32"/>
        </w:rPr>
        <w:t>万元，具体绩效目标详见附表。</w:t>
      </w:r>
    </w:p>
    <w:p>
      <w:pPr>
        <w:widowControl/>
        <w:shd w:val="clear" w:color="auto" w:fill="FFFFFF"/>
        <w:ind w:firstLine="602" w:firstLineChars="200"/>
        <w:jc w:val="left"/>
        <w:rPr>
          <w:rFonts w:ascii="仿宋_GB2312" w:eastAsia="仿宋_GB2312"/>
          <w:b/>
          <w:bCs/>
          <w:sz w:val="30"/>
          <w:szCs w:val="30"/>
        </w:rPr>
      </w:pPr>
      <w:r>
        <w:rPr>
          <w:rFonts w:hint="eastAsia" w:ascii="仿宋_GB2312" w:eastAsia="仿宋_GB2312"/>
          <w:b/>
          <w:bCs/>
          <w:sz w:val="30"/>
          <w:szCs w:val="30"/>
        </w:rPr>
        <w:t>七、名词解释</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pStyle w:val="9"/>
        <w:shd w:val="clear" w:color="auto" w:fill="FFFFFF"/>
        <w:spacing w:line="450" w:lineRule="atLeast"/>
        <w:ind w:firstLine="480"/>
        <w:rPr>
          <w:rFonts w:ascii="仿宋_GB2312" w:eastAsia="仿宋_GB2312"/>
          <w:sz w:val="32"/>
          <w:szCs w:val="32"/>
        </w:rPr>
      </w:pPr>
    </w:p>
    <w:p>
      <w:pPr>
        <w:spacing w:line="560" w:lineRule="exact"/>
        <w:jc w:val="left"/>
        <w:rPr>
          <w:rFonts w:eastAsia="仿宋_GB2312"/>
          <w:kern w:val="0"/>
          <w:sz w:val="32"/>
          <w:szCs w:val="32"/>
        </w:rPr>
      </w:pPr>
    </w:p>
    <w:p>
      <w:pPr>
        <w:spacing w:line="560" w:lineRule="exact"/>
        <w:jc w:val="left"/>
        <w:rPr>
          <w:rFonts w:eastAsia="仿宋_GB2312"/>
          <w:kern w:val="0"/>
          <w:sz w:val="32"/>
          <w:szCs w:val="32"/>
        </w:rPr>
      </w:pPr>
    </w:p>
    <w:p>
      <w:pPr>
        <w:spacing w:line="560" w:lineRule="exact"/>
        <w:jc w:val="left"/>
        <w:rPr>
          <w:rFonts w:eastAsia="仿宋_GB2312"/>
          <w:kern w:val="0"/>
          <w:sz w:val="32"/>
          <w:szCs w:val="32"/>
        </w:rPr>
      </w:pPr>
    </w:p>
    <w:p>
      <w:pPr>
        <w:spacing w:line="560" w:lineRule="exact"/>
        <w:jc w:val="left"/>
        <w:rPr>
          <w:rFonts w:eastAsia="仿宋_GB2312"/>
          <w:kern w:val="0"/>
          <w:sz w:val="32"/>
          <w:szCs w:val="32"/>
        </w:rPr>
      </w:pPr>
    </w:p>
    <w:p>
      <w:pPr>
        <w:spacing w:line="560" w:lineRule="exact"/>
        <w:jc w:val="center"/>
        <w:rPr>
          <w:rFonts w:ascii="仿宋" w:hAnsi="仿宋" w:eastAsia="仿宋" w:cs="仿宋"/>
          <w:sz w:val="32"/>
          <w:szCs w:val="32"/>
        </w:rPr>
      </w:pPr>
      <w:r>
        <w:rPr>
          <w:rFonts w:hint="eastAsia" w:ascii="仿宋" w:hAnsi="仿宋" w:eastAsia="仿宋" w:cs="仿宋"/>
          <w:sz w:val="32"/>
          <w:szCs w:val="32"/>
        </w:rPr>
        <w:t>第二部分  2024年部门预算表</w:t>
      </w:r>
    </w:p>
    <w:p>
      <w:pPr>
        <w:ind w:firstLine="1343" w:firstLineChars="446"/>
        <w:rPr>
          <w:rFonts w:eastAsia="黑体"/>
          <w:color w:val="000000"/>
          <w:kern w:val="0"/>
          <w:sz w:val="2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经费预算公开表格（表1）</w:t>
      </w:r>
    </w:p>
    <w:p>
      <w:pPr>
        <w:jc w:val="center"/>
        <w:rPr>
          <w:rFonts w:eastAsia="方正小标宋简体"/>
          <w:color w:val="000000"/>
          <w:kern w:val="0"/>
          <w:sz w:val="40"/>
          <w:szCs w:val="40"/>
        </w:rPr>
      </w:pPr>
      <w:r>
        <w:rPr>
          <w:rFonts w:hint="eastAsia" w:eastAsia="方正小标宋简体"/>
          <w:color w:val="000000"/>
          <w:kern w:val="0"/>
          <w:sz w:val="40"/>
          <w:szCs w:val="40"/>
        </w:rPr>
        <w:t>部门收支总表</w:t>
      </w:r>
    </w:p>
    <w:p>
      <w:pPr>
        <w:wordWrap w:val="0"/>
        <w:ind w:right="105"/>
        <w:jc w:val="right"/>
        <w:rPr>
          <w:color w:val="000000"/>
          <w:kern w:val="0"/>
          <w:szCs w:val="21"/>
        </w:rPr>
      </w:pPr>
      <w:r>
        <w:rPr>
          <w:rFonts w:hint="eastAsia"/>
          <w:color w:val="000000"/>
          <w:kern w:val="0"/>
          <w:szCs w:val="21"/>
        </w:rPr>
        <w:t>单位：万元</w:t>
      </w:r>
    </w:p>
    <w:tbl>
      <w:tblPr>
        <w:tblStyle w:val="10"/>
        <w:tblW w:w="974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5"/>
        <w:gridCol w:w="1335"/>
        <w:gridCol w:w="2980"/>
        <w:gridCol w:w="15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5260" w:type="dxa"/>
            <w:gridSpan w:val="2"/>
            <w:tcBorders>
              <w:top w:val="single" w:color="auto" w:sz="12"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收入</w:t>
            </w:r>
          </w:p>
        </w:tc>
        <w:tc>
          <w:tcPr>
            <w:tcW w:w="4480" w:type="dxa"/>
            <w:gridSpan w:val="2"/>
            <w:tcBorders>
              <w:top w:val="single" w:color="auto" w:sz="12"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项目</w:t>
            </w: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预算数</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项目</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一、一般公共预算拨款</w:t>
            </w: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color w:val="000000"/>
                <w:kern w:val="0"/>
                <w:szCs w:val="21"/>
              </w:rPr>
              <w:t>2,333.99</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一、本年支出</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color w:val="000000"/>
                <w:kern w:val="0"/>
                <w:szCs w:val="21"/>
              </w:rPr>
              <w:t>2,596.25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经费拨款</w:t>
            </w: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color w:val="000000"/>
                <w:kern w:val="0"/>
                <w:szCs w:val="21"/>
              </w:rPr>
              <w:t>2,333.99</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（一）一般公共服务支出</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2"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纳</w:t>
            </w:r>
            <w:r>
              <w:rPr>
                <w:rFonts w:hint="eastAsia"/>
                <w:color w:val="000000"/>
                <w:spacing w:val="-6"/>
                <w:kern w:val="0"/>
                <w:szCs w:val="21"/>
              </w:rPr>
              <w:t>入一般公共预算管理的非税收入拨款</w:t>
            </w: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（二）国防支出</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二、政府性基金收入</w:t>
            </w: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（三）公共安全支出</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三、纳入专户管理的非税收入拨款</w:t>
            </w: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color w:val="000000"/>
                <w:kern w:val="0"/>
                <w:szCs w:val="21"/>
              </w:rPr>
              <w:t>2</w:t>
            </w:r>
            <w:r>
              <w:rPr>
                <w:rFonts w:hint="eastAsia"/>
                <w:color w:val="000000"/>
                <w:kern w:val="0"/>
                <w:szCs w:val="21"/>
              </w:rPr>
              <w:t>0</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（四）教育支出</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color w:val="000000"/>
                <w:kern w:val="0"/>
                <w:szCs w:val="21"/>
              </w:rPr>
              <w:t>2,596.25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四、上级补助收入</w:t>
            </w: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242.26</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（五）科学技术支出</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五、其他收入</w:t>
            </w: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（六）文化体育与传媒支出</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center"/>
              <w:rPr>
                <w:color w:val="000000"/>
                <w:kern w:val="0"/>
                <w:szCs w:val="21"/>
              </w:rPr>
            </w:pP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（七）社会保障和就业支出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center"/>
              <w:rPr>
                <w:color w:val="000000"/>
                <w:kern w:val="0"/>
                <w:szCs w:val="21"/>
              </w:rPr>
            </w:pP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（八）卫生健康</w:t>
            </w:r>
            <w:r>
              <w:rPr>
                <w:rFonts w:hint="eastAsia"/>
                <w:color w:val="000000"/>
                <w:spacing w:val="-6"/>
                <w:kern w:val="0"/>
                <w:szCs w:val="21"/>
              </w:rPr>
              <w:t>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（九）节能环保支出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（十）城乡社区支出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p>
        </w:tc>
        <w:tc>
          <w:tcPr>
            <w:tcW w:w="2980"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（十一）农林水支出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2980"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（十二）交通运输支出</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（十三）资源勘探信息等支出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（十四）商业服务业等支出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（十五）金融支出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（十六）国土海洋气象等支出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（十七）住房保障支出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（十八）粮油物资储备支出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（十九）其他支出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二、结转下年</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收入总计</w:t>
            </w:r>
          </w:p>
        </w:tc>
        <w:tc>
          <w:tcPr>
            <w:tcW w:w="1335"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color w:val="000000"/>
                <w:kern w:val="0"/>
                <w:szCs w:val="21"/>
              </w:rPr>
              <w:t>2,596.25</w:t>
            </w:r>
          </w:p>
        </w:tc>
        <w:tc>
          <w:tcPr>
            <w:tcW w:w="2980"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支出总计</w:t>
            </w:r>
          </w:p>
        </w:tc>
        <w:tc>
          <w:tcPr>
            <w:tcW w:w="1500" w:type="dxa"/>
            <w:tcBorders>
              <w:top w:val="single" w:color="auto" w:sz="6" w:space="0"/>
              <w:left w:val="single" w:color="auto" w:sz="6" w:space="0"/>
              <w:bottom w:val="single" w:color="auto" w:sz="12" w:space="0"/>
              <w:right w:val="single" w:color="auto" w:sz="12" w:space="0"/>
            </w:tcBorders>
            <w:vAlign w:val="center"/>
          </w:tcPr>
          <w:p>
            <w:pPr>
              <w:widowControl/>
              <w:jc w:val="center"/>
              <w:rPr>
                <w:color w:val="000000"/>
                <w:kern w:val="0"/>
                <w:szCs w:val="21"/>
              </w:rPr>
            </w:pPr>
            <w:r>
              <w:rPr>
                <w:color w:val="000000"/>
                <w:kern w:val="0"/>
                <w:szCs w:val="21"/>
              </w:rPr>
              <w:t>2,596.25</w:t>
            </w:r>
          </w:p>
        </w:tc>
      </w:tr>
    </w:tbl>
    <w:p>
      <w:pPr>
        <w:jc w:val="center"/>
        <w:rPr>
          <w:rFonts w:eastAsia="楷体_GB2312"/>
          <w:b/>
          <w:color w:val="000000"/>
          <w:kern w:val="0"/>
          <w:sz w:val="30"/>
          <w:szCs w:val="30"/>
        </w:rPr>
      </w:pPr>
      <w:r>
        <w:rPr>
          <w:color w:val="000000"/>
        </w:rPr>
        <w:br w:type="column"/>
      </w: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经费预算公开表格（表2）</w:t>
      </w:r>
    </w:p>
    <w:p>
      <w:pPr>
        <w:jc w:val="center"/>
        <w:rPr>
          <w:rFonts w:eastAsia="方正小标宋简体"/>
          <w:color w:val="000000"/>
          <w:kern w:val="0"/>
          <w:sz w:val="40"/>
          <w:szCs w:val="40"/>
        </w:rPr>
      </w:pPr>
      <w:r>
        <w:rPr>
          <w:rFonts w:hint="eastAsia" w:eastAsia="方正小标宋简体"/>
          <w:color w:val="000000"/>
          <w:kern w:val="0"/>
          <w:sz w:val="40"/>
          <w:szCs w:val="40"/>
        </w:rPr>
        <w:t>部门收入总表</w:t>
      </w:r>
    </w:p>
    <w:p>
      <w:pPr>
        <w:wordWrap w:val="0"/>
        <w:ind w:right="420"/>
        <w:jc w:val="right"/>
        <w:rPr>
          <w:color w:val="000000"/>
          <w:kern w:val="0"/>
          <w:szCs w:val="21"/>
        </w:rPr>
      </w:pPr>
      <w:r>
        <w:rPr>
          <w:rFonts w:hint="eastAsia"/>
          <w:color w:val="000000"/>
          <w:kern w:val="0"/>
          <w:szCs w:val="21"/>
        </w:rPr>
        <w:t>单位：万元</w:t>
      </w:r>
    </w:p>
    <w:tbl>
      <w:tblPr>
        <w:tblStyle w:val="10"/>
        <w:tblW w:w="932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0"/>
        <w:gridCol w:w="270"/>
        <w:gridCol w:w="500"/>
        <w:gridCol w:w="1579"/>
        <w:gridCol w:w="1110"/>
        <w:gridCol w:w="1015"/>
        <w:gridCol w:w="1064"/>
        <w:gridCol w:w="778"/>
        <w:gridCol w:w="408"/>
        <w:gridCol w:w="944"/>
        <w:gridCol w:w="935"/>
        <w:gridCol w:w="37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2689" w:type="dxa"/>
            <w:gridSpan w:val="4"/>
            <w:tcBorders>
              <w:top w:val="single" w:color="auto" w:sz="12"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功能分类科目</w:t>
            </w:r>
          </w:p>
        </w:tc>
        <w:tc>
          <w:tcPr>
            <w:tcW w:w="1110" w:type="dxa"/>
            <w:vMerge w:val="restart"/>
            <w:tcBorders>
              <w:top w:val="single" w:color="auto" w:sz="12"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合计</w:t>
            </w:r>
          </w:p>
        </w:tc>
        <w:tc>
          <w:tcPr>
            <w:tcW w:w="2857" w:type="dxa"/>
            <w:gridSpan w:val="3"/>
            <w:tcBorders>
              <w:top w:val="single" w:color="auto" w:sz="12"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一般公共预算拨款</w:t>
            </w:r>
          </w:p>
        </w:tc>
        <w:tc>
          <w:tcPr>
            <w:tcW w:w="408" w:type="dxa"/>
            <w:vMerge w:val="restart"/>
            <w:tcBorders>
              <w:top w:val="single" w:color="auto" w:sz="12"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政府性基金收入</w:t>
            </w:r>
          </w:p>
        </w:tc>
        <w:tc>
          <w:tcPr>
            <w:tcW w:w="944" w:type="dxa"/>
            <w:vMerge w:val="restart"/>
            <w:tcBorders>
              <w:top w:val="single" w:color="auto" w:sz="12"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纳入专户管理的非税收入拨款</w:t>
            </w:r>
          </w:p>
        </w:tc>
        <w:tc>
          <w:tcPr>
            <w:tcW w:w="935" w:type="dxa"/>
            <w:vMerge w:val="restart"/>
            <w:tcBorders>
              <w:top w:val="single" w:color="auto" w:sz="12"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上级补助收入</w:t>
            </w:r>
          </w:p>
        </w:tc>
        <w:tc>
          <w:tcPr>
            <w:tcW w:w="378" w:type="dxa"/>
            <w:vMerge w:val="restart"/>
            <w:tcBorders>
              <w:top w:val="single" w:color="auto" w:sz="12"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其他</w:t>
            </w:r>
            <w:r>
              <w:rPr>
                <w:color w:val="000000"/>
                <w:kern w:val="0"/>
                <w:szCs w:val="21"/>
              </w:rPr>
              <w:br w:type="textWrapping"/>
            </w:r>
            <w:r>
              <w:rPr>
                <w:rFonts w:hint="eastAsia"/>
                <w:color w:val="000000"/>
                <w:kern w:val="0"/>
                <w:szCs w:val="21"/>
              </w:rPr>
              <w:t>收入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3"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科目编码</w:t>
            </w:r>
          </w:p>
        </w:tc>
        <w:tc>
          <w:tcPr>
            <w:tcW w:w="1579"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科目名称</w:t>
            </w:r>
          </w:p>
        </w:tc>
        <w:tc>
          <w:tcPr>
            <w:tcW w:w="111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1015"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小计</w:t>
            </w:r>
          </w:p>
        </w:tc>
        <w:tc>
          <w:tcPr>
            <w:tcW w:w="1064"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经费</w:t>
            </w:r>
            <w:r>
              <w:rPr>
                <w:color w:val="000000"/>
                <w:kern w:val="0"/>
                <w:szCs w:val="21"/>
              </w:rPr>
              <w:br w:type="textWrapping"/>
            </w:r>
            <w:r>
              <w:rPr>
                <w:rFonts w:hint="eastAsia"/>
                <w:color w:val="000000"/>
                <w:kern w:val="0"/>
                <w:szCs w:val="21"/>
              </w:rPr>
              <w:t>拨款</w:t>
            </w:r>
          </w:p>
        </w:tc>
        <w:tc>
          <w:tcPr>
            <w:tcW w:w="778"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纳入一般公共预算管理的非税收入拨款</w:t>
            </w:r>
          </w:p>
        </w:tc>
        <w:tc>
          <w:tcPr>
            <w:tcW w:w="408"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944"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935"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378" w:type="dxa"/>
            <w:vMerge w:val="continue"/>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09" w:hRule="atLeast"/>
          <w:jc w:val="center"/>
        </w:trPr>
        <w:tc>
          <w:tcPr>
            <w:tcW w:w="340"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类</w:t>
            </w:r>
          </w:p>
        </w:tc>
        <w:tc>
          <w:tcPr>
            <w:tcW w:w="270"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款</w:t>
            </w:r>
          </w:p>
        </w:tc>
        <w:tc>
          <w:tcPr>
            <w:tcW w:w="500"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项</w:t>
            </w:r>
          </w:p>
        </w:tc>
        <w:tc>
          <w:tcPr>
            <w:tcW w:w="1579"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11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1015"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064"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778"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408"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944"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935"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378" w:type="dxa"/>
            <w:vMerge w:val="continue"/>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Cs w:val="21"/>
              </w:rPr>
              <w:t>205</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Cs w:val="21"/>
              </w:rPr>
              <w:t>教育支出</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ascii="宋体" w:hAnsi="宋体" w:cs="宋体"/>
                <w:color w:val="000000"/>
                <w:kern w:val="0"/>
                <w:sz w:val="18"/>
                <w:szCs w:val="18"/>
              </w:rPr>
              <w:t>2,596.25</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color w:val="000000"/>
                <w:kern w:val="0"/>
                <w:szCs w:val="21"/>
              </w:rPr>
              <w:t>2,333.99</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color w:val="000000"/>
                <w:kern w:val="0"/>
                <w:szCs w:val="21"/>
              </w:rPr>
              <w:t>2,333.99</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color w:val="000000"/>
                <w:kern w:val="0"/>
                <w:sz w:val="18"/>
                <w:szCs w:val="18"/>
              </w:rPr>
              <w:t>2</w:t>
            </w:r>
            <w:r>
              <w:rPr>
                <w:rFonts w:hint="eastAsia"/>
                <w:color w:val="000000"/>
                <w:kern w:val="0"/>
                <w:sz w:val="18"/>
                <w:szCs w:val="18"/>
              </w:rPr>
              <w:t>0</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color w:val="000000"/>
                <w:kern w:val="0"/>
                <w:sz w:val="18"/>
                <w:szCs w:val="18"/>
              </w:rPr>
              <w:t>242.26</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2"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Cs w:val="21"/>
              </w:rPr>
              <w:t>20501</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Cs w:val="21"/>
              </w:rPr>
              <w:t>教育管理事务</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 w:val="18"/>
                <w:szCs w:val="18"/>
              </w:rPr>
            </w:pPr>
            <w:r>
              <w:rPr>
                <w:color w:val="000000"/>
                <w:kern w:val="0"/>
                <w:szCs w:val="21"/>
              </w:rPr>
              <w:t>2050101</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Cs w:val="21"/>
              </w:rPr>
              <w:t>行政运行</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 w:val="18"/>
                <w:szCs w:val="18"/>
              </w:rPr>
            </w:pPr>
            <w:r>
              <w:rPr>
                <w:color w:val="000000"/>
                <w:kern w:val="0"/>
                <w:szCs w:val="21"/>
              </w:rPr>
              <w:t>2050199</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Cs w:val="21"/>
              </w:rPr>
              <w:t>其他教育管理事务支出</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Cs w:val="21"/>
              </w:rPr>
              <w:t>20502</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Cs w:val="21"/>
              </w:rPr>
              <w:t>普通教育</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ascii="宋体" w:hAnsi="宋体" w:cs="宋体"/>
                <w:color w:val="000000"/>
                <w:kern w:val="0"/>
                <w:sz w:val="18"/>
                <w:szCs w:val="18"/>
              </w:rPr>
              <w:t>2,596.25</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ascii="宋体" w:hAnsi="宋体" w:cs="宋体"/>
                <w:color w:val="000000"/>
                <w:kern w:val="0"/>
                <w:sz w:val="18"/>
                <w:szCs w:val="18"/>
              </w:rPr>
              <w:t>2,333.99</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ascii="宋体" w:hAnsi="宋体" w:cs="宋体"/>
                <w:color w:val="000000"/>
                <w:kern w:val="0"/>
                <w:sz w:val="18"/>
                <w:szCs w:val="18"/>
              </w:rPr>
              <w:t>2,333.99</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color w:val="000000"/>
                <w:kern w:val="0"/>
                <w:sz w:val="18"/>
                <w:szCs w:val="18"/>
              </w:rPr>
              <w:t>2</w:t>
            </w:r>
            <w:r>
              <w:rPr>
                <w:rFonts w:hint="eastAsia"/>
                <w:color w:val="000000"/>
                <w:kern w:val="0"/>
                <w:sz w:val="18"/>
                <w:szCs w:val="18"/>
              </w:rPr>
              <w:t>0</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color w:val="000000"/>
                <w:kern w:val="0"/>
                <w:sz w:val="18"/>
                <w:szCs w:val="18"/>
              </w:rPr>
              <w:t>242.26</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r>
              <w:rPr>
                <w:color w:val="000000"/>
                <w:kern w:val="0"/>
                <w:szCs w:val="21"/>
              </w:rPr>
              <w:t>2050201</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Cs w:val="21"/>
              </w:rPr>
              <w:t>学前教育</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color w:val="000000"/>
                <w:sz w:val="18"/>
                <w:szCs w:val="18"/>
              </w:rPr>
              <w:t>19.90</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color w:val="000000"/>
                <w:sz w:val="18"/>
                <w:szCs w:val="18"/>
              </w:rPr>
              <w:t>4.98</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color w:val="000000"/>
                <w:sz w:val="18"/>
                <w:szCs w:val="18"/>
              </w:rPr>
              <w:t>4.98</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1</w:t>
            </w:r>
            <w:r>
              <w:rPr>
                <w:color w:val="000000"/>
                <w:kern w:val="0"/>
                <w:sz w:val="18"/>
                <w:szCs w:val="18"/>
              </w:rPr>
              <w:t>4.92</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Cs w:val="21"/>
              </w:rPr>
              <w:t>　</w:t>
            </w:r>
            <w:r>
              <w:rPr>
                <w:color w:val="000000"/>
                <w:kern w:val="0"/>
                <w:szCs w:val="21"/>
              </w:rPr>
              <w:t>2050202</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Cs w:val="21"/>
              </w:rPr>
              <w:t>小学教育</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color w:val="000000"/>
                <w:sz w:val="18"/>
                <w:szCs w:val="18"/>
              </w:rPr>
              <w:t>139.30</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color w:val="000000"/>
                <w:sz w:val="18"/>
                <w:szCs w:val="18"/>
              </w:rPr>
              <w:t>13.93</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color w:val="000000"/>
                <w:sz w:val="18"/>
                <w:szCs w:val="18"/>
              </w:rPr>
              <w:t>13.93</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color w:val="000000"/>
                <w:kern w:val="0"/>
                <w:sz w:val="18"/>
                <w:szCs w:val="18"/>
              </w:rPr>
              <w:t>125.37</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2"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Cs w:val="21"/>
              </w:rPr>
              <w:t>　</w:t>
            </w:r>
            <w:r>
              <w:rPr>
                <w:color w:val="000000"/>
                <w:kern w:val="0"/>
                <w:szCs w:val="21"/>
              </w:rPr>
              <w:t>2050203</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Cs w:val="21"/>
              </w:rPr>
              <w:t>初中教育</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ascii="宋体" w:hAnsi="宋体" w:cs="宋体"/>
                <w:color w:val="000000"/>
                <w:kern w:val="0"/>
                <w:sz w:val="18"/>
                <w:szCs w:val="18"/>
              </w:rPr>
              <w:t>2,437.05</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ascii="宋体" w:hAnsi="宋体" w:cs="宋体"/>
                <w:color w:val="000000"/>
                <w:kern w:val="0"/>
                <w:sz w:val="18"/>
                <w:szCs w:val="18"/>
              </w:rPr>
              <w:t>2,315.08</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ascii="宋体" w:hAnsi="宋体" w:cs="宋体"/>
                <w:color w:val="000000"/>
                <w:kern w:val="0"/>
                <w:sz w:val="18"/>
                <w:szCs w:val="18"/>
              </w:rPr>
              <w:t>2,315.08</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color w:val="000000"/>
                <w:kern w:val="0"/>
                <w:sz w:val="18"/>
                <w:szCs w:val="18"/>
              </w:rPr>
              <w:t>2</w:t>
            </w:r>
            <w:r>
              <w:rPr>
                <w:rFonts w:hint="eastAsia"/>
                <w:color w:val="000000"/>
                <w:kern w:val="0"/>
                <w:sz w:val="18"/>
                <w:szCs w:val="18"/>
              </w:rPr>
              <w:t>0</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color w:val="000000"/>
                <w:kern w:val="0"/>
                <w:sz w:val="18"/>
                <w:szCs w:val="18"/>
              </w:rPr>
              <w:t>101.97</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2"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p>
        </w:tc>
        <w:tc>
          <w:tcPr>
            <w:tcW w:w="1579" w:type="dxa"/>
            <w:tcBorders>
              <w:top w:val="single" w:color="auto" w:sz="6" w:space="0"/>
              <w:left w:val="single" w:color="auto" w:sz="6" w:space="0"/>
              <w:bottom w:val="single" w:color="auto" w:sz="6" w:space="0"/>
              <w:right w:val="single" w:color="auto" w:sz="6" w:space="0"/>
            </w:tcBorders>
            <w:vAlign w:val="bottom"/>
          </w:tcPr>
          <w:p>
            <w:pPr>
              <w:widowControl/>
              <w:jc w:val="left"/>
              <w:rPr>
                <w:b/>
                <w:bCs/>
                <w:color w:val="000000"/>
                <w:kern w:val="0"/>
                <w:szCs w:val="21"/>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p>
        </w:tc>
        <w:tc>
          <w:tcPr>
            <w:tcW w:w="1579" w:type="dxa"/>
            <w:tcBorders>
              <w:top w:val="single" w:color="auto" w:sz="6" w:space="0"/>
              <w:left w:val="single" w:color="auto" w:sz="6" w:space="0"/>
              <w:bottom w:val="single" w:color="auto" w:sz="6" w:space="0"/>
              <w:right w:val="single" w:color="auto" w:sz="6" w:space="0"/>
            </w:tcBorders>
            <w:vAlign w:val="bottom"/>
          </w:tcPr>
          <w:p>
            <w:pPr>
              <w:widowControl/>
              <w:jc w:val="left"/>
              <w:rPr>
                <w:b/>
                <w:bCs/>
                <w:color w:val="000000"/>
                <w:kern w:val="0"/>
                <w:szCs w:val="21"/>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p>
            <w:pPr>
              <w:widowControl/>
              <w:jc w:val="center"/>
              <w:rPr>
                <w:color w:val="000000"/>
                <w:kern w:val="0"/>
                <w:sz w:val="18"/>
                <w:szCs w:val="18"/>
              </w:rPr>
            </w:pP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10" w:type="dxa"/>
            <w:gridSpan w:val="3"/>
            <w:tcBorders>
              <w:top w:val="single" w:color="auto" w:sz="6" w:space="0"/>
              <w:left w:val="single" w:color="auto" w:sz="12" w:space="0"/>
              <w:bottom w:val="single" w:color="auto" w:sz="12" w:space="0"/>
              <w:right w:val="single" w:color="auto" w:sz="6" w:space="0"/>
            </w:tcBorders>
            <w:vAlign w:val="center"/>
          </w:tcPr>
          <w:p>
            <w:pPr>
              <w:widowControl/>
              <w:rPr>
                <w:color w:val="000000"/>
                <w:kern w:val="0"/>
                <w:sz w:val="18"/>
                <w:szCs w:val="18"/>
              </w:rPr>
            </w:pPr>
          </w:p>
        </w:tc>
        <w:tc>
          <w:tcPr>
            <w:tcW w:w="1579" w:type="dxa"/>
            <w:tcBorders>
              <w:top w:val="single" w:color="auto" w:sz="6" w:space="0"/>
              <w:left w:val="single" w:color="auto" w:sz="6" w:space="0"/>
              <w:bottom w:val="single" w:color="auto" w:sz="12" w:space="0"/>
              <w:right w:val="single" w:color="auto" w:sz="6" w:space="0"/>
            </w:tcBorders>
            <w:vAlign w:val="center"/>
          </w:tcPr>
          <w:p>
            <w:pPr>
              <w:widowControl/>
              <w:ind w:firstLine="360" w:firstLineChars="200"/>
              <w:rPr>
                <w:color w:val="000000"/>
                <w:kern w:val="0"/>
                <w:sz w:val="18"/>
                <w:szCs w:val="18"/>
              </w:rPr>
            </w:pPr>
            <w:r>
              <w:rPr>
                <w:rFonts w:hint="eastAsia"/>
                <w:color w:val="000000"/>
                <w:kern w:val="0"/>
                <w:sz w:val="18"/>
                <w:szCs w:val="18"/>
              </w:rPr>
              <w:t>合计</w:t>
            </w:r>
          </w:p>
        </w:tc>
        <w:tc>
          <w:tcPr>
            <w:tcW w:w="1110"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sz w:val="18"/>
                <w:szCs w:val="18"/>
              </w:rPr>
            </w:pPr>
            <w:r>
              <w:rPr>
                <w:color w:val="000000"/>
                <w:sz w:val="18"/>
                <w:szCs w:val="18"/>
              </w:rPr>
              <w:t>2,596.25</w:t>
            </w:r>
          </w:p>
        </w:tc>
        <w:tc>
          <w:tcPr>
            <w:tcW w:w="1015"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sz w:val="18"/>
                <w:szCs w:val="18"/>
              </w:rPr>
            </w:pPr>
            <w:r>
              <w:rPr>
                <w:rFonts w:hint="eastAsia"/>
                <w:color w:val="000000"/>
                <w:sz w:val="18"/>
                <w:szCs w:val="18"/>
              </w:rPr>
              <w:t>2</w:t>
            </w:r>
            <w:r>
              <w:rPr>
                <w:color w:val="000000"/>
                <w:sz w:val="18"/>
                <w:szCs w:val="18"/>
              </w:rPr>
              <w:t>333.99</w:t>
            </w:r>
          </w:p>
        </w:tc>
        <w:tc>
          <w:tcPr>
            <w:tcW w:w="1064"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sz w:val="18"/>
                <w:szCs w:val="18"/>
              </w:rPr>
            </w:pPr>
            <w:r>
              <w:rPr>
                <w:rFonts w:hint="eastAsia"/>
                <w:color w:val="000000"/>
                <w:sz w:val="18"/>
                <w:szCs w:val="18"/>
              </w:rPr>
              <w:t>2</w:t>
            </w:r>
            <w:r>
              <w:rPr>
                <w:color w:val="000000"/>
                <w:sz w:val="18"/>
                <w:szCs w:val="18"/>
              </w:rPr>
              <w:t>333.99</w:t>
            </w:r>
          </w:p>
        </w:tc>
        <w:tc>
          <w:tcPr>
            <w:tcW w:w="778"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sz w:val="18"/>
                <w:szCs w:val="18"/>
              </w:rPr>
            </w:pPr>
          </w:p>
        </w:tc>
        <w:tc>
          <w:tcPr>
            <w:tcW w:w="408"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sz w:val="18"/>
                <w:szCs w:val="18"/>
              </w:rPr>
            </w:pPr>
          </w:p>
        </w:tc>
        <w:tc>
          <w:tcPr>
            <w:tcW w:w="944"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sz w:val="18"/>
                <w:szCs w:val="18"/>
              </w:rPr>
            </w:pPr>
            <w:r>
              <w:rPr>
                <w:rFonts w:hint="eastAsia"/>
                <w:color w:val="000000"/>
                <w:sz w:val="18"/>
                <w:szCs w:val="18"/>
              </w:rPr>
              <w:t>2</w:t>
            </w:r>
            <w:r>
              <w:rPr>
                <w:color w:val="000000"/>
                <w:sz w:val="18"/>
                <w:szCs w:val="18"/>
              </w:rPr>
              <w:t>0</w:t>
            </w:r>
          </w:p>
        </w:tc>
        <w:tc>
          <w:tcPr>
            <w:tcW w:w="935"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sz w:val="18"/>
                <w:szCs w:val="18"/>
              </w:rPr>
            </w:pPr>
            <w:r>
              <w:rPr>
                <w:rFonts w:hint="eastAsia"/>
                <w:color w:val="000000"/>
                <w:sz w:val="18"/>
                <w:szCs w:val="18"/>
              </w:rPr>
              <w:t>2</w:t>
            </w:r>
            <w:r>
              <w:rPr>
                <w:color w:val="000000"/>
                <w:sz w:val="18"/>
                <w:szCs w:val="18"/>
              </w:rPr>
              <w:t>42.26</w:t>
            </w:r>
          </w:p>
        </w:tc>
        <w:tc>
          <w:tcPr>
            <w:tcW w:w="378" w:type="dxa"/>
            <w:tcBorders>
              <w:top w:val="single" w:color="auto" w:sz="6" w:space="0"/>
              <w:left w:val="single" w:color="auto" w:sz="6" w:space="0"/>
              <w:bottom w:val="single" w:color="auto" w:sz="12" w:space="0"/>
              <w:right w:val="single" w:color="auto" w:sz="12" w:space="0"/>
            </w:tcBorders>
            <w:vAlign w:val="center"/>
          </w:tcPr>
          <w:p>
            <w:pPr>
              <w:widowControl/>
              <w:jc w:val="center"/>
              <w:textAlignment w:val="center"/>
              <w:rPr>
                <w:color w:val="000000"/>
                <w:sz w:val="18"/>
                <w:szCs w:val="18"/>
              </w:rPr>
            </w:pPr>
          </w:p>
        </w:tc>
      </w:tr>
    </w:tbl>
    <w:p>
      <w:pPr>
        <w:jc w:val="center"/>
        <w:rPr>
          <w:rFonts w:eastAsia="楷体_GB2312"/>
          <w:b/>
          <w:color w:val="000000"/>
          <w:kern w:val="0"/>
          <w:sz w:val="30"/>
          <w:szCs w:val="30"/>
        </w:rPr>
      </w:pPr>
    </w:p>
    <w:p>
      <w:pPr>
        <w:jc w:val="center"/>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经费预算公开表格（表3）</w:t>
      </w:r>
    </w:p>
    <w:p>
      <w:pPr>
        <w:spacing w:line="240" w:lineRule="exact"/>
        <w:rPr>
          <w:rFonts w:eastAsia="黑体"/>
          <w:color w:val="000000"/>
          <w:kern w:val="0"/>
          <w:sz w:val="20"/>
        </w:rPr>
      </w:pPr>
    </w:p>
    <w:p>
      <w:pPr>
        <w:jc w:val="center"/>
        <w:rPr>
          <w:rFonts w:eastAsia="方正小标宋简体"/>
          <w:color w:val="000000"/>
          <w:kern w:val="0"/>
          <w:sz w:val="40"/>
          <w:szCs w:val="40"/>
        </w:rPr>
      </w:pPr>
      <w:r>
        <w:rPr>
          <w:rFonts w:hint="eastAsia" w:eastAsia="方正小标宋简体"/>
          <w:color w:val="000000"/>
          <w:kern w:val="0"/>
          <w:sz w:val="40"/>
          <w:szCs w:val="40"/>
        </w:rPr>
        <w:t>部门支出总表</w:t>
      </w:r>
    </w:p>
    <w:p>
      <w:pPr>
        <w:jc w:val="center"/>
        <w:rPr>
          <w:rFonts w:eastAsia="方正小标宋简体"/>
          <w:color w:val="000000"/>
          <w:kern w:val="0"/>
          <w:sz w:val="40"/>
          <w:szCs w:val="40"/>
        </w:rPr>
      </w:pPr>
      <w:r>
        <w:rPr>
          <w:rFonts w:hint="eastAsia"/>
          <w:color w:val="000000"/>
          <w:kern w:val="0"/>
          <w:szCs w:val="21"/>
        </w:rPr>
        <w:t>单位：万元</w:t>
      </w:r>
    </w:p>
    <w:tbl>
      <w:tblPr>
        <w:tblStyle w:val="10"/>
        <w:tblW w:w="91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1"/>
        <w:gridCol w:w="661"/>
        <w:gridCol w:w="661"/>
        <w:gridCol w:w="3334"/>
        <w:gridCol w:w="1303"/>
        <w:gridCol w:w="1130"/>
        <w:gridCol w:w="14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jc w:val="center"/>
        </w:trPr>
        <w:tc>
          <w:tcPr>
            <w:tcW w:w="5317" w:type="dxa"/>
            <w:gridSpan w:val="4"/>
            <w:tcBorders>
              <w:top w:val="single" w:color="auto" w:sz="12"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功能分类科目</w:t>
            </w:r>
          </w:p>
        </w:tc>
        <w:tc>
          <w:tcPr>
            <w:tcW w:w="1303" w:type="dxa"/>
            <w:vMerge w:val="restart"/>
            <w:tcBorders>
              <w:top w:val="single" w:color="auto" w:sz="12"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合计</w:t>
            </w:r>
          </w:p>
        </w:tc>
        <w:tc>
          <w:tcPr>
            <w:tcW w:w="1130" w:type="dxa"/>
            <w:vMerge w:val="restart"/>
            <w:tcBorders>
              <w:top w:val="single" w:color="auto" w:sz="12"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基本支出</w:t>
            </w:r>
          </w:p>
        </w:tc>
        <w:tc>
          <w:tcPr>
            <w:tcW w:w="1428" w:type="dxa"/>
            <w:vMerge w:val="restart"/>
            <w:tcBorders>
              <w:top w:val="single" w:color="auto" w:sz="12"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jc w:val="center"/>
        </w:trPr>
        <w:tc>
          <w:tcPr>
            <w:tcW w:w="1983"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科目编码</w:t>
            </w:r>
          </w:p>
        </w:tc>
        <w:tc>
          <w:tcPr>
            <w:tcW w:w="3334" w:type="dxa"/>
            <w:vMerge w:val="restart"/>
            <w:tcBorders>
              <w:top w:val="single" w:color="auto" w:sz="4"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科目名称</w:t>
            </w:r>
          </w:p>
        </w:tc>
        <w:tc>
          <w:tcPr>
            <w:tcW w:w="1303"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130"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428" w:type="dxa"/>
            <w:vMerge w:val="continue"/>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exact"/>
          <w:jc w:val="center"/>
        </w:trPr>
        <w:tc>
          <w:tcPr>
            <w:tcW w:w="661"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类</w:t>
            </w:r>
          </w:p>
        </w:tc>
        <w:tc>
          <w:tcPr>
            <w:tcW w:w="66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款</w:t>
            </w:r>
          </w:p>
        </w:tc>
        <w:tc>
          <w:tcPr>
            <w:tcW w:w="66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项</w:t>
            </w:r>
          </w:p>
        </w:tc>
        <w:tc>
          <w:tcPr>
            <w:tcW w:w="3334"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303"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130"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428" w:type="dxa"/>
            <w:vMerge w:val="continue"/>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 w:val="18"/>
                <w:szCs w:val="18"/>
              </w:rPr>
              <w:t>205</w:t>
            </w:r>
          </w:p>
        </w:tc>
        <w:tc>
          <w:tcPr>
            <w:tcW w:w="3334" w:type="dxa"/>
            <w:tcBorders>
              <w:top w:val="single" w:color="auto" w:sz="6" w:space="0"/>
              <w:left w:val="single" w:color="auto" w:sz="6" w:space="0"/>
              <w:bottom w:val="single" w:color="auto" w:sz="6" w:space="0"/>
              <w:right w:val="single" w:color="auto" w:sz="6" w:space="0"/>
            </w:tcBorders>
            <w:vAlign w:val="center"/>
          </w:tcPr>
          <w:p>
            <w:pPr>
              <w:widowControl/>
              <w:ind w:firstLine="181" w:firstLineChars="100"/>
              <w:rPr>
                <w:b/>
                <w:bCs/>
                <w:color w:val="000000"/>
                <w:kern w:val="0"/>
                <w:sz w:val="18"/>
                <w:szCs w:val="18"/>
              </w:rPr>
            </w:pPr>
            <w:r>
              <w:rPr>
                <w:rFonts w:hint="eastAsia"/>
                <w:b/>
                <w:bCs/>
                <w:color w:val="000000"/>
                <w:kern w:val="0"/>
                <w:sz w:val="18"/>
                <w:szCs w:val="18"/>
              </w:rPr>
              <w:t>教育支出</w:t>
            </w:r>
          </w:p>
        </w:tc>
        <w:tc>
          <w:tcPr>
            <w:tcW w:w="1303"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rFonts w:ascii="宋体" w:hAnsi="宋体" w:cs="宋体"/>
                <w:color w:val="000000"/>
                <w:kern w:val="0"/>
                <w:sz w:val="18"/>
                <w:szCs w:val="18"/>
              </w:rPr>
              <w:t>2,596.25</w:t>
            </w:r>
          </w:p>
        </w:tc>
        <w:tc>
          <w:tcPr>
            <w:tcW w:w="113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color w:val="000000"/>
                <w:kern w:val="0"/>
                <w:sz w:val="18"/>
                <w:szCs w:val="18"/>
              </w:rPr>
              <w:t>2,303.75</w:t>
            </w:r>
          </w:p>
        </w:tc>
        <w:tc>
          <w:tcPr>
            <w:tcW w:w="1428"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 w:val="18"/>
                <w:szCs w:val="18"/>
              </w:rPr>
            </w:pPr>
            <w:r>
              <w:rPr>
                <w:color w:val="000000"/>
                <w:kern w:val="0"/>
                <w:sz w:val="18"/>
                <w:szCs w:val="18"/>
              </w:rPr>
              <w:t>292.50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top w:val="single" w:color="auto" w:sz="6" w:space="0"/>
              <w:left w:val="single" w:color="auto" w:sz="12" w:space="0"/>
              <w:bottom w:val="single" w:color="auto" w:sz="6" w:space="0"/>
              <w:right w:val="single" w:color="auto" w:sz="6" w:space="0"/>
            </w:tcBorders>
            <w:vAlign w:val="center"/>
          </w:tcPr>
          <w:p>
            <w:pPr>
              <w:widowControl/>
              <w:ind w:firstLine="181" w:firstLineChars="100"/>
              <w:rPr>
                <w:b/>
                <w:bCs/>
                <w:color w:val="000000"/>
                <w:kern w:val="0"/>
                <w:sz w:val="18"/>
                <w:szCs w:val="18"/>
              </w:rPr>
            </w:pPr>
            <w:r>
              <w:rPr>
                <w:rFonts w:hint="eastAsia"/>
                <w:b/>
                <w:bCs/>
                <w:color w:val="000000"/>
                <w:kern w:val="0"/>
                <w:sz w:val="18"/>
                <w:szCs w:val="18"/>
              </w:rPr>
              <w:t>20501</w:t>
            </w:r>
          </w:p>
        </w:tc>
        <w:tc>
          <w:tcPr>
            <w:tcW w:w="3334"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 w:val="18"/>
                <w:szCs w:val="18"/>
              </w:rPr>
              <w:t>教育管理事务</w:t>
            </w:r>
          </w:p>
        </w:tc>
        <w:tc>
          <w:tcPr>
            <w:tcW w:w="1303"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rFonts w:hint="eastAsia" w:ascii="宋体" w:hAnsi="宋体" w:cs="宋体"/>
                <w:color w:val="000000"/>
                <w:kern w:val="0"/>
                <w:sz w:val="18"/>
                <w:szCs w:val="18"/>
              </w:rPr>
              <w:t>0</w:t>
            </w:r>
          </w:p>
        </w:tc>
        <w:tc>
          <w:tcPr>
            <w:tcW w:w="113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rFonts w:hint="eastAsia" w:ascii="宋体" w:hAnsi="宋体" w:cs="宋体"/>
                <w:color w:val="000000"/>
                <w:kern w:val="0"/>
                <w:sz w:val="18"/>
                <w:szCs w:val="18"/>
              </w:rPr>
              <w:t>0</w:t>
            </w:r>
          </w:p>
        </w:tc>
        <w:tc>
          <w:tcPr>
            <w:tcW w:w="1428"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5" w:hRule="exact"/>
          <w:jc w:val="center"/>
        </w:trPr>
        <w:tc>
          <w:tcPr>
            <w:tcW w:w="1983"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 w:val="18"/>
                <w:szCs w:val="18"/>
              </w:rPr>
              <w:t>　</w:t>
            </w:r>
            <w:r>
              <w:rPr>
                <w:color w:val="000000"/>
                <w:kern w:val="0"/>
                <w:sz w:val="18"/>
                <w:szCs w:val="18"/>
              </w:rPr>
              <w:t>2050101</w:t>
            </w:r>
          </w:p>
        </w:tc>
        <w:tc>
          <w:tcPr>
            <w:tcW w:w="3334"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 w:val="18"/>
                <w:szCs w:val="18"/>
              </w:rPr>
              <w:t>　行政运行</w:t>
            </w:r>
          </w:p>
        </w:tc>
        <w:tc>
          <w:tcPr>
            <w:tcW w:w="1303"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rFonts w:hint="eastAsia" w:ascii="宋体" w:hAnsi="宋体" w:cs="宋体"/>
                <w:color w:val="000000"/>
                <w:kern w:val="0"/>
                <w:sz w:val="18"/>
                <w:szCs w:val="18"/>
              </w:rPr>
              <w:t>0</w:t>
            </w:r>
          </w:p>
        </w:tc>
        <w:tc>
          <w:tcPr>
            <w:tcW w:w="113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rFonts w:hint="eastAsia" w:ascii="宋体" w:hAnsi="宋体" w:cs="宋体"/>
                <w:color w:val="000000"/>
                <w:kern w:val="0"/>
                <w:sz w:val="18"/>
                <w:szCs w:val="18"/>
              </w:rPr>
              <w:t>0</w:t>
            </w:r>
          </w:p>
        </w:tc>
        <w:tc>
          <w:tcPr>
            <w:tcW w:w="1428"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top w:val="single" w:color="auto" w:sz="6" w:space="0"/>
              <w:left w:val="single" w:color="auto" w:sz="12" w:space="0"/>
              <w:bottom w:val="single" w:color="auto" w:sz="6" w:space="0"/>
              <w:right w:val="single" w:color="auto" w:sz="6" w:space="0"/>
            </w:tcBorders>
            <w:vAlign w:val="center"/>
          </w:tcPr>
          <w:p>
            <w:pPr>
              <w:widowControl/>
              <w:ind w:firstLine="180" w:firstLineChars="100"/>
              <w:rPr>
                <w:color w:val="000000"/>
                <w:kern w:val="0"/>
                <w:sz w:val="18"/>
                <w:szCs w:val="18"/>
              </w:rPr>
            </w:pPr>
            <w:r>
              <w:rPr>
                <w:rFonts w:hint="eastAsia"/>
                <w:color w:val="000000"/>
                <w:kern w:val="0"/>
                <w:sz w:val="18"/>
                <w:szCs w:val="18"/>
              </w:rPr>
              <w:t>　</w:t>
            </w:r>
            <w:r>
              <w:rPr>
                <w:color w:val="000000"/>
                <w:kern w:val="0"/>
                <w:sz w:val="18"/>
                <w:szCs w:val="18"/>
              </w:rPr>
              <w:t>2050199</w:t>
            </w:r>
          </w:p>
        </w:tc>
        <w:tc>
          <w:tcPr>
            <w:tcW w:w="3334"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 w:val="18"/>
                <w:szCs w:val="18"/>
              </w:rPr>
              <w:t>　其他教育管理事务支出</w:t>
            </w:r>
          </w:p>
        </w:tc>
        <w:tc>
          <w:tcPr>
            <w:tcW w:w="1303"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rFonts w:hint="eastAsia" w:ascii="宋体" w:hAnsi="宋体" w:cs="宋体"/>
                <w:color w:val="000000"/>
                <w:kern w:val="0"/>
                <w:sz w:val="18"/>
                <w:szCs w:val="18"/>
              </w:rPr>
              <w:t>0</w:t>
            </w:r>
          </w:p>
        </w:tc>
        <w:tc>
          <w:tcPr>
            <w:tcW w:w="113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rFonts w:hint="eastAsia" w:ascii="宋体" w:hAnsi="宋体" w:cs="宋体"/>
                <w:color w:val="000000"/>
                <w:kern w:val="0"/>
                <w:sz w:val="18"/>
                <w:szCs w:val="18"/>
              </w:rPr>
              <w:t>0</w:t>
            </w:r>
          </w:p>
        </w:tc>
        <w:tc>
          <w:tcPr>
            <w:tcW w:w="1428"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 w:val="18"/>
                <w:szCs w:val="18"/>
              </w:rPr>
            </w:pPr>
            <w:r>
              <w:rPr>
                <w:rFonts w:hint="eastAsia" w:ascii="宋体" w:hAnsi="宋体" w:cs="宋体"/>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 w:val="18"/>
                <w:szCs w:val="18"/>
              </w:rPr>
              <w:t xml:space="preserve">  20502</w:t>
            </w:r>
          </w:p>
        </w:tc>
        <w:tc>
          <w:tcPr>
            <w:tcW w:w="3334"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 w:val="18"/>
                <w:szCs w:val="18"/>
              </w:rPr>
              <w:t>普通教育</w:t>
            </w:r>
          </w:p>
        </w:tc>
        <w:tc>
          <w:tcPr>
            <w:tcW w:w="1303"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rFonts w:ascii="宋体" w:hAnsi="宋体" w:cs="宋体"/>
                <w:color w:val="000000"/>
                <w:kern w:val="0"/>
                <w:sz w:val="18"/>
                <w:szCs w:val="18"/>
              </w:rPr>
              <w:t>2,596.25</w:t>
            </w:r>
          </w:p>
        </w:tc>
        <w:tc>
          <w:tcPr>
            <w:tcW w:w="113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rFonts w:ascii="宋体" w:hAnsi="宋体" w:cs="宋体"/>
                <w:color w:val="000000"/>
                <w:kern w:val="0"/>
                <w:sz w:val="18"/>
                <w:szCs w:val="18"/>
              </w:rPr>
              <w:t>2,303.75</w:t>
            </w:r>
          </w:p>
        </w:tc>
        <w:tc>
          <w:tcPr>
            <w:tcW w:w="1428"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 w:val="18"/>
                <w:szCs w:val="18"/>
              </w:rPr>
            </w:pPr>
            <w:r>
              <w:rPr>
                <w:color w:val="000000"/>
                <w:kern w:val="0"/>
                <w:sz w:val="18"/>
                <w:szCs w:val="18"/>
              </w:rPr>
              <w:t>292.50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top w:val="single" w:color="auto" w:sz="6" w:space="0"/>
              <w:left w:val="single" w:color="auto" w:sz="12" w:space="0"/>
              <w:bottom w:val="single" w:color="auto" w:sz="6" w:space="0"/>
              <w:right w:val="single" w:color="auto" w:sz="6" w:space="0"/>
            </w:tcBorders>
            <w:vAlign w:val="center"/>
          </w:tcPr>
          <w:p>
            <w:pPr>
              <w:widowControl/>
              <w:ind w:firstLine="180" w:firstLineChars="100"/>
              <w:rPr>
                <w:color w:val="000000"/>
                <w:kern w:val="0"/>
                <w:sz w:val="18"/>
                <w:szCs w:val="18"/>
              </w:rPr>
            </w:pPr>
            <w:r>
              <w:rPr>
                <w:rFonts w:hint="eastAsia"/>
                <w:color w:val="000000"/>
                <w:kern w:val="0"/>
                <w:sz w:val="18"/>
                <w:szCs w:val="18"/>
              </w:rPr>
              <w:t>　</w:t>
            </w:r>
            <w:r>
              <w:rPr>
                <w:color w:val="000000"/>
                <w:kern w:val="0"/>
                <w:sz w:val="18"/>
                <w:szCs w:val="18"/>
              </w:rPr>
              <w:t>2050201</w:t>
            </w:r>
          </w:p>
        </w:tc>
        <w:tc>
          <w:tcPr>
            <w:tcW w:w="3334"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 w:val="18"/>
                <w:szCs w:val="18"/>
              </w:rPr>
              <w:t>　学前教育</w:t>
            </w:r>
          </w:p>
        </w:tc>
        <w:tc>
          <w:tcPr>
            <w:tcW w:w="1303"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rFonts w:ascii="宋体" w:hAnsi="宋体" w:cs="宋体"/>
                <w:color w:val="000000"/>
                <w:kern w:val="0"/>
                <w:sz w:val="18"/>
                <w:szCs w:val="18"/>
              </w:rPr>
              <w:t>19.9</w:t>
            </w:r>
          </w:p>
        </w:tc>
        <w:tc>
          <w:tcPr>
            <w:tcW w:w="113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rFonts w:hint="eastAsia" w:ascii="宋体" w:hAnsi="宋体" w:cs="宋体"/>
                <w:color w:val="000000"/>
                <w:kern w:val="0"/>
                <w:sz w:val="18"/>
                <w:szCs w:val="18"/>
              </w:rPr>
              <w:t>0</w:t>
            </w:r>
          </w:p>
        </w:tc>
        <w:tc>
          <w:tcPr>
            <w:tcW w:w="1428"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 w:val="18"/>
                <w:szCs w:val="18"/>
              </w:rPr>
            </w:pPr>
            <w:r>
              <w:rPr>
                <w:color w:val="000000"/>
                <w:kern w:val="0"/>
                <w:sz w:val="18"/>
                <w:szCs w:val="18"/>
              </w:rPr>
              <w:t>19.9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 w:val="18"/>
                <w:szCs w:val="18"/>
              </w:rPr>
              <w:t>　</w:t>
            </w:r>
            <w:r>
              <w:rPr>
                <w:color w:val="000000"/>
                <w:kern w:val="0"/>
                <w:sz w:val="18"/>
                <w:szCs w:val="18"/>
              </w:rPr>
              <w:t>2050202</w:t>
            </w:r>
          </w:p>
        </w:tc>
        <w:tc>
          <w:tcPr>
            <w:tcW w:w="3334"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 w:val="18"/>
                <w:szCs w:val="18"/>
              </w:rPr>
              <w:t>　小学教育</w:t>
            </w:r>
          </w:p>
        </w:tc>
        <w:tc>
          <w:tcPr>
            <w:tcW w:w="1303"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rFonts w:ascii="宋体" w:hAnsi="宋体" w:cs="宋体"/>
                <w:color w:val="000000"/>
                <w:kern w:val="0"/>
                <w:sz w:val="18"/>
                <w:szCs w:val="18"/>
              </w:rPr>
              <w:t>139.30</w:t>
            </w:r>
          </w:p>
        </w:tc>
        <w:tc>
          <w:tcPr>
            <w:tcW w:w="113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rFonts w:hint="eastAsia" w:ascii="宋体" w:hAnsi="宋体" w:cs="宋体"/>
                <w:color w:val="000000"/>
                <w:kern w:val="0"/>
                <w:sz w:val="18"/>
                <w:szCs w:val="18"/>
              </w:rPr>
              <w:t>0</w:t>
            </w:r>
          </w:p>
        </w:tc>
        <w:tc>
          <w:tcPr>
            <w:tcW w:w="1428"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 w:val="18"/>
                <w:szCs w:val="18"/>
              </w:rPr>
            </w:pPr>
            <w:r>
              <w:rPr>
                <w:rFonts w:ascii="宋体" w:hAnsi="宋体" w:cs="宋体"/>
                <w:color w:val="000000"/>
                <w:kern w:val="0"/>
                <w:sz w:val="18"/>
                <w:szCs w:val="18"/>
              </w:rPr>
              <w:t>139.3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 w:val="18"/>
                <w:szCs w:val="18"/>
              </w:rPr>
              <w:t>　</w:t>
            </w:r>
            <w:r>
              <w:rPr>
                <w:color w:val="000000"/>
                <w:kern w:val="0"/>
                <w:sz w:val="18"/>
                <w:szCs w:val="18"/>
              </w:rPr>
              <w:t>2050203</w:t>
            </w:r>
          </w:p>
        </w:tc>
        <w:tc>
          <w:tcPr>
            <w:tcW w:w="3334"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 w:val="18"/>
                <w:szCs w:val="18"/>
              </w:rPr>
              <w:t>　初中教育</w:t>
            </w:r>
          </w:p>
        </w:tc>
        <w:tc>
          <w:tcPr>
            <w:tcW w:w="1303"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rFonts w:ascii="宋体" w:hAnsi="宋体" w:cs="宋体"/>
                <w:color w:val="000000"/>
                <w:kern w:val="0"/>
                <w:sz w:val="18"/>
                <w:szCs w:val="18"/>
              </w:rPr>
              <w:t>2,437.05</w:t>
            </w:r>
          </w:p>
        </w:tc>
        <w:tc>
          <w:tcPr>
            <w:tcW w:w="113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color w:val="000000"/>
                <w:kern w:val="0"/>
                <w:sz w:val="18"/>
                <w:szCs w:val="18"/>
              </w:rPr>
              <w:t>2,303.75</w:t>
            </w:r>
          </w:p>
        </w:tc>
        <w:tc>
          <w:tcPr>
            <w:tcW w:w="1428"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 w:val="18"/>
                <w:szCs w:val="18"/>
              </w:rPr>
            </w:pPr>
            <w:r>
              <w:rPr>
                <w:color w:val="000000"/>
                <w:kern w:val="0"/>
                <w:sz w:val="18"/>
                <w:szCs w:val="18"/>
              </w:rPr>
              <w:t>133.30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top w:val="single" w:color="auto" w:sz="6" w:space="0"/>
              <w:left w:val="single" w:color="auto" w:sz="12" w:space="0"/>
              <w:bottom w:val="single" w:color="auto" w:sz="6" w:space="0"/>
              <w:right w:val="single" w:color="auto" w:sz="6" w:space="0"/>
            </w:tcBorders>
            <w:vAlign w:val="bottom"/>
          </w:tcPr>
          <w:p>
            <w:pPr>
              <w:widowControl/>
              <w:jc w:val="left"/>
              <w:rPr>
                <w:b/>
                <w:bCs/>
                <w:color w:val="000000"/>
                <w:kern w:val="0"/>
                <w:sz w:val="18"/>
                <w:szCs w:val="18"/>
              </w:rPr>
            </w:pPr>
          </w:p>
        </w:tc>
        <w:tc>
          <w:tcPr>
            <w:tcW w:w="3334" w:type="dxa"/>
            <w:tcBorders>
              <w:top w:val="single" w:color="auto" w:sz="6" w:space="0"/>
              <w:left w:val="single" w:color="auto" w:sz="6" w:space="0"/>
              <w:bottom w:val="single" w:color="auto" w:sz="6" w:space="0"/>
              <w:right w:val="single" w:color="auto" w:sz="6" w:space="0"/>
            </w:tcBorders>
            <w:vAlign w:val="bottom"/>
          </w:tcPr>
          <w:p>
            <w:pPr>
              <w:widowControl/>
              <w:jc w:val="left"/>
              <w:rPr>
                <w:b/>
                <w:bCs/>
                <w:color w:val="000000"/>
                <w:kern w:val="0"/>
                <w:sz w:val="18"/>
                <w:szCs w:val="18"/>
              </w:rPr>
            </w:pPr>
          </w:p>
        </w:tc>
        <w:tc>
          <w:tcPr>
            <w:tcW w:w="1303"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13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42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top w:val="single" w:color="auto" w:sz="6" w:space="0"/>
              <w:left w:val="single" w:color="auto" w:sz="12" w:space="0"/>
              <w:bottom w:val="single" w:color="auto" w:sz="6" w:space="0"/>
              <w:right w:val="single" w:color="auto" w:sz="6" w:space="0"/>
            </w:tcBorders>
            <w:vAlign w:val="bottom"/>
          </w:tcPr>
          <w:p>
            <w:pPr>
              <w:widowControl/>
              <w:jc w:val="left"/>
              <w:rPr>
                <w:b/>
                <w:bCs/>
                <w:color w:val="000000"/>
                <w:kern w:val="0"/>
                <w:sz w:val="18"/>
                <w:szCs w:val="18"/>
              </w:rPr>
            </w:pPr>
          </w:p>
        </w:tc>
        <w:tc>
          <w:tcPr>
            <w:tcW w:w="3334" w:type="dxa"/>
            <w:tcBorders>
              <w:top w:val="single" w:color="auto" w:sz="6" w:space="0"/>
              <w:left w:val="single" w:color="auto" w:sz="6" w:space="0"/>
              <w:bottom w:val="single" w:color="auto" w:sz="6" w:space="0"/>
              <w:right w:val="single" w:color="auto" w:sz="6" w:space="0"/>
            </w:tcBorders>
            <w:vAlign w:val="bottom"/>
          </w:tcPr>
          <w:p>
            <w:pPr>
              <w:widowControl/>
              <w:jc w:val="left"/>
              <w:rPr>
                <w:b/>
                <w:bCs/>
                <w:color w:val="000000"/>
                <w:kern w:val="0"/>
                <w:sz w:val="18"/>
                <w:szCs w:val="18"/>
              </w:rPr>
            </w:pPr>
          </w:p>
        </w:tc>
        <w:tc>
          <w:tcPr>
            <w:tcW w:w="1303"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13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42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5" w:hRule="exact"/>
          <w:jc w:val="center"/>
        </w:trPr>
        <w:tc>
          <w:tcPr>
            <w:tcW w:w="1983"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 w:val="18"/>
                <w:szCs w:val="18"/>
              </w:rPr>
            </w:pPr>
          </w:p>
        </w:tc>
        <w:tc>
          <w:tcPr>
            <w:tcW w:w="3334"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p>
        </w:tc>
        <w:tc>
          <w:tcPr>
            <w:tcW w:w="1303"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p>
        </w:tc>
        <w:tc>
          <w:tcPr>
            <w:tcW w:w="113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p>
        </w:tc>
        <w:tc>
          <w:tcPr>
            <w:tcW w:w="142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p>
        </w:tc>
        <w:tc>
          <w:tcPr>
            <w:tcW w:w="3334"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p>
        </w:tc>
        <w:tc>
          <w:tcPr>
            <w:tcW w:w="1303"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13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42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top w:val="single" w:color="auto" w:sz="6" w:space="0"/>
              <w:left w:val="single" w:color="auto" w:sz="12" w:space="0"/>
              <w:bottom w:val="single" w:color="auto" w:sz="6" w:space="0"/>
              <w:right w:val="single" w:color="auto" w:sz="6" w:space="0"/>
            </w:tcBorders>
            <w:vAlign w:val="center"/>
          </w:tcPr>
          <w:p>
            <w:pPr>
              <w:widowControl/>
              <w:ind w:firstLine="211" w:firstLineChars="100"/>
              <w:rPr>
                <w:b/>
                <w:bCs/>
                <w:color w:val="000000"/>
                <w:kern w:val="0"/>
                <w:szCs w:val="21"/>
              </w:rPr>
            </w:pPr>
          </w:p>
        </w:tc>
        <w:tc>
          <w:tcPr>
            <w:tcW w:w="3334"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p>
        </w:tc>
        <w:tc>
          <w:tcPr>
            <w:tcW w:w="1303"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13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42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p>
        </w:tc>
        <w:tc>
          <w:tcPr>
            <w:tcW w:w="3334"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p>
        </w:tc>
        <w:tc>
          <w:tcPr>
            <w:tcW w:w="1303"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13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42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p>
        </w:tc>
        <w:tc>
          <w:tcPr>
            <w:tcW w:w="3334"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p>
        </w:tc>
        <w:tc>
          <w:tcPr>
            <w:tcW w:w="1303"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13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42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 w:val="18"/>
                <w:szCs w:val="18"/>
              </w:rPr>
            </w:pPr>
          </w:p>
        </w:tc>
        <w:tc>
          <w:tcPr>
            <w:tcW w:w="3334" w:type="dxa"/>
            <w:tcBorders>
              <w:top w:val="single" w:color="auto" w:sz="6" w:space="0"/>
              <w:left w:val="single" w:color="auto" w:sz="6" w:space="0"/>
              <w:bottom w:val="single" w:color="auto" w:sz="6" w:space="0"/>
              <w:right w:val="single" w:color="auto" w:sz="6" w:space="0"/>
            </w:tcBorders>
            <w:vAlign w:val="center"/>
          </w:tcPr>
          <w:p>
            <w:pPr>
              <w:widowControl/>
              <w:ind w:firstLine="210" w:firstLineChars="100"/>
              <w:jc w:val="center"/>
              <w:rPr>
                <w:color w:val="000000"/>
                <w:kern w:val="0"/>
                <w:sz w:val="18"/>
                <w:szCs w:val="18"/>
              </w:rPr>
            </w:pPr>
            <w:r>
              <w:rPr>
                <w:rFonts w:hint="eastAsia"/>
                <w:color w:val="000000"/>
                <w:kern w:val="0"/>
                <w:szCs w:val="21"/>
              </w:rPr>
              <w:t>合计</w:t>
            </w:r>
          </w:p>
        </w:tc>
        <w:tc>
          <w:tcPr>
            <w:tcW w:w="1303"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color w:val="000000"/>
                <w:sz w:val="18"/>
                <w:szCs w:val="18"/>
              </w:rPr>
              <w:t>2,596.25</w:t>
            </w:r>
          </w:p>
        </w:tc>
        <w:tc>
          <w:tcPr>
            <w:tcW w:w="113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color w:val="000000"/>
                <w:sz w:val="18"/>
                <w:szCs w:val="18"/>
              </w:rPr>
              <w:t>2,303.75</w:t>
            </w:r>
          </w:p>
        </w:tc>
        <w:tc>
          <w:tcPr>
            <w:tcW w:w="1428"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 w:val="18"/>
                <w:szCs w:val="18"/>
              </w:rPr>
            </w:pPr>
            <w:r>
              <w:rPr>
                <w:color w:val="000000"/>
                <w:kern w:val="0"/>
                <w:sz w:val="18"/>
                <w:szCs w:val="18"/>
              </w:rPr>
              <w:t>292.50</w:t>
            </w:r>
          </w:p>
        </w:tc>
      </w:tr>
    </w:tbl>
    <w:p>
      <w:pPr>
        <w:spacing w:line="560" w:lineRule="exact"/>
        <w:jc w:val="center"/>
        <w:rPr>
          <w:rFonts w:ascii="仿宋" w:hAnsi="仿宋" w:eastAsia="仿宋" w:cs="仿宋"/>
          <w:sz w:val="32"/>
          <w:szCs w:val="32"/>
        </w:rPr>
      </w:pPr>
    </w:p>
    <w:p>
      <w:pPr>
        <w:ind w:firstLine="1042" w:firstLineChars="346"/>
        <w:jc w:val="left"/>
        <w:rPr>
          <w:rFonts w:hint="eastAsia" w:eastAsia="楷体_GB2312"/>
          <w:b/>
          <w:color w:val="000000"/>
          <w:kern w:val="0"/>
          <w:sz w:val="30"/>
          <w:szCs w:val="30"/>
        </w:rPr>
      </w:pPr>
    </w:p>
    <w:p>
      <w:pPr>
        <w:ind w:firstLine="1042" w:firstLineChars="346"/>
        <w:jc w:val="left"/>
        <w:rPr>
          <w:rFonts w:hint="eastAsia" w:eastAsia="楷体_GB2312"/>
          <w:b/>
          <w:color w:val="000000"/>
          <w:kern w:val="0"/>
          <w:sz w:val="30"/>
          <w:szCs w:val="30"/>
        </w:rPr>
      </w:pPr>
    </w:p>
    <w:p>
      <w:pPr>
        <w:ind w:firstLine="1042" w:firstLineChars="346"/>
        <w:jc w:val="left"/>
        <w:rPr>
          <w:rFonts w:eastAsia="楷体_GB2312"/>
          <w:b/>
          <w:color w:val="000000"/>
          <w:kern w:val="0"/>
          <w:sz w:val="30"/>
          <w:szCs w:val="30"/>
        </w:rPr>
      </w:pPr>
    </w:p>
    <w:p>
      <w:pPr>
        <w:ind w:firstLine="1042" w:firstLineChars="346"/>
        <w:jc w:val="left"/>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经费预算公开表格（表4）</w:t>
      </w:r>
    </w:p>
    <w:p>
      <w:pPr>
        <w:spacing w:line="240" w:lineRule="exact"/>
        <w:rPr>
          <w:rFonts w:eastAsia="楷体_GB2312"/>
          <w:b/>
          <w:color w:val="000000"/>
          <w:kern w:val="0"/>
          <w:sz w:val="30"/>
          <w:szCs w:val="30"/>
        </w:rPr>
      </w:pPr>
    </w:p>
    <w:p>
      <w:pPr>
        <w:jc w:val="center"/>
        <w:rPr>
          <w:rFonts w:eastAsia="方正小标宋简体"/>
          <w:color w:val="000000"/>
          <w:kern w:val="0"/>
          <w:sz w:val="40"/>
          <w:szCs w:val="40"/>
        </w:rPr>
      </w:pPr>
      <w:r>
        <w:rPr>
          <w:rFonts w:hint="eastAsia" w:eastAsia="方正小标宋简体"/>
          <w:color w:val="000000"/>
          <w:kern w:val="0"/>
          <w:sz w:val="40"/>
          <w:szCs w:val="40"/>
        </w:rPr>
        <w:t>部门财政拨款收支总表</w:t>
      </w:r>
    </w:p>
    <w:p>
      <w:pPr>
        <w:ind w:right="105"/>
        <w:jc w:val="right"/>
        <w:rPr>
          <w:rFonts w:eastAsia="楷体_GB2312"/>
          <w:b/>
          <w:color w:val="000000"/>
          <w:szCs w:val="21"/>
        </w:rPr>
      </w:pPr>
      <w:r>
        <w:rPr>
          <w:rFonts w:hint="eastAsia"/>
          <w:color w:val="000000"/>
          <w:kern w:val="0"/>
          <w:szCs w:val="21"/>
        </w:rPr>
        <w:t>单位：万元</w:t>
      </w:r>
    </w:p>
    <w:tbl>
      <w:tblPr>
        <w:tblStyle w:val="10"/>
        <w:tblW w:w="923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672"/>
        <w:gridCol w:w="1206"/>
        <w:gridCol w:w="3114"/>
        <w:gridCol w:w="124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878" w:type="dxa"/>
            <w:gridSpan w:val="2"/>
            <w:tcBorders>
              <w:top w:val="single" w:color="auto" w:sz="12"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收入</w:t>
            </w:r>
          </w:p>
        </w:tc>
        <w:tc>
          <w:tcPr>
            <w:tcW w:w="4355" w:type="dxa"/>
            <w:gridSpan w:val="2"/>
            <w:tcBorders>
              <w:top w:val="single" w:color="auto" w:sz="12"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项目</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预算数</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项目</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一、一般公共预算拨款</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color w:val="000000"/>
                <w:kern w:val="0"/>
                <w:szCs w:val="21"/>
              </w:rPr>
              <w:t>2,333.99</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一、本年支出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r>
              <w:rPr>
                <w:color w:val="000000"/>
                <w:kern w:val="0"/>
                <w:szCs w:val="21"/>
              </w:rPr>
              <w:t>2,333.99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经费拨款</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color w:val="000000"/>
                <w:kern w:val="0"/>
                <w:szCs w:val="21"/>
              </w:rPr>
              <w:t>2,333.99</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（一）一般公共服务支出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纳入一般公共预算管理的非税收入拨款</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（二）国防支出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二、政府性基金收入</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（三）公共安全支出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（四）教育支出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color w:val="000000"/>
                <w:kern w:val="0"/>
                <w:szCs w:val="21"/>
              </w:rPr>
              <w:t>2,333.99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（五）科学技术支出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（六）文化体育与传媒支出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（七）社会保障和就业支出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（八）卫生健康支出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（九）节能环保支出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（十）城乡社区支出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（十一）农林水支出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（十二）交通运输支出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（十三）资源勘探信息等支出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（十四）商业服务业等支出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（十五）金融支出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（十六）国土海洋气象等支出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（十七）住房保障支出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（十八）粮油物资储备支出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（十九）其他支出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收入总计</w:t>
            </w:r>
          </w:p>
        </w:tc>
        <w:tc>
          <w:tcPr>
            <w:tcW w:w="1206"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color w:val="000000"/>
                <w:kern w:val="0"/>
                <w:szCs w:val="21"/>
              </w:rPr>
              <w:t>2,333.99</w:t>
            </w:r>
          </w:p>
        </w:tc>
        <w:tc>
          <w:tcPr>
            <w:tcW w:w="3114"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支出总计</w:t>
            </w:r>
          </w:p>
        </w:tc>
        <w:tc>
          <w:tcPr>
            <w:tcW w:w="1241" w:type="dxa"/>
            <w:tcBorders>
              <w:top w:val="single" w:color="auto" w:sz="6" w:space="0"/>
              <w:left w:val="single" w:color="auto" w:sz="6" w:space="0"/>
              <w:bottom w:val="single" w:color="auto" w:sz="12" w:space="0"/>
              <w:right w:val="single" w:color="auto" w:sz="12" w:space="0"/>
            </w:tcBorders>
            <w:vAlign w:val="center"/>
          </w:tcPr>
          <w:p>
            <w:pPr>
              <w:widowControl/>
              <w:jc w:val="center"/>
              <w:rPr>
                <w:color w:val="000000"/>
                <w:kern w:val="0"/>
                <w:szCs w:val="21"/>
              </w:rPr>
            </w:pPr>
            <w:r>
              <w:rPr>
                <w:color w:val="000000"/>
                <w:kern w:val="0"/>
                <w:szCs w:val="21"/>
              </w:rPr>
              <w:t>2,333.99</w:t>
            </w:r>
          </w:p>
        </w:tc>
      </w:tr>
    </w:tbl>
    <w:p>
      <w:pPr>
        <w:ind w:firstLine="1193" w:firstLineChars="396"/>
        <w:rPr>
          <w:rFonts w:eastAsia="楷体_GB2312"/>
          <w:b/>
          <w:color w:val="000000"/>
          <w:kern w:val="0"/>
          <w:sz w:val="30"/>
          <w:szCs w:val="30"/>
        </w:rPr>
      </w:pPr>
    </w:p>
    <w:p>
      <w:pPr>
        <w:ind w:firstLine="1193" w:firstLineChars="396"/>
        <w:rPr>
          <w:rFonts w:eastAsia="楷体_GB2312"/>
          <w:b/>
          <w:color w:val="000000"/>
          <w:kern w:val="0"/>
          <w:sz w:val="30"/>
          <w:szCs w:val="30"/>
        </w:rPr>
      </w:pPr>
    </w:p>
    <w:p>
      <w:pPr>
        <w:ind w:firstLine="1193" w:firstLineChars="396"/>
        <w:rPr>
          <w:rFonts w:eastAsia="黑体"/>
          <w:color w:val="000000"/>
          <w:kern w:val="0"/>
          <w:sz w:val="2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经费预算公开表格（表5）</w:t>
      </w:r>
    </w:p>
    <w:p>
      <w:pPr>
        <w:jc w:val="center"/>
        <w:rPr>
          <w:rFonts w:eastAsia="方正小标宋简体"/>
          <w:color w:val="000000"/>
          <w:kern w:val="0"/>
          <w:sz w:val="40"/>
          <w:szCs w:val="40"/>
        </w:rPr>
      </w:pPr>
      <w:r>
        <w:rPr>
          <w:rFonts w:hint="eastAsia" w:eastAsia="方正小标宋简体"/>
          <w:color w:val="000000"/>
          <w:kern w:val="0"/>
          <w:sz w:val="40"/>
          <w:szCs w:val="40"/>
        </w:rPr>
        <w:t>一般公共预算支出表</w:t>
      </w:r>
    </w:p>
    <w:p>
      <w:pPr>
        <w:wordWrap w:val="0"/>
        <w:ind w:right="420"/>
        <w:jc w:val="right"/>
        <w:rPr>
          <w:rFonts w:eastAsia="黑体"/>
          <w:color w:val="000000"/>
          <w:kern w:val="0"/>
          <w:szCs w:val="21"/>
        </w:rPr>
      </w:pPr>
      <w:r>
        <w:rPr>
          <w:rFonts w:hint="eastAsia"/>
          <w:color w:val="000000"/>
          <w:kern w:val="0"/>
          <w:szCs w:val="21"/>
        </w:rPr>
        <w:t>单位：万元</w:t>
      </w:r>
    </w:p>
    <w:tbl>
      <w:tblPr>
        <w:tblStyle w:val="10"/>
        <w:tblW w:w="887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4"/>
        <w:gridCol w:w="524"/>
        <w:gridCol w:w="369"/>
        <w:gridCol w:w="14"/>
        <w:gridCol w:w="3278"/>
        <w:gridCol w:w="1387"/>
        <w:gridCol w:w="1387"/>
        <w:gridCol w:w="13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7" w:hRule="exact"/>
          <w:jc w:val="center"/>
        </w:trPr>
        <w:tc>
          <w:tcPr>
            <w:tcW w:w="4709" w:type="dxa"/>
            <w:gridSpan w:val="5"/>
            <w:tcBorders>
              <w:top w:val="single" w:color="auto" w:sz="12"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功能分类科目</w:t>
            </w:r>
          </w:p>
        </w:tc>
        <w:tc>
          <w:tcPr>
            <w:tcW w:w="4162" w:type="dxa"/>
            <w:gridSpan w:val="3"/>
            <w:tcBorders>
              <w:top w:val="single" w:color="auto" w:sz="12"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3" w:hRule="atLeast"/>
          <w:jc w:val="center"/>
        </w:trPr>
        <w:tc>
          <w:tcPr>
            <w:tcW w:w="1431" w:type="dxa"/>
            <w:gridSpan w:val="4"/>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科目编码</w:t>
            </w:r>
          </w:p>
        </w:tc>
        <w:tc>
          <w:tcPr>
            <w:tcW w:w="3278"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科目名称</w:t>
            </w:r>
          </w:p>
        </w:tc>
        <w:tc>
          <w:tcPr>
            <w:tcW w:w="1387"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小计</w:t>
            </w:r>
          </w:p>
        </w:tc>
        <w:tc>
          <w:tcPr>
            <w:tcW w:w="1387"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基本支出</w:t>
            </w:r>
          </w:p>
        </w:tc>
        <w:tc>
          <w:tcPr>
            <w:tcW w:w="1388" w:type="dxa"/>
            <w:vMerge w:val="restart"/>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2" w:hRule="exact"/>
          <w:jc w:val="center"/>
        </w:trPr>
        <w:tc>
          <w:tcPr>
            <w:tcW w:w="524"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类</w:t>
            </w:r>
          </w:p>
        </w:tc>
        <w:tc>
          <w:tcPr>
            <w:tcW w:w="52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款</w:t>
            </w:r>
          </w:p>
        </w:tc>
        <w:tc>
          <w:tcPr>
            <w:tcW w:w="383"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项</w:t>
            </w:r>
          </w:p>
        </w:tc>
        <w:tc>
          <w:tcPr>
            <w:tcW w:w="3278"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387"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387"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388" w:type="dxa"/>
            <w:vMerge w:val="continue"/>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7" w:hRule="exact"/>
          <w:jc w:val="center"/>
        </w:trPr>
        <w:tc>
          <w:tcPr>
            <w:tcW w:w="1431" w:type="dxa"/>
            <w:gridSpan w:val="4"/>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205</w:t>
            </w:r>
          </w:p>
        </w:tc>
        <w:tc>
          <w:tcPr>
            <w:tcW w:w="3278"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教育支出</w:t>
            </w: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2,333.99</w:t>
            </w: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2,303.75</w:t>
            </w:r>
          </w:p>
        </w:tc>
        <w:tc>
          <w:tcPr>
            <w:tcW w:w="1388"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b/>
                <w:color w:val="000000"/>
                <w:kern w:val="0"/>
                <w:szCs w:val="21"/>
              </w:rPr>
            </w:pPr>
            <w:r>
              <w:rPr>
                <w:rFonts w:ascii="宋体" w:hAnsi="宋体" w:cs="宋体"/>
                <w:color w:val="000000"/>
                <w:kern w:val="0"/>
                <w:szCs w:val="21"/>
              </w:rPr>
              <w:t>30.23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7" w:hRule="exact"/>
          <w:jc w:val="center"/>
        </w:trPr>
        <w:tc>
          <w:tcPr>
            <w:tcW w:w="1431" w:type="dxa"/>
            <w:gridSpan w:val="4"/>
            <w:tcBorders>
              <w:top w:val="single" w:color="auto" w:sz="6" w:space="0"/>
              <w:left w:val="single" w:color="auto" w:sz="12" w:space="0"/>
              <w:bottom w:val="single" w:color="auto" w:sz="6" w:space="0"/>
              <w:right w:val="single" w:color="auto" w:sz="6" w:space="0"/>
            </w:tcBorders>
            <w:vAlign w:val="center"/>
          </w:tcPr>
          <w:p>
            <w:pPr>
              <w:widowControl/>
              <w:ind w:firstLine="211" w:firstLineChars="100"/>
              <w:rPr>
                <w:b/>
                <w:bCs/>
                <w:color w:val="000000"/>
                <w:kern w:val="0"/>
                <w:szCs w:val="21"/>
              </w:rPr>
            </w:pPr>
            <w:r>
              <w:rPr>
                <w:rFonts w:hint="eastAsia"/>
                <w:b/>
                <w:bCs/>
                <w:color w:val="000000"/>
                <w:kern w:val="0"/>
                <w:szCs w:val="21"/>
              </w:rPr>
              <w:t>20501</w:t>
            </w:r>
          </w:p>
        </w:tc>
        <w:tc>
          <w:tcPr>
            <w:tcW w:w="3278"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教育管理事务</w:t>
            </w: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0</w:t>
            </w: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0</w:t>
            </w:r>
          </w:p>
        </w:tc>
        <w:tc>
          <w:tcPr>
            <w:tcW w:w="1388"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431" w:type="dxa"/>
            <w:gridSpan w:val="4"/>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w:t>
            </w:r>
            <w:r>
              <w:rPr>
                <w:color w:val="000000"/>
                <w:kern w:val="0"/>
                <w:szCs w:val="21"/>
              </w:rPr>
              <w:t>2050101</w:t>
            </w:r>
          </w:p>
        </w:tc>
        <w:tc>
          <w:tcPr>
            <w:tcW w:w="3278"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行政运行</w:t>
            </w: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0</w:t>
            </w: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0</w:t>
            </w:r>
          </w:p>
        </w:tc>
        <w:tc>
          <w:tcPr>
            <w:tcW w:w="1388"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431" w:type="dxa"/>
            <w:gridSpan w:val="4"/>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w:t>
            </w:r>
            <w:r>
              <w:rPr>
                <w:color w:val="000000"/>
                <w:kern w:val="0"/>
                <w:szCs w:val="21"/>
              </w:rPr>
              <w:t>2050199</w:t>
            </w:r>
          </w:p>
        </w:tc>
        <w:tc>
          <w:tcPr>
            <w:tcW w:w="3278"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其他教育管理事务支出</w:t>
            </w: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0</w:t>
            </w: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0</w:t>
            </w:r>
          </w:p>
        </w:tc>
        <w:tc>
          <w:tcPr>
            <w:tcW w:w="1388"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431" w:type="dxa"/>
            <w:gridSpan w:val="4"/>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 xml:space="preserve">  20502</w:t>
            </w:r>
          </w:p>
        </w:tc>
        <w:tc>
          <w:tcPr>
            <w:tcW w:w="3278"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普通教育</w:t>
            </w: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2,333.99</w:t>
            </w: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2,303.75</w:t>
            </w:r>
          </w:p>
        </w:tc>
        <w:tc>
          <w:tcPr>
            <w:tcW w:w="1388"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b/>
                <w:color w:val="000000"/>
                <w:kern w:val="0"/>
                <w:szCs w:val="21"/>
              </w:rPr>
            </w:pPr>
            <w:r>
              <w:rPr>
                <w:rFonts w:ascii="宋体" w:hAnsi="宋体" w:cs="宋体"/>
                <w:color w:val="000000"/>
                <w:kern w:val="0"/>
                <w:szCs w:val="21"/>
              </w:rPr>
              <w:t>30.23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431" w:type="dxa"/>
            <w:gridSpan w:val="4"/>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w:t>
            </w:r>
            <w:r>
              <w:rPr>
                <w:color w:val="000000"/>
                <w:kern w:val="0"/>
                <w:szCs w:val="21"/>
              </w:rPr>
              <w:t>2050201</w:t>
            </w:r>
          </w:p>
        </w:tc>
        <w:tc>
          <w:tcPr>
            <w:tcW w:w="3278"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学前教育</w:t>
            </w: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ascii="宋体" w:hAnsi="宋体" w:cs="宋体"/>
                <w:color w:val="000000"/>
                <w:kern w:val="0"/>
                <w:szCs w:val="21"/>
              </w:rPr>
              <w:t>4.98</w:t>
            </w: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0</w:t>
            </w:r>
          </w:p>
        </w:tc>
        <w:tc>
          <w:tcPr>
            <w:tcW w:w="1388"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ascii="宋体" w:hAnsi="宋体" w:cs="宋体"/>
                <w:color w:val="000000"/>
                <w:kern w:val="0"/>
                <w:szCs w:val="21"/>
              </w:rPr>
              <w:t>4.98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431" w:type="dxa"/>
            <w:gridSpan w:val="4"/>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w:t>
            </w:r>
            <w:r>
              <w:rPr>
                <w:color w:val="000000"/>
                <w:kern w:val="0"/>
                <w:szCs w:val="21"/>
              </w:rPr>
              <w:t>2050202</w:t>
            </w:r>
          </w:p>
        </w:tc>
        <w:tc>
          <w:tcPr>
            <w:tcW w:w="3278"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小学教育</w:t>
            </w: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ascii="宋体" w:hAnsi="宋体" w:cs="宋体"/>
                <w:color w:val="000000"/>
                <w:kern w:val="0"/>
                <w:szCs w:val="21"/>
              </w:rPr>
              <w:t>13.93</w:t>
            </w: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0</w:t>
            </w:r>
          </w:p>
        </w:tc>
        <w:tc>
          <w:tcPr>
            <w:tcW w:w="1388"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ascii="宋体" w:hAnsi="宋体" w:cs="宋体"/>
                <w:color w:val="000000"/>
                <w:kern w:val="0"/>
                <w:szCs w:val="21"/>
              </w:rPr>
              <w:t>13.93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431" w:type="dxa"/>
            <w:gridSpan w:val="4"/>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w:t>
            </w:r>
            <w:r>
              <w:rPr>
                <w:color w:val="000000"/>
                <w:kern w:val="0"/>
                <w:szCs w:val="21"/>
              </w:rPr>
              <w:t>2050203</w:t>
            </w:r>
          </w:p>
        </w:tc>
        <w:tc>
          <w:tcPr>
            <w:tcW w:w="3278"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初中教育</w:t>
            </w: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2,315.08</w:t>
            </w: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2,303.75</w:t>
            </w:r>
          </w:p>
        </w:tc>
        <w:tc>
          <w:tcPr>
            <w:tcW w:w="1388"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ascii="宋体" w:hAnsi="宋体" w:cs="宋体"/>
                <w:color w:val="000000"/>
                <w:kern w:val="0"/>
                <w:szCs w:val="21"/>
              </w:rPr>
              <w:t>11.33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431" w:type="dxa"/>
            <w:gridSpan w:val="4"/>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p>
        </w:tc>
        <w:tc>
          <w:tcPr>
            <w:tcW w:w="3278" w:type="dxa"/>
            <w:tcBorders>
              <w:top w:val="single" w:color="auto" w:sz="6" w:space="0"/>
              <w:left w:val="single" w:color="auto" w:sz="6" w:space="0"/>
              <w:bottom w:val="single" w:color="auto" w:sz="6" w:space="0"/>
              <w:right w:val="single" w:color="auto" w:sz="6" w:space="0"/>
            </w:tcBorders>
            <w:vAlign w:val="center"/>
          </w:tcPr>
          <w:p>
            <w:pPr>
              <w:widowControl/>
              <w:ind w:firstLine="420" w:firstLineChars="200"/>
              <w:rPr>
                <w:color w:val="000000"/>
                <w:kern w:val="0"/>
                <w:szCs w:val="21"/>
              </w:rPr>
            </w:pP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p>
        </w:tc>
        <w:tc>
          <w:tcPr>
            <w:tcW w:w="1388"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7" w:hRule="exact"/>
          <w:jc w:val="center"/>
        </w:trPr>
        <w:tc>
          <w:tcPr>
            <w:tcW w:w="1417" w:type="dxa"/>
            <w:gridSpan w:val="3"/>
            <w:tcBorders>
              <w:top w:val="single" w:color="auto" w:sz="6" w:space="0"/>
              <w:left w:val="single" w:color="auto" w:sz="12" w:space="0"/>
              <w:bottom w:val="single" w:color="auto" w:sz="6" w:space="0"/>
              <w:right w:val="single" w:color="auto" w:sz="6" w:space="0"/>
            </w:tcBorders>
            <w:vAlign w:val="center"/>
          </w:tcPr>
          <w:p>
            <w:pPr>
              <w:widowControl/>
              <w:ind w:firstLine="211" w:firstLineChars="100"/>
              <w:rPr>
                <w:b/>
                <w:bCs/>
                <w:color w:val="000000"/>
                <w:kern w:val="0"/>
                <w:szCs w:val="21"/>
              </w:rPr>
            </w:pPr>
          </w:p>
        </w:tc>
        <w:tc>
          <w:tcPr>
            <w:tcW w:w="3292" w:type="dxa"/>
            <w:gridSpan w:val="2"/>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38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417"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p>
        </w:tc>
        <w:tc>
          <w:tcPr>
            <w:tcW w:w="3292" w:type="dxa"/>
            <w:gridSpan w:val="2"/>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38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417"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p>
        </w:tc>
        <w:tc>
          <w:tcPr>
            <w:tcW w:w="3292" w:type="dxa"/>
            <w:gridSpan w:val="2"/>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38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417"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p>
        </w:tc>
        <w:tc>
          <w:tcPr>
            <w:tcW w:w="3292" w:type="dxa"/>
            <w:gridSpan w:val="2"/>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p>
        </w:tc>
        <w:tc>
          <w:tcPr>
            <w:tcW w:w="138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417"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p>
        </w:tc>
        <w:tc>
          <w:tcPr>
            <w:tcW w:w="3292" w:type="dxa"/>
            <w:gridSpan w:val="2"/>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b/>
                <w:color w:val="000000"/>
                <w:sz w:val="18"/>
                <w:szCs w:val="18"/>
              </w:rPr>
            </w:pPr>
          </w:p>
        </w:tc>
        <w:tc>
          <w:tcPr>
            <w:tcW w:w="1387"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b/>
                <w:color w:val="000000"/>
                <w:sz w:val="18"/>
                <w:szCs w:val="18"/>
              </w:rPr>
            </w:pPr>
          </w:p>
        </w:tc>
        <w:tc>
          <w:tcPr>
            <w:tcW w:w="138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417" w:type="dxa"/>
            <w:gridSpan w:val="3"/>
            <w:tcBorders>
              <w:top w:val="single" w:color="auto" w:sz="6" w:space="0"/>
              <w:left w:val="single" w:color="auto" w:sz="12" w:space="0"/>
              <w:bottom w:val="single" w:color="auto" w:sz="12"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3292" w:type="dxa"/>
            <w:gridSpan w:val="2"/>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合计</w:t>
            </w:r>
          </w:p>
        </w:tc>
        <w:tc>
          <w:tcPr>
            <w:tcW w:w="1387"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kern w:val="0"/>
                <w:szCs w:val="21"/>
              </w:rPr>
            </w:pPr>
            <w:r>
              <w:rPr>
                <w:rFonts w:ascii="宋体" w:hAnsi="宋体" w:cs="宋体"/>
                <w:color w:val="000000"/>
                <w:kern w:val="0"/>
                <w:szCs w:val="21"/>
              </w:rPr>
              <w:t>2,333.99</w:t>
            </w:r>
          </w:p>
        </w:tc>
        <w:tc>
          <w:tcPr>
            <w:tcW w:w="1387"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kern w:val="0"/>
                <w:szCs w:val="21"/>
              </w:rPr>
            </w:pPr>
            <w:r>
              <w:rPr>
                <w:rFonts w:ascii="宋体" w:hAnsi="宋体" w:cs="宋体"/>
                <w:color w:val="000000"/>
                <w:kern w:val="0"/>
                <w:szCs w:val="21"/>
              </w:rPr>
              <w:t>2,333.99</w:t>
            </w:r>
          </w:p>
        </w:tc>
        <w:tc>
          <w:tcPr>
            <w:tcW w:w="1388" w:type="dxa"/>
            <w:tcBorders>
              <w:top w:val="single" w:color="auto" w:sz="6" w:space="0"/>
              <w:left w:val="single" w:color="auto" w:sz="6" w:space="0"/>
              <w:bottom w:val="single" w:color="auto" w:sz="12"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30.23</w:t>
            </w:r>
          </w:p>
        </w:tc>
      </w:tr>
    </w:tbl>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ind w:firstLine="1343" w:firstLineChars="446"/>
        <w:rPr>
          <w:rFonts w:hint="eastAsia" w:eastAsia="楷体_GB2312"/>
          <w:b/>
          <w:color w:val="000000"/>
          <w:kern w:val="0"/>
          <w:sz w:val="30"/>
          <w:szCs w:val="30"/>
        </w:rPr>
      </w:pPr>
    </w:p>
    <w:p>
      <w:pPr>
        <w:ind w:firstLine="1343" w:firstLineChars="446"/>
        <w:rPr>
          <w:rFonts w:eastAsia="楷体_GB2312"/>
          <w:b/>
          <w:color w:val="000000"/>
          <w:kern w:val="0"/>
          <w:sz w:val="30"/>
          <w:szCs w:val="30"/>
        </w:rPr>
      </w:pPr>
      <w:bookmarkStart w:id="1" w:name="_GoBack"/>
      <w:bookmarkEnd w:id="1"/>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经费预算公开表格（表6）</w:t>
      </w:r>
    </w:p>
    <w:p>
      <w:pPr>
        <w:spacing w:line="240" w:lineRule="exact"/>
        <w:rPr>
          <w:rFonts w:eastAsia="黑体"/>
          <w:color w:val="000000"/>
          <w:kern w:val="0"/>
          <w:sz w:val="20"/>
        </w:rPr>
      </w:pPr>
    </w:p>
    <w:p>
      <w:pPr>
        <w:jc w:val="center"/>
        <w:rPr>
          <w:rFonts w:eastAsia="方正小标宋简体"/>
          <w:color w:val="000000"/>
          <w:kern w:val="0"/>
          <w:sz w:val="40"/>
          <w:szCs w:val="40"/>
        </w:rPr>
      </w:pPr>
      <w:r>
        <w:rPr>
          <w:rFonts w:hint="eastAsia" w:eastAsia="方正小标宋简体"/>
          <w:color w:val="000000"/>
          <w:kern w:val="0"/>
          <w:sz w:val="40"/>
          <w:szCs w:val="40"/>
        </w:rPr>
        <w:t>一般公共预算基本支出表</w:t>
      </w:r>
    </w:p>
    <w:p>
      <w:pPr>
        <w:wordWrap w:val="0"/>
        <w:ind w:right="420"/>
        <w:jc w:val="center"/>
        <w:rPr>
          <w:color w:val="000000"/>
          <w:kern w:val="0"/>
          <w:szCs w:val="21"/>
        </w:rPr>
      </w:pPr>
      <w:r>
        <w:rPr>
          <w:rFonts w:hint="eastAsia"/>
          <w:color w:val="000000"/>
          <w:kern w:val="0"/>
          <w:szCs w:val="21"/>
        </w:rPr>
        <w:t>单位：万元</w:t>
      </w:r>
    </w:p>
    <w:tbl>
      <w:tblPr>
        <w:tblStyle w:val="10"/>
        <w:tblW w:w="916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9"/>
        <w:gridCol w:w="820"/>
        <w:gridCol w:w="2212"/>
        <w:gridCol w:w="1491"/>
        <w:gridCol w:w="2006"/>
        <w:gridCol w:w="18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3851" w:type="dxa"/>
            <w:gridSpan w:val="3"/>
            <w:tcBorders>
              <w:top w:val="single" w:color="auto" w:sz="12"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经济分类科目</w:t>
            </w:r>
          </w:p>
        </w:tc>
        <w:tc>
          <w:tcPr>
            <w:tcW w:w="5310" w:type="dxa"/>
            <w:gridSpan w:val="3"/>
            <w:tcBorders>
              <w:top w:val="single" w:color="auto" w:sz="12"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基本支出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3"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科目编码</w:t>
            </w:r>
          </w:p>
        </w:tc>
        <w:tc>
          <w:tcPr>
            <w:tcW w:w="2212"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科目名称</w:t>
            </w:r>
          </w:p>
        </w:tc>
        <w:tc>
          <w:tcPr>
            <w:tcW w:w="1491"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合计</w:t>
            </w:r>
          </w:p>
        </w:tc>
        <w:tc>
          <w:tcPr>
            <w:tcW w:w="2006"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人员经费</w:t>
            </w:r>
          </w:p>
        </w:tc>
        <w:tc>
          <w:tcPr>
            <w:tcW w:w="1813" w:type="dxa"/>
            <w:vMerge w:val="restart"/>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公用经费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jc w:val="center"/>
        </w:trPr>
        <w:tc>
          <w:tcPr>
            <w:tcW w:w="819"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类</w:t>
            </w:r>
          </w:p>
        </w:tc>
        <w:tc>
          <w:tcPr>
            <w:tcW w:w="820"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款</w:t>
            </w:r>
          </w:p>
        </w:tc>
        <w:tc>
          <w:tcPr>
            <w:tcW w:w="2212"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491"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2006"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813" w:type="dxa"/>
            <w:vMerge w:val="continue"/>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b/>
                <w:bCs/>
                <w:color w:val="000000"/>
                <w:kern w:val="0"/>
                <w:szCs w:val="21"/>
              </w:rPr>
            </w:pPr>
            <w:r>
              <w:rPr>
                <w:b/>
                <w:bCs/>
                <w:color w:val="000000"/>
                <w:kern w:val="0"/>
                <w:szCs w:val="21"/>
              </w:rPr>
              <w:t>301</w:t>
            </w:r>
            <w:r>
              <w:rPr>
                <w:rFonts w:hint="eastAsia"/>
                <w:b/>
                <w:bCs/>
                <w:color w:val="000000"/>
                <w:kern w:val="0"/>
                <w:szCs w:val="21"/>
              </w:rPr>
              <w:t>　</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b/>
                <w:bCs/>
                <w:color w:val="000000"/>
                <w:kern w:val="0"/>
                <w:szCs w:val="21"/>
              </w:rPr>
            </w:pPr>
            <w:r>
              <w:rPr>
                <w:rFonts w:hint="eastAsia"/>
                <w:b/>
                <w:bCs/>
                <w:color w:val="000000"/>
                <w:kern w:val="0"/>
                <w:szCs w:val="21"/>
              </w:rPr>
              <w:t>工资福利支出　</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2,234.73</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2,234.73</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color w:val="000000"/>
                <w:kern w:val="0"/>
                <w:szCs w:val="21"/>
              </w:rPr>
              <w:t>30</w:t>
            </w:r>
            <w:r>
              <w:rPr>
                <w:rFonts w:hint="eastAsia"/>
                <w:color w:val="000000"/>
                <w:kern w:val="0"/>
                <w:szCs w:val="21"/>
              </w:rPr>
              <w:t>01</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基本工资</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790.68</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790.68</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ascii="宋体" w:hAnsi="宋体" w:cs="宋体"/>
                <w:bCs/>
                <w:color w:val="000000"/>
                <w:sz w:val="18"/>
                <w:szCs w:val="18"/>
              </w:rPr>
              <w:t>30102</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津贴补贴　</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61.63</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61.63</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30103</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奖金</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332.80</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332.80</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30107</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绩效工资</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473.23</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473.23</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30108</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机关事业单位基本养老保险缴费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229.44</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229.44</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30110</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职工基本医疗保险缴费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145.35</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145.35</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30112</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其他社会保障缴费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17.95</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17.95</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30113</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住房公积金　</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183.64</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183.64</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b/>
                <w:bCs/>
                <w:color w:val="000000"/>
                <w:kern w:val="0"/>
                <w:szCs w:val="21"/>
              </w:rPr>
            </w:pPr>
            <w:r>
              <w:rPr>
                <w:b/>
                <w:bCs/>
                <w:color w:val="000000"/>
                <w:kern w:val="0"/>
                <w:szCs w:val="21"/>
              </w:rPr>
              <w:t>302</w:t>
            </w:r>
            <w:r>
              <w:rPr>
                <w:rFonts w:hint="eastAsia"/>
                <w:b/>
                <w:bCs/>
                <w:color w:val="000000"/>
                <w:kern w:val="0"/>
                <w:szCs w:val="21"/>
              </w:rPr>
              <w:t>　</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b/>
                <w:bCs/>
                <w:color w:val="000000"/>
                <w:kern w:val="0"/>
                <w:szCs w:val="21"/>
              </w:rPr>
            </w:pPr>
            <w:r>
              <w:rPr>
                <w:rFonts w:hint="eastAsia"/>
                <w:b/>
                <w:bCs/>
                <w:color w:val="000000"/>
                <w:kern w:val="0"/>
                <w:szCs w:val="21"/>
              </w:rPr>
              <w:t>商品和服务支出　</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56.88</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color w:val="000000"/>
                <w:kern w:val="0"/>
                <w:szCs w:val="21"/>
              </w:rPr>
              <w:t>56.88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30228</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工会经费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25.28</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25.28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30229</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福利费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31.6</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31.6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b/>
                <w:color w:val="000000"/>
                <w:kern w:val="0"/>
                <w:szCs w:val="21"/>
              </w:rPr>
            </w:pPr>
            <w:r>
              <w:rPr>
                <w:rFonts w:ascii="宋体" w:hAnsi="宋体" w:cs="宋体"/>
                <w:b/>
                <w:color w:val="000000"/>
                <w:sz w:val="18"/>
                <w:szCs w:val="18"/>
              </w:rPr>
              <w:t>303</w:t>
            </w:r>
            <w:r>
              <w:rPr>
                <w:rFonts w:hint="eastAsia"/>
                <w:b/>
                <w:color w:val="000000"/>
                <w:kern w:val="0"/>
                <w:szCs w:val="21"/>
              </w:rPr>
              <w:t>　</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b/>
                <w:color w:val="000000"/>
                <w:kern w:val="0"/>
                <w:szCs w:val="21"/>
              </w:rPr>
            </w:pPr>
            <w:r>
              <w:rPr>
                <w:rFonts w:hint="eastAsia"/>
                <w:b/>
                <w:color w:val="000000"/>
                <w:kern w:val="0"/>
                <w:szCs w:val="21"/>
              </w:rPr>
              <w:t>对个人和家庭补助　</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ascii="宋体" w:hAnsi="宋体" w:cs="宋体"/>
                <w:color w:val="000000"/>
                <w:kern w:val="0"/>
                <w:szCs w:val="21"/>
              </w:rPr>
              <w:t>12.14</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ascii="宋体" w:hAnsi="宋体" w:cs="宋体"/>
                <w:color w:val="000000"/>
                <w:kern w:val="0"/>
                <w:szCs w:val="21"/>
              </w:rPr>
              <w:t>12.14</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30305</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生活补助　</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9.55</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9.55</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30399</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奖励金</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2.59</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color w:val="000000"/>
                <w:kern w:val="0"/>
                <w:szCs w:val="21"/>
              </w:rPr>
              <w:t>2.59</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合计</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ascii="宋体" w:hAnsi="宋体" w:cs="宋体"/>
                <w:color w:val="000000"/>
                <w:kern w:val="0"/>
                <w:szCs w:val="21"/>
              </w:rPr>
              <w:t>2,303.75</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rFonts w:ascii="宋体" w:hAnsi="宋体" w:cs="宋体"/>
                <w:color w:val="000000"/>
                <w:szCs w:val="21"/>
              </w:rPr>
            </w:pPr>
            <w:r>
              <w:rPr>
                <w:rFonts w:ascii="宋体" w:hAnsi="宋体" w:cs="宋体"/>
                <w:color w:val="000000"/>
                <w:kern w:val="0"/>
                <w:szCs w:val="21"/>
              </w:rPr>
              <w:t>2,246.87</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color w:val="000000"/>
                <w:kern w:val="0"/>
                <w:szCs w:val="21"/>
              </w:rPr>
              <w:t>56.88</w:t>
            </w:r>
          </w:p>
        </w:tc>
      </w:tr>
    </w:tbl>
    <w:p>
      <w:pPr>
        <w:rPr>
          <w:rFonts w:eastAsia="楷体_GB2312"/>
          <w:b/>
          <w:color w:val="000000"/>
          <w:kern w:val="0"/>
          <w:sz w:val="30"/>
          <w:szCs w:val="30"/>
        </w:rPr>
      </w:pPr>
    </w:p>
    <w:p>
      <w:pPr>
        <w:rPr>
          <w:rFonts w:hint="eastAsia" w:eastAsia="楷体_GB2312"/>
          <w:b/>
          <w:color w:val="000000"/>
          <w:kern w:val="0"/>
          <w:sz w:val="30"/>
          <w:szCs w:val="30"/>
        </w:rPr>
      </w:pPr>
    </w:p>
    <w:p>
      <w:pPr>
        <w:rPr>
          <w:rFonts w:eastAsia="楷体_GB2312"/>
          <w:b/>
          <w:color w:val="000000"/>
          <w:kern w:val="0"/>
          <w:sz w:val="30"/>
          <w:szCs w:val="30"/>
        </w:rPr>
      </w:pPr>
    </w:p>
    <w:p>
      <w:pPr>
        <w:ind w:firstLine="1193" w:firstLineChars="396"/>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经费预算公开表格（表7）</w:t>
      </w:r>
    </w:p>
    <w:p>
      <w:pPr>
        <w:spacing w:line="240" w:lineRule="exact"/>
        <w:rPr>
          <w:rFonts w:eastAsia="黑体"/>
          <w:color w:val="000000"/>
          <w:kern w:val="0"/>
          <w:sz w:val="20"/>
        </w:rPr>
      </w:pPr>
    </w:p>
    <w:p>
      <w:pPr>
        <w:jc w:val="center"/>
        <w:rPr>
          <w:rFonts w:eastAsia="方正小标宋简体"/>
          <w:color w:val="000000"/>
          <w:kern w:val="0"/>
          <w:sz w:val="40"/>
          <w:szCs w:val="40"/>
        </w:rPr>
      </w:pPr>
      <w:r>
        <w:rPr>
          <w:rFonts w:hint="eastAsia" w:eastAsia="方正小标宋简体"/>
          <w:color w:val="000000"/>
          <w:kern w:val="0"/>
          <w:sz w:val="40"/>
          <w:szCs w:val="40"/>
        </w:rPr>
        <w:t>一般公共预算</w:t>
      </w:r>
      <w:r>
        <w:rPr>
          <w:rFonts w:eastAsia="方正小标宋简体"/>
          <w:color w:val="000000"/>
          <w:kern w:val="0"/>
          <w:sz w:val="40"/>
          <w:szCs w:val="40"/>
        </w:rPr>
        <w:t>“</w:t>
      </w:r>
      <w:r>
        <w:rPr>
          <w:rFonts w:hint="eastAsia" w:eastAsia="方正小标宋简体"/>
          <w:color w:val="000000"/>
          <w:kern w:val="0"/>
          <w:sz w:val="40"/>
          <w:szCs w:val="40"/>
        </w:rPr>
        <w:t>三公</w:t>
      </w:r>
      <w:r>
        <w:rPr>
          <w:rFonts w:eastAsia="方正小标宋简体"/>
          <w:color w:val="000000"/>
          <w:kern w:val="0"/>
          <w:sz w:val="40"/>
          <w:szCs w:val="40"/>
        </w:rPr>
        <w:t>”</w:t>
      </w:r>
      <w:r>
        <w:rPr>
          <w:rFonts w:hint="eastAsia" w:eastAsia="方正小标宋简体"/>
          <w:color w:val="000000"/>
          <w:kern w:val="0"/>
          <w:sz w:val="40"/>
          <w:szCs w:val="40"/>
        </w:rPr>
        <w:t>经费支出表</w:t>
      </w:r>
    </w:p>
    <w:p>
      <w:pPr>
        <w:wordWrap w:val="0"/>
        <w:jc w:val="right"/>
        <w:rPr>
          <w:color w:val="000000"/>
          <w:kern w:val="0"/>
          <w:szCs w:val="21"/>
        </w:rPr>
      </w:pPr>
      <w:r>
        <w:rPr>
          <w:rFonts w:hint="eastAsia"/>
          <w:color w:val="000000"/>
          <w:kern w:val="0"/>
          <w:szCs w:val="21"/>
        </w:rPr>
        <w:t>单位：万元</w:t>
      </w:r>
    </w:p>
    <w:tbl>
      <w:tblPr>
        <w:tblStyle w:val="10"/>
        <w:tblW w:w="9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57"/>
        <w:gridCol w:w="682"/>
        <w:gridCol w:w="660"/>
        <w:gridCol w:w="822"/>
        <w:gridCol w:w="1138"/>
        <w:gridCol w:w="720"/>
        <w:gridCol w:w="724"/>
        <w:gridCol w:w="679"/>
        <w:gridCol w:w="680"/>
        <w:gridCol w:w="900"/>
        <w:gridCol w:w="940"/>
        <w:gridCol w:w="7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4779" w:type="dxa"/>
            <w:gridSpan w:val="6"/>
            <w:tcBorders>
              <w:top w:val="single" w:color="auto" w:sz="12" w:space="0"/>
              <w:left w:val="single" w:color="auto" w:sz="12"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上年预算数</w:t>
            </w:r>
          </w:p>
        </w:tc>
        <w:tc>
          <w:tcPr>
            <w:tcW w:w="4680" w:type="dxa"/>
            <w:gridSpan w:val="6"/>
            <w:tcBorders>
              <w:top w:val="single" w:color="auto" w:sz="12"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本年预算数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757" w:type="dxa"/>
            <w:vMerge w:val="restart"/>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合计</w:t>
            </w:r>
          </w:p>
        </w:tc>
        <w:tc>
          <w:tcPr>
            <w:tcW w:w="682"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因公</w:t>
            </w:r>
          </w:p>
          <w:p>
            <w:pPr>
              <w:widowControl/>
              <w:jc w:val="center"/>
              <w:rPr>
                <w:color w:val="000000"/>
                <w:kern w:val="0"/>
                <w:sz w:val="18"/>
                <w:szCs w:val="18"/>
              </w:rPr>
            </w:pPr>
            <w:r>
              <w:rPr>
                <w:rFonts w:hint="eastAsia"/>
                <w:color w:val="000000"/>
                <w:kern w:val="0"/>
                <w:sz w:val="18"/>
                <w:szCs w:val="18"/>
              </w:rPr>
              <w:t>出国（境）费</w:t>
            </w:r>
          </w:p>
        </w:tc>
        <w:tc>
          <w:tcPr>
            <w:tcW w:w="2620" w:type="dxa"/>
            <w:gridSpan w:val="3"/>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公务用车购置及运行费</w:t>
            </w:r>
          </w:p>
        </w:tc>
        <w:tc>
          <w:tcPr>
            <w:tcW w:w="720"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公务接待费</w:t>
            </w:r>
          </w:p>
        </w:tc>
        <w:tc>
          <w:tcPr>
            <w:tcW w:w="724"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合计</w:t>
            </w:r>
          </w:p>
        </w:tc>
        <w:tc>
          <w:tcPr>
            <w:tcW w:w="679"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因公</w:t>
            </w:r>
          </w:p>
          <w:p>
            <w:pPr>
              <w:widowControl/>
              <w:jc w:val="center"/>
              <w:rPr>
                <w:color w:val="000000"/>
                <w:kern w:val="0"/>
                <w:sz w:val="18"/>
                <w:szCs w:val="18"/>
              </w:rPr>
            </w:pPr>
            <w:r>
              <w:rPr>
                <w:rFonts w:hint="eastAsia"/>
                <w:color w:val="000000"/>
                <w:kern w:val="0"/>
                <w:sz w:val="18"/>
                <w:szCs w:val="18"/>
              </w:rPr>
              <w:t>出国（境）费</w:t>
            </w:r>
          </w:p>
        </w:tc>
        <w:tc>
          <w:tcPr>
            <w:tcW w:w="2520" w:type="dxa"/>
            <w:gridSpan w:val="3"/>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公务用车购置及运行费</w:t>
            </w:r>
          </w:p>
        </w:tc>
        <w:tc>
          <w:tcPr>
            <w:tcW w:w="757" w:type="dxa"/>
            <w:vMerge w:val="restart"/>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公务接待费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757"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 w:val="18"/>
                <w:szCs w:val="18"/>
              </w:rPr>
            </w:pPr>
          </w:p>
        </w:tc>
        <w:tc>
          <w:tcPr>
            <w:tcW w:w="682"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 w:val="18"/>
                <w:szCs w:val="18"/>
              </w:rPr>
            </w:pPr>
          </w:p>
        </w:tc>
        <w:tc>
          <w:tcPr>
            <w:tcW w:w="660"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小计</w:t>
            </w:r>
          </w:p>
        </w:tc>
        <w:tc>
          <w:tcPr>
            <w:tcW w:w="82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公务用车购置费</w:t>
            </w:r>
          </w:p>
        </w:tc>
        <w:tc>
          <w:tcPr>
            <w:tcW w:w="113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公务用车运行费</w:t>
            </w:r>
          </w:p>
        </w:tc>
        <w:tc>
          <w:tcPr>
            <w:tcW w:w="72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 w:val="18"/>
                <w:szCs w:val="18"/>
              </w:rPr>
            </w:pPr>
          </w:p>
        </w:tc>
        <w:tc>
          <w:tcPr>
            <w:tcW w:w="724"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 w:val="18"/>
                <w:szCs w:val="18"/>
              </w:rPr>
            </w:pPr>
          </w:p>
        </w:tc>
        <w:tc>
          <w:tcPr>
            <w:tcW w:w="679"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 w:val="18"/>
                <w:szCs w:val="18"/>
              </w:rPr>
            </w:pPr>
          </w:p>
        </w:tc>
        <w:tc>
          <w:tcPr>
            <w:tcW w:w="680"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小计</w:t>
            </w:r>
          </w:p>
        </w:tc>
        <w:tc>
          <w:tcPr>
            <w:tcW w:w="900"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公务用车购置费</w:t>
            </w:r>
          </w:p>
        </w:tc>
        <w:tc>
          <w:tcPr>
            <w:tcW w:w="940"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公务用车运行费</w:t>
            </w:r>
          </w:p>
        </w:tc>
        <w:tc>
          <w:tcPr>
            <w:tcW w:w="757" w:type="dxa"/>
            <w:vMerge w:val="continue"/>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757" w:type="dxa"/>
            <w:tcBorders>
              <w:top w:val="single" w:color="auto" w:sz="6" w:space="0"/>
              <w:left w:val="single" w:color="auto" w:sz="12"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682"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660"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822"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1138"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720"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724"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679"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p>
        </w:tc>
        <w:tc>
          <w:tcPr>
            <w:tcW w:w="680"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00"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p>
        </w:tc>
        <w:tc>
          <w:tcPr>
            <w:tcW w:w="940"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757" w:type="dxa"/>
            <w:tcBorders>
              <w:top w:val="single" w:color="auto" w:sz="6" w:space="0"/>
              <w:left w:val="single" w:color="auto" w:sz="6" w:space="0"/>
              <w:bottom w:val="single" w:color="auto" w:sz="12"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bl>
    <w:p>
      <w:pPr>
        <w:rPr>
          <w:color w:val="000000"/>
        </w:rPr>
      </w:pPr>
    </w:p>
    <w:p>
      <w:pPr>
        <w:rPr>
          <w:color w:val="000000"/>
        </w:rPr>
      </w:pPr>
      <w:r>
        <w:rPr>
          <w:rFonts w:hint="eastAsia"/>
          <w:color w:val="000000"/>
        </w:rPr>
        <w:t>公务接待严格执行“从严从简、依法依规、节俭办事、标准控制”的原则。</w:t>
      </w:r>
    </w:p>
    <w:p>
      <w:pPr>
        <w:ind w:firstLine="1680" w:firstLineChars="800"/>
        <w:rPr>
          <w:color w:val="000000"/>
        </w:rPr>
      </w:pPr>
      <w:r>
        <w:rPr>
          <w:color w:val="000000"/>
        </w:rPr>
        <w:br w:type="column"/>
      </w:r>
    </w:p>
    <w:p>
      <w:pPr>
        <w:jc w:val="center"/>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经费预算公开表格（表8）</w:t>
      </w:r>
    </w:p>
    <w:p>
      <w:pPr>
        <w:spacing w:line="240" w:lineRule="exact"/>
        <w:rPr>
          <w:rFonts w:eastAsia="黑体"/>
          <w:color w:val="000000"/>
          <w:kern w:val="0"/>
          <w:sz w:val="20"/>
        </w:rPr>
      </w:pPr>
    </w:p>
    <w:p>
      <w:pPr>
        <w:jc w:val="center"/>
        <w:rPr>
          <w:rFonts w:eastAsia="方正小标宋简体"/>
          <w:color w:val="000000"/>
          <w:kern w:val="0"/>
          <w:sz w:val="40"/>
          <w:szCs w:val="40"/>
        </w:rPr>
      </w:pPr>
      <w:r>
        <w:rPr>
          <w:rFonts w:hint="eastAsia" w:eastAsia="方正小标宋简体"/>
          <w:color w:val="000000"/>
          <w:kern w:val="0"/>
          <w:sz w:val="40"/>
          <w:szCs w:val="40"/>
        </w:rPr>
        <w:t>政府性基金预算支出表</w:t>
      </w:r>
    </w:p>
    <w:p>
      <w:pPr>
        <w:spacing w:line="240" w:lineRule="exact"/>
        <w:jc w:val="center"/>
        <w:rPr>
          <w:rFonts w:eastAsia="方正小标宋简体"/>
          <w:color w:val="000000"/>
          <w:kern w:val="0"/>
          <w:sz w:val="40"/>
          <w:szCs w:val="40"/>
        </w:rPr>
      </w:pPr>
    </w:p>
    <w:p>
      <w:pPr>
        <w:wordWrap w:val="0"/>
        <w:jc w:val="right"/>
        <w:rPr>
          <w:color w:val="000000"/>
          <w:kern w:val="0"/>
          <w:szCs w:val="21"/>
        </w:rPr>
      </w:pPr>
      <w:r>
        <w:rPr>
          <w:rFonts w:hint="eastAsia"/>
          <w:color w:val="000000"/>
          <w:kern w:val="0"/>
          <w:szCs w:val="21"/>
        </w:rPr>
        <w:t>单位：万元</w:t>
      </w:r>
    </w:p>
    <w:tbl>
      <w:tblPr>
        <w:tblStyle w:val="10"/>
        <w:tblW w:w="901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7"/>
        <w:gridCol w:w="748"/>
        <w:gridCol w:w="749"/>
        <w:gridCol w:w="3221"/>
        <w:gridCol w:w="901"/>
        <w:gridCol w:w="1362"/>
        <w:gridCol w:w="128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5465" w:type="dxa"/>
            <w:gridSpan w:val="4"/>
            <w:tcBorders>
              <w:top w:val="single" w:color="auto" w:sz="12"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功能分类科目</w:t>
            </w:r>
          </w:p>
        </w:tc>
        <w:tc>
          <w:tcPr>
            <w:tcW w:w="3547" w:type="dxa"/>
            <w:gridSpan w:val="3"/>
            <w:tcBorders>
              <w:top w:val="single" w:color="auto" w:sz="12"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本年政府性基金预算财政拨款支出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科目编码</w:t>
            </w:r>
          </w:p>
        </w:tc>
        <w:tc>
          <w:tcPr>
            <w:tcW w:w="3221" w:type="dxa"/>
            <w:vMerge w:val="restart"/>
            <w:tcBorders>
              <w:top w:val="single" w:color="auto" w:sz="4"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科目名称</w:t>
            </w:r>
          </w:p>
        </w:tc>
        <w:tc>
          <w:tcPr>
            <w:tcW w:w="901" w:type="dxa"/>
            <w:vMerge w:val="restart"/>
            <w:tcBorders>
              <w:top w:val="single" w:color="auto" w:sz="6" w:space="0"/>
              <w:left w:val="single" w:color="auto" w:sz="6" w:space="0"/>
              <w:bottom w:val="single" w:color="auto" w:sz="6" w:space="0"/>
              <w:right w:val="single" w:color="auto" w:sz="4" w:space="0"/>
            </w:tcBorders>
            <w:vAlign w:val="center"/>
          </w:tcPr>
          <w:p>
            <w:pPr>
              <w:jc w:val="center"/>
              <w:rPr>
                <w:color w:val="000000"/>
                <w:kern w:val="0"/>
                <w:szCs w:val="21"/>
              </w:rPr>
            </w:pPr>
            <w:r>
              <w:rPr>
                <w:rFonts w:hint="eastAsia"/>
                <w:color w:val="000000"/>
                <w:kern w:val="0"/>
                <w:szCs w:val="21"/>
              </w:rPr>
              <w:t>合计</w:t>
            </w:r>
          </w:p>
        </w:tc>
        <w:tc>
          <w:tcPr>
            <w:tcW w:w="1362" w:type="dxa"/>
            <w:vMerge w:val="restart"/>
            <w:tcBorders>
              <w:top w:val="single" w:color="auto" w:sz="6" w:space="0"/>
              <w:left w:val="single" w:color="auto" w:sz="4" w:space="0"/>
              <w:bottom w:val="single" w:color="auto" w:sz="6" w:space="0"/>
              <w:right w:val="single" w:color="auto" w:sz="4" w:space="0"/>
            </w:tcBorders>
            <w:vAlign w:val="center"/>
          </w:tcPr>
          <w:p>
            <w:pPr>
              <w:jc w:val="center"/>
              <w:rPr>
                <w:color w:val="000000"/>
                <w:kern w:val="0"/>
                <w:szCs w:val="21"/>
              </w:rPr>
            </w:pPr>
            <w:r>
              <w:rPr>
                <w:rFonts w:hint="eastAsia"/>
                <w:color w:val="000000"/>
                <w:kern w:val="0"/>
                <w:szCs w:val="21"/>
              </w:rPr>
              <w:t>基本支出</w:t>
            </w:r>
          </w:p>
        </w:tc>
        <w:tc>
          <w:tcPr>
            <w:tcW w:w="1284" w:type="dxa"/>
            <w:vMerge w:val="restart"/>
            <w:tcBorders>
              <w:top w:val="single" w:color="auto" w:sz="6" w:space="0"/>
              <w:left w:val="single" w:color="auto" w:sz="4" w:space="0"/>
              <w:bottom w:val="single" w:color="auto" w:sz="6" w:space="0"/>
              <w:right w:val="single" w:color="auto" w:sz="12" w:space="0"/>
            </w:tcBorders>
            <w:vAlign w:val="center"/>
          </w:tcPr>
          <w:p>
            <w:pPr>
              <w:jc w:val="center"/>
              <w:rPr>
                <w:color w:val="000000"/>
                <w:kern w:val="0"/>
                <w:szCs w:val="21"/>
              </w:rPr>
            </w:pPr>
            <w:r>
              <w:rPr>
                <w:rFonts w:hint="eastAsia"/>
                <w:color w:val="000000"/>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0" w:hRule="exact"/>
          <w:jc w:val="center"/>
        </w:trPr>
        <w:tc>
          <w:tcPr>
            <w:tcW w:w="747"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类</w:t>
            </w:r>
          </w:p>
        </w:tc>
        <w:tc>
          <w:tcPr>
            <w:tcW w:w="74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款</w:t>
            </w:r>
          </w:p>
        </w:tc>
        <w:tc>
          <w:tcPr>
            <w:tcW w:w="749"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项</w:t>
            </w:r>
          </w:p>
        </w:tc>
        <w:tc>
          <w:tcPr>
            <w:tcW w:w="3221"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901" w:type="dxa"/>
            <w:vMerge w:val="continue"/>
            <w:tcBorders>
              <w:top w:val="single" w:color="auto" w:sz="6" w:space="0"/>
              <w:left w:val="single" w:color="auto" w:sz="6" w:space="0"/>
              <w:bottom w:val="single" w:color="auto" w:sz="6" w:space="0"/>
              <w:right w:val="single" w:color="auto" w:sz="4" w:space="0"/>
            </w:tcBorders>
            <w:vAlign w:val="center"/>
          </w:tcPr>
          <w:p>
            <w:pPr>
              <w:widowControl/>
              <w:jc w:val="center"/>
              <w:rPr>
                <w:color w:val="000000"/>
                <w:kern w:val="0"/>
                <w:szCs w:val="21"/>
              </w:rPr>
            </w:pPr>
          </w:p>
        </w:tc>
        <w:tc>
          <w:tcPr>
            <w:tcW w:w="1362" w:type="dxa"/>
            <w:vMerge w:val="continue"/>
            <w:tcBorders>
              <w:top w:val="single" w:color="auto" w:sz="6" w:space="0"/>
              <w:left w:val="single" w:color="auto" w:sz="4" w:space="0"/>
              <w:bottom w:val="single" w:color="auto" w:sz="6" w:space="0"/>
              <w:right w:val="single" w:color="auto" w:sz="4" w:space="0"/>
            </w:tcBorders>
            <w:vAlign w:val="center"/>
          </w:tcPr>
          <w:p>
            <w:pPr>
              <w:widowControl/>
              <w:jc w:val="center"/>
              <w:rPr>
                <w:color w:val="000000"/>
                <w:kern w:val="0"/>
                <w:szCs w:val="21"/>
              </w:rPr>
            </w:pPr>
          </w:p>
        </w:tc>
        <w:tc>
          <w:tcPr>
            <w:tcW w:w="1284" w:type="dxa"/>
            <w:vMerge w:val="continue"/>
            <w:tcBorders>
              <w:top w:val="single" w:color="auto" w:sz="6" w:space="0"/>
              <w:left w:val="single" w:color="auto" w:sz="4"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　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　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　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　</w:t>
            </w:r>
          </w:p>
        </w:tc>
        <w:tc>
          <w:tcPr>
            <w:tcW w:w="3221"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合计</w:t>
            </w:r>
          </w:p>
        </w:tc>
        <w:tc>
          <w:tcPr>
            <w:tcW w:w="901"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0　</w:t>
            </w:r>
          </w:p>
        </w:tc>
        <w:tc>
          <w:tcPr>
            <w:tcW w:w="1362"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0　</w:t>
            </w:r>
          </w:p>
        </w:tc>
        <w:tc>
          <w:tcPr>
            <w:tcW w:w="1284" w:type="dxa"/>
            <w:tcBorders>
              <w:top w:val="single" w:color="auto" w:sz="6" w:space="0"/>
              <w:left w:val="single" w:color="auto" w:sz="6" w:space="0"/>
              <w:bottom w:val="single" w:color="auto" w:sz="12" w:space="0"/>
              <w:right w:val="single" w:color="auto" w:sz="12" w:space="0"/>
            </w:tcBorders>
            <w:vAlign w:val="center"/>
          </w:tcPr>
          <w:p>
            <w:pPr>
              <w:widowControl/>
              <w:jc w:val="center"/>
              <w:rPr>
                <w:color w:val="000000"/>
                <w:kern w:val="0"/>
                <w:szCs w:val="21"/>
              </w:rPr>
            </w:pPr>
            <w:r>
              <w:rPr>
                <w:rFonts w:hint="eastAsia"/>
                <w:color w:val="000000"/>
                <w:kern w:val="0"/>
                <w:szCs w:val="21"/>
              </w:rPr>
              <w:t>0　</w:t>
            </w:r>
          </w:p>
        </w:tc>
      </w:tr>
    </w:tbl>
    <w:p>
      <w:pPr>
        <w:rPr>
          <w:rFonts w:ascii="仿宋_GB2312" w:eastAsia="仿宋_GB2312"/>
          <w:sz w:val="30"/>
          <w:szCs w:val="30"/>
        </w:rPr>
      </w:pPr>
      <w:bookmarkStart w:id="0" w:name="RANGE_A1_D24"/>
      <w:bookmarkEnd w:id="0"/>
      <w:r>
        <w:rPr>
          <w:rFonts w:hint="eastAsia" w:eastAsia="楷体_GB2312"/>
          <w:bCs/>
          <w:color w:val="000000"/>
          <w:kern w:val="0"/>
          <w:sz w:val="30"/>
          <w:szCs w:val="30"/>
        </w:rPr>
        <w:t>说明：本部门无政府性基金预算安排的支出。</w:t>
      </w: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altName w:val="黑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7B0E79"/>
    <w:multiLevelType w:val="multilevel"/>
    <w:tmpl w:val="137B0E79"/>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5CD381D7"/>
    <w:multiLevelType w:val="singleLevel"/>
    <w:tmpl w:val="5CD381D7"/>
    <w:lvl w:ilvl="0" w:tentative="0">
      <w:start w:val="1"/>
      <w:numFmt w:val="chineseCounting"/>
      <w:suff w:val="nothing"/>
      <w:lvlText w:val="%1、"/>
      <w:lvlJc w:val="left"/>
    </w:lvl>
  </w:abstractNum>
  <w:abstractNum w:abstractNumId="2">
    <w:nsid w:val="5E3A73BF"/>
    <w:multiLevelType w:val="singleLevel"/>
    <w:tmpl w:val="5E3A73BF"/>
    <w:lvl w:ilvl="0" w:tentative="0">
      <w:start w:val="1"/>
      <w:numFmt w:val="chineseCounting"/>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MyMDIyMzA3YmY3M2MwYmI0NGVjNmM0ODhhMzA3NjQifQ=="/>
  </w:docVars>
  <w:rsids>
    <w:rsidRoot w:val="0C9C0351"/>
    <w:rsid w:val="00002861"/>
    <w:rsid w:val="00004943"/>
    <w:rsid w:val="000306C2"/>
    <w:rsid w:val="00040722"/>
    <w:rsid w:val="00051C53"/>
    <w:rsid w:val="00062D77"/>
    <w:rsid w:val="000657A5"/>
    <w:rsid w:val="000810D3"/>
    <w:rsid w:val="000820DE"/>
    <w:rsid w:val="00095498"/>
    <w:rsid w:val="00097A67"/>
    <w:rsid w:val="000C35E5"/>
    <w:rsid w:val="000D0C56"/>
    <w:rsid w:val="000D469A"/>
    <w:rsid w:val="000E01F7"/>
    <w:rsid w:val="00105D2C"/>
    <w:rsid w:val="0011406A"/>
    <w:rsid w:val="001141F7"/>
    <w:rsid w:val="001174B2"/>
    <w:rsid w:val="00133368"/>
    <w:rsid w:val="00151F01"/>
    <w:rsid w:val="0015379C"/>
    <w:rsid w:val="00160AA5"/>
    <w:rsid w:val="001A12F5"/>
    <w:rsid w:val="001C07C8"/>
    <w:rsid w:val="001C12D0"/>
    <w:rsid w:val="001D0959"/>
    <w:rsid w:val="001E0C60"/>
    <w:rsid w:val="001E0F2E"/>
    <w:rsid w:val="001E37CD"/>
    <w:rsid w:val="001F037A"/>
    <w:rsid w:val="00201FD4"/>
    <w:rsid w:val="002063B2"/>
    <w:rsid w:val="0021557E"/>
    <w:rsid w:val="00222D3C"/>
    <w:rsid w:val="00222F3B"/>
    <w:rsid w:val="00230B21"/>
    <w:rsid w:val="002440EB"/>
    <w:rsid w:val="00272725"/>
    <w:rsid w:val="00275292"/>
    <w:rsid w:val="00280149"/>
    <w:rsid w:val="002812B8"/>
    <w:rsid w:val="00293BD3"/>
    <w:rsid w:val="00297ABD"/>
    <w:rsid w:val="002A630C"/>
    <w:rsid w:val="002B2626"/>
    <w:rsid w:val="002B2C3F"/>
    <w:rsid w:val="002C78C4"/>
    <w:rsid w:val="002D3A79"/>
    <w:rsid w:val="002E0855"/>
    <w:rsid w:val="002E4ABF"/>
    <w:rsid w:val="002E76AA"/>
    <w:rsid w:val="00303F27"/>
    <w:rsid w:val="003066AF"/>
    <w:rsid w:val="0031029D"/>
    <w:rsid w:val="003136F2"/>
    <w:rsid w:val="00332D91"/>
    <w:rsid w:val="00336399"/>
    <w:rsid w:val="0034771F"/>
    <w:rsid w:val="003530A5"/>
    <w:rsid w:val="00355D40"/>
    <w:rsid w:val="0036117C"/>
    <w:rsid w:val="003735A1"/>
    <w:rsid w:val="003807AB"/>
    <w:rsid w:val="003C6578"/>
    <w:rsid w:val="003D4AED"/>
    <w:rsid w:val="003E1C7A"/>
    <w:rsid w:val="003F0869"/>
    <w:rsid w:val="004326AD"/>
    <w:rsid w:val="00433185"/>
    <w:rsid w:val="00435688"/>
    <w:rsid w:val="00436257"/>
    <w:rsid w:val="00437157"/>
    <w:rsid w:val="00461DED"/>
    <w:rsid w:val="004626CD"/>
    <w:rsid w:val="004633CF"/>
    <w:rsid w:val="00465030"/>
    <w:rsid w:val="004811DD"/>
    <w:rsid w:val="004820AF"/>
    <w:rsid w:val="00483A58"/>
    <w:rsid w:val="004860B7"/>
    <w:rsid w:val="00491CFB"/>
    <w:rsid w:val="004D01FF"/>
    <w:rsid w:val="0050242A"/>
    <w:rsid w:val="00505A5C"/>
    <w:rsid w:val="005175F4"/>
    <w:rsid w:val="00520FF3"/>
    <w:rsid w:val="00525F48"/>
    <w:rsid w:val="0052668C"/>
    <w:rsid w:val="00547064"/>
    <w:rsid w:val="005574FF"/>
    <w:rsid w:val="00572296"/>
    <w:rsid w:val="005745DC"/>
    <w:rsid w:val="0058619A"/>
    <w:rsid w:val="005876E2"/>
    <w:rsid w:val="00595A56"/>
    <w:rsid w:val="005B3528"/>
    <w:rsid w:val="005C5985"/>
    <w:rsid w:val="005C6ACE"/>
    <w:rsid w:val="005D0FD7"/>
    <w:rsid w:val="005D6CF6"/>
    <w:rsid w:val="005F0FF9"/>
    <w:rsid w:val="00616400"/>
    <w:rsid w:val="006255D6"/>
    <w:rsid w:val="00626065"/>
    <w:rsid w:val="006265F4"/>
    <w:rsid w:val="0063314F"/>
    <w:rsid w:val="00634895"/>
    <w:rsid w:val="0064624F"/>
    <w:rsid w:val="00660CB7"/>
    <w:rsid w:val="0066785F"/>
    <w:rsid w:val="00674684"/>
    <w:rsid w:val="0068119F"/>
    <w:rsid w:val="00695188"/>
    <w:rsid w:val="006A72AF"/>
    <w:rsid w:val="006B093B"/>
    <w:rsid w:val="006D7B26"/>
    <w:rsid w:val="006E597C"/>
    <w:rsid w:val="006F65D2"/>
    <w:rsid w:val="00706311"/>
    <w:rsid w:val="0072675F"/>
    <w:rsid w:val="00734074"/>
    <w:rsid w:val="00742C7C"/>
    <w:rsid w:val="00754962"/>
    <w:rsid w:val="007718D4"/>
    <w:rsid w:val="00773808"/>
    <w:rsid w:val="00782A85"/>
    <w:rsid w:val="00783333"/>
    <w:rsid w:val="00784CB4"/>
    <w:rsid w:val="007903DC"/>
    <w:rsid w:val="00791CBD"/>
    <w:rsid w:val="00795BD4"/>
    <w:rsid w:val="007A68B0"/>
    <w:rsid w:val="007C0BF7"/>
    <w:rsid w:val="007C299A"/>
    <w:rsid w:val="007C6EE9"/>
    <w:rsid w:val="0081395D"/>
    <w:rsid w:val="008139E6"/>
    <w:rsid w:val="008445B5"/>
    <w:rsid w:val="00846D49"/>
    <w:rsid w:val="008669E6"/>
    <w:rsid w:val="00892CDA"/>
    <w:rsid w:val="00893A4B"/>
    <w:rsid w:val="008946EE"/>
    <w:rsid w:val="008A4DD6"/>
    <w:rsid w:val="008C03C7"/>
    <w:rsid w:val="008D2442"/>
    <w:rsid w:val="008D27BB"/>
    <w:rsid w:val="008E0D2B"/>
    <w:rsid w:val="008E2847"/>
    <w:rsid w:val="008E6952"/>
    <w:rsid w:val="009055F0"/>
    <w:rsid w:val="00926D4F"/>
    <w:rsid w:val="00943670"/>
    <w:rsid w:val="009529E7"/>
    <w:rsid w:val="00960B35"/>
    <w:rsid w:val="00971673"/>
    <w:rsid w:val="00977A7E"/>
    <w:rsid w:val="0098438F"/>
    <w:rsid w:val="00992A72"/>
    <w:rsid w:val="009A146B"/>
    <w:rsid w:val="009A31E1"/>
    <w:rsid w:val="009C6449"/>
    <w:rsid w:val="009D172C"/>
    <w:rsid w:val="009E132F"/>
    <w:rsid w:val="009E5482"/>
    <w:rsid w:val="009F5EA7"/>
    <w:rsid w:val="00A239D1"/>
    <w:rsid w:val="00A32B13"/>
    <w:rsid w:val="00A373FF"/>
    <w:rsid w:val="00A378D6"/>
    <w:rsid w:val="00A431A6"/>
    <w:rsid w:val="00A5427C"/>
    <w:rsid w:val="00A63E3A"/>
    <w:rsid w:val="00A67B8F"/>
    <w:rsid w:val="00A67D10"/>
    <w:rsid w:val="00A71F81"/>
    <w:rsid w:val="00A9576A"/>
    <w:rsid w:val="00AA7A48"/>
    <w:rsid w:val="00AB53A1"/>
    <w:rsid w:val="00AC7F43"/>
    <w:rsid w:val="00AD30A1"/>
    <w:rsid w:val="00AD450D"/>
    <w:rsid w:val="00AF4554"/>
    <w:rsid w:val="00B316D1"/>
    <w:rsid w:val="00B332E6"/>
    <w:rsid w:val="00B34233"/>
    <w:rsid w:val="00B470DF"/>
    <w:rsid w:val="00B550C3"/>
    <w:rsid w:val="00B578B3"/>
    <w:rsid w:val="00B60932"/>
    <w:rsid w:val="00B65C8B"/>
    <w:rsid w:val="00B708F5"/>
    <w:rsid w:val="00B71AA6"/>
    <w:rsid w:val="00B728E7"/>
    <w:rsid w:val="00B87669"/>
    <w:rsid w:val="00B92EC7"/>
    <w:rsid w:val="00B95439"/>
    <w:rsid w:val="00BA133C"/>
    <w:rsid w:val="00BA2C7A"/>
    <w:rsid w:val="00BA548D"/>
    <w:rsid w:val="00BB24A6"/>
    <w:rsid w:val="00C00628"/>
    <w:rsid w:val="00C04F11"/>
    <w:rsid w:val="00C16571"/>
    <w:rsid w:val="00C20D03"/>
    <w:rsid w:val="00C32AA3"/>
    <w:rsid w:val="00C33617"/>
    <w:rsid w:val="00C3549B"/>
    <w:rsid w:val="00C40864"/>
    <w:rsid w:val="00C46DE1"/>
    <w:rsid w:val="00C47AA8"/>
    <w:rsid w:val="00C52BE1"/>
    <w:rsid w:val="00C5617C"/>
    <w:rsid w:val="00C81D14"/>
    <w:rsid w:val="00C84013"/>
    <w:rsid w:val="00C8787C"/>
    <w:rsid w:val="00CB0D3E"/>
    <w:rsid w:val="00CC3CAD"/>
    <w:rsid w:val="00CC3DCB"/>
    <w:rsid w:val="00CE742E"/>
    <w:rsid w:val="00CF34B6"/>
    <w:rsid w:val="00D02681"/>
    <w:rsid w:val="00D12375"/>
    <w:rsid w:val="00D347A3"/>
    <w:rsid w:val="00D36B4C"/>
    <w:rsid w:val="00D371C6"/>
    <w:rsid w:val="00D4486A"/>
    <w:rsid w:val="00D61EEB"/>
    <w:rsid w:val="00D845A7"/>
    <w:rsid w:val="00D856EE"/>
    <w:rsid w:val="00D929CB"/>
    <w:rsid w:val="00D9646B"/>
    <w:rsid w:val="00DA5317"/>
    <w:rsid w:val="00DB44F6"/>
    <w:rsid w:val="00DB5B32"/>
    <w:rsid w:val="00DC21C6"/>
    <w:rsid w:val="00DE2358"/>
    <w:rsid w:val="00DF75C8"/>
    <w:rsid w:val="00E1739C"/>
    <w:rsid w:val="00E201ED"/>
    <w:rsid w:val="00E2681C"/>
    <w:rsid w:val="00E36D35"/>
    <w:rsid w:val="00E41F67"/>
    <w:rsid w:val="00E43420"/>
    <w:rsid w:val="00E46F48"/>
    <w:rsid w:val="00E700EF"/>
    <w:rsid w:val="00E708AE"/>
    <w:rsid w:val="00E73562"/>
    <w:rsid w:val="00E803CB"/>
    <w:rsid w:val="00E80E47"/>
    <w:rsid w:val="00E82FD4"/>
    <w:rsid w:val="00E838D9"/>
    <w:rsid w:val="00E854A3"/>
    <w:rsid w:val="00E916D0"/>
    <w:rsid w:val="00EA631A"/>
    <w:rsid w:val="00EB1F06"/>
    <w:rsid w:val="00EB36F5"/>
    <w:rsid w:val="00EE0875"/>
    <w:rsid w:val="00EE5CAE"/>
    <w:rsid w:val="00EF2EC9"/>
    <w:rsid w:val="00EF3E36"/>
    <w:rsid w:val="00F02BE2"/>
    <w:rsid w:val="00F238D9"/>
    <w:rsid w:val="00F24C41"/>
    <w:rsid w:val="00F24E60"/>
    <w:rsid w:val="00F30EC8"/>
    <w:rsid w:val="00F326B9"/>
    <w:rsid w:val="00F417BE"/>
    <w:rsid w:val="00F510F5"/>
    <w:rsid w:val="00F52384"/>
    <w:rsid w:val="00F52A5D"/>
    <w:rsid w:val="00F558AF"/>
    <w:rsid w:val="00F7300F"/>
    <w:rsid w:val="00F87EA1"/>
    <w:rsid w:val="00F97631"/>
    <w:rsid w:val="00FB259A"/>
    <w:rsid w:val="00FB57E8"/>
    <w:rsid w:val="00FC1D9F"/>
    <w:rsid w:val="00FC2650"/>
    <w:rsid w:val="00FD2B04"/>
    <w:rsid w:val="00FE02E9"/>
    <w:rsid w:val="00FE12AA"/>
    <w:rsid w:val="00FE49F1"/>
    <w:rsid w:val="00FF5908"/>
    <w:rsid w:val="015A60C5"/>
    <w:rsid w:val="051D6637"/>
    <w:rsid w:val="05247BED"/>
    <w:rsid w:val="0529072E"/>
    <w:rsid w:val="06B761CF"/>
    <w:rsid w:val="074556ED"/>
    <w:rsid w:val="0A9D08FD"/>
    <w:rsid w:val="0B211C58"/>
    <w:rsid w:val="0B930569"/>
    <w:rsid w:val="0C2B6A36"/>
    <w:rsid w:val="0C9C0351"/>
    <w:rsid w:val="0DB92234"/>
    <w:rsid w:val="0F1C1B39"/>
    <w:rsid w:val="0F3928F3"/>
    <w:rsid w:val="1155785D"/>
    <w:rsid w:val="11C372AA"/>
    <w:rsid w:val="13987071"/>
    <w:rsid w:val="145923F1"/>
    <w:rsid w:val="164F3530"/>
    <w:rsid w:val="187E16A4"/>
    <w:rsid w:val="197E0E85"/>
    <w:rsid w:val="19B03A66"/>
    <w:rsid w:val="1AA9360A"/>
    <w:rsid w:val="1B4B69E2"/>
    <w:rsid w:val="1B6C3C36"/>
    <w:rsid w:val="1D082345"/>
    <w:rsid w:val="1FEB19C9"/>
    <w:rsid w:val="20DE1DD9"/>
    <w:rsid w:val="21DC37DA"/>
    <w:rsid w:val="23F84D76"/>
    <w:rsid w:val="23FD2470"/>
    <w:rsid w:val="24DD318E"/>
    <w:rsid w:val="25F65836"/>
    <w:rsid w:val="262843D1"/>
    <w:rsid w:val="27260611"/>
    <w:rsid w:val="272F0153"/>
    <w:rsid w:val="28E41E1E"/>
    <w:rsid w:val="29764C11"/>
    <w:rsid w:val="2AF94956"/>
    <w:rsid w:val="2B0D2D96"/>
    <w:rsid w:val="2BBF313E"/>
    <w:rsid w:val="2C8E6CA9"/>
    <w:rsid w:val="2EDE1483"/>
    <w:rsid w:val="2FE529BE"/>
    <w:rsid w:val="31261CFD"/>
    <w:rsid w:val="32CB448B"/>
    <w:rsid w:val="33860146"/>
    <w:rsid w:val="33A367C7"/>
    <w:rsid w:val="3450458B"/>
    <w:rsid w:val="34D93BA2"/>
    <w:rsid w:val="34DB72D1"/>
    <w:rsid w:val="35A047D3"/>
    <w:rsid w:val="368D4700"/>
    <w:rsid w:val="36A61B35"/>
    <w:rsid w:val="37D112BB"/>
    <w:rsid w:val="3844227B"/>
    <w:rsid w:val="38B4332A"/>
    <w:rsid w:val="393360AB"/>
    <w:rsid w:val="3C316F40"/>
    <w:rsid w:val="3C8B38E1"/>
    <w:rsid w:val="3E215B37"/>
    <w:rsid w:val="3F617C16"/>
    <w:rsid w:val="3FEE374D"/>
    <w:rsid w:val="405F1F11"/>
    <w:rsid w:val="40A91BE9"/>
    <w:rsid w:val="41F471F0"/>
    <w:rsid w:val="42A33231"/>
    <w:rsid w:val="42BD2E47"/>
    <w:rsid w:val="44117178"/>
    <w:rsid w:val="45A63D4C"/>
    <w:rsid w:val="46131A28"/>
    <w:rsid w:val="47E83D5A"/>
    <w:rsid w:val="495A3A36"/>
    <w:rsid w:val="4B626C4E"/>
    <w:rsid w:val="4C367264"/>
    <w:rsid w:val="4CF44356"/>
    <w:rsid w:val="4F126323"/>
    <w:rsid w:val="508D5468"/>
    <w:rsid w:val="50A94A59"/>
    <w:rsid w:val="53A76D3B"/>
    <w:rsid w:val="546764F8"/>
    <w:rsid w:val="54FE2D68"/>
    <w:rsid w:val="56605F1C"/>
    <w:rsid w:val="57CD239A"/>
    <w:rsid w:val="58044A73"/>
    <w:rsid w:val="590A6E24"/>
    <w:rsid w:val="598B5EFD"/>
    <w:rsid w:val="598C427F"/>
    <w:rsid w:val="5AD06876"/>
    <w:rsid w:val="5B055B45"/>
    <w:rsid w:val="5B9B046B"/>
    <w:rsid w:val="5FC23A64"/>
    <w:rsid w:val="5FE20D8B"/>
    <w:rsid w:val="60E25C6E"/>
    <w:rsid w:val="61E32270"/>
    <w:rsid w:val="61FF26E2"/>
    <w:rsid w:val="64096A65"/>
    <w:rsid w:val="645C7B76"/>
    <w:rsid w:val="64844D14"/>
    <w:rsid w:val="64D73141"/>
    <w:rsid w:val="64E1622C"/>
    <w:rsid w:val="659748E5"/>
    <w:rsid w:val="65F71656"/>
    <w:rsid w:val="66F608A9"/>
    <w:rsid w:val="6828370B"/>
    <w:rsid w:val="68782ADA"/>
    <w:rsid w:val="6BE72777"/>
    <w:rsid w:val="6C3E6B6A"/>
    <w:rsid w:val="6DF95BB2"/>
    <w:rsid w:val="70021E23"/>
    <w:rsid w:val="700C6B7C"/>
    <w:rsid w:val="71342C40"/>
    <w:rsid w:val="729152E5"/>
    <w:rsid w:val="75AC5336"/>
    <w:rsid w:val="78D30742"/>
    <w:rsid w:val="7B6C7563"/>
    <w:rsid w:val="7B71251E"/>
    <w:rsid w:val="7DB01F50"/>
    <w:rsid w:val="7E8103B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link w:val="16"/>
    <w:qFormat/>
    <w:uiPriority w:val="0"/>
    <w:pPr>
      <w:keepNext/>
      <w:keepLines/>
      <w:spacing w:line="413" w:lineRule="auto"/>
      <w:outlineLvl w:val="1"/>
    </w:pPr>
    <w:rPr>
      <w:rFonts w:ascii="Arial" w:hAnsi="Arial" w:eastAsia="黑体"/>
      <w:b/>
      <w:sz w:val="32"/>
      <w:szCs w:val="24"/>
    </w:rPr>
  </w:style>
  <w:style w:type="paragraph" w:styleId="3">
    <w:name w:val="heading 3"/>
    <w:basedOn w:val="1"/>
    <w:next w:val="1"/>
    <w:link w:val="14"/>
    <w:qFormat/>
    <w:uiPriority w:val="0"/>
    <w:pPr>
      <w:keepNext/>
      <w:keepLines/>
      <w:spacing w:line="413" w:lineRule="auto"/>
      <w:outlineLvl w:val="2"/>
    </w:pPr>
    <w:rPr>
      <w:rFonts w:ascii="Calibri" w:hAnsi="Calibri"/>
      <w:b/>
      <w:sz w:val="32"/>
      <w:szCs w:val="24"/>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unhideWhenUsed/>
    <w:uiPriority w:val="99"/>
    <w:pPr>
      <w:jc w:val="left"/>
    </w:pPr>
  </w:style>
  <w:style w:type="paragraph" w:styleId="5">
    <w:name w:val="Date"/>
    <w:basedOn w:val="1"/>
    <w:next w:val="1"/>
    <w:uiPriority w:val="0"/>
    <w:pPr>
      <w:ind w:left="100" w:leftChars="2500"/>
    </w:pPr>
  </w:style>
  <w:style w:type="paragraph" w:styleId="6">
    <w:name w:val="Balloon Text"/>
    <w:basedOn w:val="1"/>
    <w:semiHidden/>
    <w:uiPriority w:val="0"/>
    <w:rPr>
      <w:sz w:val="18"/>
      <w:szCs w:val="18"/>
    </w:rPr>
  </w:style>
  <w:style w:type="paragraph" w:styleId="7">
    <w:name w:val="footer"/>
    <w:basedOn w:val="1"/>
    <w:link w:val="17"/>
    <w:uiPriority w:val="0"/>
    <w:pPr>
      <w:tabs>
        <w:tab w:val="center" w:pos="4153"/>
        <w:tab w:val="right" w:pos="8306"/>
      </w:tabs>
      <w:snapToGrid w:val="0"/>
      <w:jc w:val="left"/>
    </w:pPr>
    <w:rPr>
      <w:sz w:val="18"/>
      <w:szCs w:val="18"/>
    </w:rPr>
  </w:style>
  <w:style w:type="paragraph" w:styleId="8">
    <w:name w:val="header"/>
    <w:basedOn w:val="1"/>
    <w:link w:val="15"/>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uiPriority w:val="99"/>
    <w:rPr>
      <w:sz w:val="24"/>
    </w:rPr>
  </w:style>
  <w:style w:type="character" w:styleId="12">
    <w:name w:val="FollowedHyperlink"/>
    <w:basedOn w:val="11"/>
    <w:unhideWhenUsed/>
    <w:uiPriority w:val="99"/>
    <w:rPr>
      <w:color w:val="000000"/>
      <w:u w:val="none"/>
    </w:rPr>
  </w:style>
  <w:style w:type="character" w:styleId="13">
    <w:name w:val="Hyperlink"/>
    <w:basedOn w:val="11"/>
    <w:unhideWhenUsed/>
    <w:uiPriority w:val="99"/>
    <w:rPr>
      <w:color w:val="000000"/>
      <w:u w:val="none"/>
    </w:rPr>
  </w:style>
  <w:style w:type="character" w:customStyle="1" w:styleId="14">
    <w:name w:val="标题 3 Char"/>
    <w:basedOn w:val="11"/>
    <w:link w:val="3"/>
    <w:semiHidden/>
    <w:locked/>
    <w:uiPriority w:val="0"/>
    <w:rPr>
      <w:rFonts w:ascii="Calibri" w:hAnsi="Calibri" w:eastAsia="宋体"/>
      <w:b/>
      <w:kern w:val="2"/>
      <w:sz w:val="32"/>
      <w:szCs w:val="24"/>
      <w:lang w:val="en-US" w:eastAsia="zh-CN" w:bidi="ar-SA"/>
    </w:rPr>
  </w:style>
  <w:style w:type="character" w:customStyle="1" w:styleId="15">
    <w:name w:val="页眉 Char"/>
    <w:basedOn w:val="11"/>
    <w:link w:val="8"/>
    <w:semiHidden/>
    <w:locked/>
    <w:uiPriority w:val="0"/>
    <w:rPr>
      <w:rFonts w:eastAsia="宋体"/>
      <w:kern w:val="2"/>
      <w:sz w:val="18"/>
      <w:szCs w:val="18"/>
      <w:lang w:val="en-US" w:eastAsia="zh-CN" w:bidi="ar-SA"/>
    </w:rPr>
  </w:style>
  <w:style w:type="character" w:customStyle="1" w:styleId="16">
    <w:name w:val="标题 2 Char"/>
    <w:basedOn w:val="11"/>
    <w:link w:val="2"/>
    <w:semiHidden/>
    <w:locked/>
    <w:uiPriority w:val="0"/>
    <w:rPr>
      <w:rFonts w:ascii="Arial" w:hAnsi="Arial" w:eastAsia="黑体"/>
      <w:b/>
      <w:kern w:val="2"/>
      <w:sz w:val="32"/>
      <w:szCs w:val="24"/>
      <w:lang w:val="en-US" w:eastAsia="zh-CN" w:bidi="ar-SA"/>
    </w:rPr>
  </w:style>
  <w:style w:type="character" w:customStyle="1" w:styleId="17">
    <w:name w:val="页脚 Char"/>
    <w:basedOn w:val="11"/>
    <w:link w:val="7"/>
    <w:semiHidden/>
    <w:locked/>
    <w:uiPriority w:val="0"/>
    <w:rPr>
      <w:rFonts w:eastAsia="宋体"/>
      <w:kern w:val="2"/>
      <w:sz w:val="18"/>
      <w:szCs w:val="18"/>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D691C3-3204-4DC5-9322-9B93A1111471}">
  <ds:schemaRefs/>
</ds:datastoreItem>
</file>

<file path=docProps/app.xml><?xml version="1.0" encoding="utf-8"?>
<Properties xmlns="http://schemas.openxmlformats.org/officeDocument/2006/extended-properties" xmlns:vt="http://schemas.openxmlformats.org/officeDocument/2006/docPropsVTypes">
  <Template>Normal</Template>
  <Pages>14</Pages>
  <Words>916</Words>
  <Characters>5225</Characters>
  <Lines>43</Lines>
  <Paragraphs>12</Paragraphs>
  <TotalTime>661</TotalTime>
  <ScaleCrop>false</ScaleCrop>
  <LinksUpToDate>false</LinksUpToDate>
  <CharactersWithSpaces>6129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2022-06-05T14:52:00Z</dcterms:created>
  <dc:creator>Administrator</dc:creator>
  <cp:lastModifiedBy>user</cp:lastModifiedBy>
  <cp:lastPrinted>2022-05-20T08:56:00Z</cp:lastPrinted>
  <dcterms:modified xsi:type="dcterms:W3CDTF">2024-01-22T02:46:14Z</dcterms:modified>
  <dc:title>×××部门预算编制说明</dc:title>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08A54256922D42A4B7D758335BEFA7AB</vt:lpwstr>
  </property>
</Properties>
</file>