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uto"/>
        <w:rPr>
          <w:rFonts w:ascii="宋体" w:hAnsi="宋体" w:eastAsia="宋体" w:cs="宋体"/>
          <w:color w:val="333333"/>
          <w:kern w:val="0"/>
          <w:sz w:val="27"/>
          <w:szCs w:val="27"/>
        </w:rPr>
      </w:pPr>
      <w:r>
        <w:rPr>
          <w:rFonts w:hint="eastAsia" w:ascii="宋体" w:hAnsi="宋体" w:eastAsia="宋体" w:cs="宋体"/>
          <w:color w:val="333333"/>
          <w:kern w:val="0"/>
          <w:sz w:val="27"/>
          <w:szCs w:val="27"/>
        </w:rPr>
        <w:t>第二部分：湘潭县农业农村局2024年度部门预算表</w:t>
      </w: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部门预算和“三公”经费预算公开表格（表1）</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部门财政拨款收支总表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021"/>
        <w:gridCol w:w="1123"/>
        <w:gridCol w:w="2918"/>
        <w:gridCol w:w="126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11" w:hRule="atLeast"/>
          <w:jc w:val="center"/>
        </w:trPr>
        <w:tc>
          <w:tcPr>
            <w:tcW w:w="414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  入</w:t>
            </w:r>
          </w:p>
        </w:tc>
        <w:tc>
          <w:tcPr>
            <w:tcW w:w="417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   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74"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38"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3466.26</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3466.26</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三、上级补助收入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22320</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收入总计</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部门预算和“三公”经费预算公开表格（表2）</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一般公共预算支出表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9"/>
        <w:gridCol w:w="517"/>
        <w:gridCol w:w="517"/>
        <w:gridCol w:w="3061"/>
        <w:gridCol w:w="1374"/>
        <w:gridCol w:w="1374"/>
        <w:gridCol w:w="96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9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00"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0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社会保障和就业支出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行政事业单位养老支出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jc w:val="center"/>
            </w:pPr>
            <w:r>
              <w:rPr>
                <w:rFonts w:hint="eastAsia" w:cs="宋体" w:asciiTheme="majorEastAsia" w:hAnsiTheme="majorEastAsia" w:eastAsiaTheme="majorEastAsia"/>
                <w:color w:val="333333"/>
                <w:kern w:val="0"/>
                <w:szCs w:val="21"/>
              </w:rPr>
              <w:t>249.37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jc w:val="center"/>
            </w:pPr>
            <w:r>
              <w:rPr>
                <w:rFonts w:hint="eastAsia" w:cs="宋体" w:asciiTheme="majorEastAsia" w:hAnsiTheme="majorEastAsia" w:eastAsiaTheme="majorEastAsia"/>
                <w:color w:val="333333"/>
                <w:kern w:val="0"/>
                <w:szCs w:val="21"/>
              </w:rPr>
              <w:t>249.37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机关事业单位基本养老保险缴费支出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卫生健康支出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jc w:val="center"/>
            </w:pPr>
            <w:r>
              <w:rPr>
                <w:rFonts w:hint="eastAsia" w:cs="宋体" w:asciiTheme="majorEastAsia" w:hAnsiTheme="majorEastAsia" w:eastAsiaTheme="majorEastAsia"/>
                <w:color w:val="333333"/>
                <w:kern w:val="0"/>
                <w:szCs w:val="21"/>
              </w:rPr>
              <w:t>145.99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jc w:val="center"/>
            </w:pPr>
            <w:r>
              <w:rPr>
                <w:rFonts w:hint="eastAsia" w:cs="宋体" w:asciiTheme="majorEastAsia" w:hAnsiTheme="majorEastAsia" w:eastAsiaTheme="majorEastAsia"/>
                <w:color w:val="333333"/>
                <w:kern w:val="0"/>
                <w:szCs w:val="21"/>
              </w:rPr>
              <w:t>145.99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jc w:val="center"/>
            </w:pPr>
            <w:r>
              <w:rPr>
                <w:rFonts w:hint="eastAsia" w:cs="宋体" w:asciiTheme="majorEastAsia" w:hAnsiTheme="majorEastAsia" w:eastAsiaTheme="majorEastAsia"/>
                <w:color w:val="333333"/>
                <w:kern w:val="0"/>
                <w:szCs w:val="21"/>
              </w:rPr>
              <w:t>145.99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jc w:val="center"/>
            </w:pPr>
            <w:r>
              <w:rPr>
                <w:rFonts w:hint="eastAsia" w:cs="宋体" w:asciiTheme="majorEastAsia" w:hAnsiTheme="majorEastAsia" w:eastAsiaTheme="majorEastAsia"/>
                <w:color w:val="333333"/>
                <w:kern w:val="0"/>
                <w:szCs w:val="21"/>
              </w:rPr>
              <w:t>145.99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25176.44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2211.14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22965.3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left"/>
              <w:rPr>
                <w:rFonts w:ascii="宋体" w:hAnsi="宋体" w:eastAsia="宋体" w:cs="宋体"/>
                <w:color w:val="333333"/>
                <w:kern w:val="0"/>
                <w:szCs w:val="21"/>
              </w:rPr>
            </w:pPr>
            <w:r>
              <w:rPr>
                <w:rFonts w:hint="eastAsia" w:ascii="宋体" w:hAnsi="宋体" w:eastAsia="宋体" w:cs="宋体"/>
                <w:color w:val="333333"/>
                <w:kern w:val="0"/>
                <w:szCs w:val="21"/>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25176.44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ascii="宋体" w:hAnsi="宋体" w:eastAsia="宋体" w:cs="宋体"/>
                <w:color w:val="333333"/>
                <w:szCs w:val="21"/>
              </w:rPr>
              <w:t>2211.14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22965.3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ascii="宋体" w:hAnsi="宋体" w:eastAsia="宋体" w:cs="宋体"/>
                <w:color w:val="333333"/>
                <w:szCs w:val="21"/>
              </w:rPr>
              <w:t>2211.14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ascii="宋体" w:hAnsi="宋体" w:eastAsia="宋体" w:cs="宋体"/>
                <w:color w:val="333333"/>
                <w:szCs w:val="21"/>
              </w:rPr>
              <w:t>2211.14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458.7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458.7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252</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252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774.8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774.8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执法监管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19938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19938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525.3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525.3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979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979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住房保障支出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住房改革支出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2820.96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r>
    </w:tbl>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p>
    <w:p>
      <w:pPr>
        <w:widowControl/>
        <w:shd w:val="clear" w:color="auto" w:fill="FFFFFF"/>
        <w:spacing w:before="100" w:beforeAutospacing="1"/>
        <w:rPr>
          <w:rFonts w:ascii="宋体" w:hAnsi="宋体" w:eastAsia="宋体" w:cs="宋体"/>
          <w:b/>
          <w:color w:val="333333"/>
          <w:kern w:val="0"/>
          <w:sz w:val="24"/>
          <w:szCs w:val="24"/>
        </w:rPr>
      </w:pPr>
      <w:r>
        <w:rPr>
          <w:rFonts w:ascii="宋体" w:hAnsi="宋体" w:eastAsia="宋体" w:cs="宋体"/>
          <w:b/>
          <w:color w:val="333333"/>
          <w:kern w:val="0"/>
          <w:sz w:val="24"/>
          <w:szCs w:val="24"/>
        </w:rPr>
        <w:t>部门预算和“三公”经费预算公开表格（表3）</w:t>
      </w:r>
    </w:p>
    <w:p>
      <w:pPr>
        <w:widowControl/>
        <w:shd w:val="clear" w:color="auto" w:fill="FFFFFF"/>
        <w:spacing w:before="100" w:beforeAutospacing="1"/>
        <w:jc w:val="center"/>
        <w:rPr>
          <w:rFonts w:ascii="宋体" w:hAnsi="宋体" w:eastAsia="宋体" w:cs="宋体"/>
          <w:b/>
          <w:color w:val="333333"/>
          <w:kern w:val="0"/>
          <w:sz w:val="24"/>
          <w:szCs w:val="24"/>
        </w:rPr>
      </w:pPr>
      <w:r>
        <w:rPr>
          <w:rFonts w:ascii="宋体" w:hAnsi="宋体" w:eastAsia="宋体" w:cs="宋体"/>
          <w:b/>
          <w:color w:val="333333"/>
          <w:kern w:val="0"/>
          <w:sz w:val="24"/>
          <w:szCs w:val="24"/>
        </w:rPr>
        <w:t>一般公共预算基本支出表</w:t>
      </w:r>
    </w:p>
    <w:p>
      <w:pPr>
        <w:widowControl/>
        <w:shd w:val="clear" w:color="auto" w:fill="FFFFFF"/>
        <w:spacing w:before="100" w:beforeAutospacing="1"/>
        <w:jc w:val="right"/>
        <w:rPr>
          <w:rFonts w:ascii="宋体" w:hAnsi="宋体" w:eastAsia="宋体" w:cs="宋体"/>
          <w:color w:val="333333"/>
          <w:kern w:val="0"/>
          <w:sz w:val="24"/>
          <w:szCs w:val="24"/>
        </w:rPr>
      </w:pPr>
      <w:r>
        <w:rPr>
          <w:rFonts w:ascii="宋体" w:hAnsi="宋体" w:eastAsia="宋体" w:cs="宋体"/>
          <w:b/>
          <w:color w:val="333333"/>
          <w:kern w:val="0"/>
          <w:sz w:val="24"/>
          <w:szCs w:val="24"/>
        </w:rPr>
        <w:t>　</w:t>
      </w:r>
      <w:r>
        <w:rPr>
          <w:rFonts w:ascii="宋体" w:hAnsi="宋体" w:eastAsia="宋体" w:cs="宋体"/>
          <w:color w:val="333333"/>
          <w:kern w:val="0"/>
          <w:sz w:val="24"/>
          <w:szCs w:val="24"/>
        </w:rPr>
        <w:t>　单位：万元</w:t>
      </w:r>
    </w:p>
    <w:tbl>
      <w:tblPr>
        <w:tblStyle w:val="4"/>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3844" w:type="dxa"/>
            <w:gridSpan w:val="3"/>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经济分类科目</w:t>
            </w:r>
          </w:p>
        </w:tc>
        <w:tc>
          <w:tcPr>
            <w:tcW w:w="4492" w:type="dxa"/>
            <w:gridSpan w:val="3"/>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基本支出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科目编码</w:t>
            </w:r>
          </w:p>
        </w:tc>
        <w:tc>
          <w:tcPr>
            <w:tcW w:w="272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科目名称</w:t>
            </w:r>
          </w:p>
        </w:tc>
        <w:tc>
          <w:tcPr>
            <w:tcW w:w="1482"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合计</w:t>
            </w:r>
          </w:p>
        </w:tc>
        <w:tc>
          <w:tcPr>
            <w:tcW w:w="161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人员经费</w:t>
            </w:r>
          </w:p>
        </w:tc>
        <w:tc>
          <w:tcPr>
            <w:tcW w:w="140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557"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类</w:t>
            </w:r>
          </w:p>
        </w:tc>
        <w:tc>
          <w:tcPr>
            <w:tcW w:w="567"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款</w:t>
            </w:r>
          </w:p>
        </w:tc>
        <w:tc>
          <w:tcPr>
            <w:tcW w:w="2720" w:type="dxa"/>
            <w:vMerge w:val="continue"/>
            <w:vAlign w:val="center"/>
          </w:tcPr>
          <w:p>
            <w:pPr>
              <w:widowControl/>
              <w:spacing w:line="300" w:lineRule="exact"/>
              <w:jc w:val="left"/>
              <w:rPr>
                <w:rFonts w:ascii="宋体" w:hAnsi="宋体" w:eastAsia="宋体" w:cs="宋体"/>
                <w:color w:val="333333"/>
                <w:kern w:val="0"/>
                <w:szCs w:val="21"/>
              </w:rPr>
            </w:pPr>
          </w:p>
        </w:tc>
        <w:tc>
          <w:tcPr>
            <w:tcW w:w="1482" w:type="dxa"/>
            <w:vMerge w:val="continue"/>
            <w:vAlign w:val="center"/>
          </w:tcPr>
          <w:p>
            <w:pPr>
              <w:widowControl/>
              <w:spacing w:line="300" w:lineRule="exact"/>
              <w:jc w:val="left"/>
              <w:rPr>
                <w:rFonts w:ascii="宋体" w:hAnsi="宋体" w:eastAsia="宋体" w:cs="宋体"/>
                <w:color w:val="333333"/>
                <w:kern w:val="0"/>
                <w:szCs w:val="21"/>
              </w:rPr>
            </w:pPr>
          </w:p>
        </w:tc>
        <w:tc>
          <w:tcPr>
            <w:tcW w:w="1610" w:type="dxa"/>
            <w:vMerge w:val="continue"/>
            <w:vAlign w:val="center"/>
          </w:tcPr>
          <w:p>
            <w:pPr>
              <w:widowControl/>
              <w:spacing w:line="300" w:lineRule="exact"/>
              <w:jc w:val="left"/>
              <w:rPr>
                <w:rFonts w:ascii="宋体" w:hAnsi="宋体" w:eastAsia="宋体" w:cs="宋体"/>
                <w:color w:val="333333"/>
                <w:kern w:val="0"/>
                <w:szCs w:val="21"/>
              </w:rPr>
            </w:pPr>
          </w:p>
        </w:tc>
        <w:tc>
          <w:tcPr>
            <w:tcW w:w="1400" w:type="dxa"/>
            <w:vMerge w:val="continue"/>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301</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工资福利支出</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2493.4</w:t>
            </w:r>
          </w:p>
          <w:p>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2493.4</w:t>
            </w:r>
          </w:p>
          <w:p>
            <w:pPr>
              <w:widowControl/>
              <w:spacing w:before="100" w:beforeAutospacing="1" w:line="300" w:lineRule="exact"/>
              <w:jc w:val="center"/>
              <w:rPr>
                <w:rFonts w:ascii="宋体" w:hAnsi="宋体" w:eastAsia="宋体" w:cs="宋体"/>
                <w:color w:val="333333"/>
                <w:kern w:val="0"/>
                <w:szCs w:val="21"/>
              </w:rPr>
            </w:pP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基本工资</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818.08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818.08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津贴补贴</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85.7</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85.7</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奖金</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520.55</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520.55</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伙食补助费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92.88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92.88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绩效工资</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351.39</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351.39</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30108</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机关事业单位基本养老保险缴费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249.377</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249.377</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30110</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职工基本医疗保障缴费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145.99</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145.99</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其他社会保障缴费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14.98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14.98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302</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商品和服务支出</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298.58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298.58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办公费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10</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印刷费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电费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邮电费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差旅费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7.2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维修（护）费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会议费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0.5</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培训费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rPr>
              <w:t>0.5</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rPr>
              <w:t>39.8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劳务费</w:t>
            </w:r>
          </w:p>
          <w:p>
            <w:pPr>
              <w:widowControl/>
              <w:spacing w:before="100" w:beforeAutospacing="1" w:line="300" w:lineRule="exact"/>
              <w:jc w:val="left"/>
              <w:rPr>
                <w:rFonts w:ascii="宋体" w:hAnsi="宋体" w:eastAsia="宋体" w:cs="宋体"/>
                <w:color w:val="333333"/>
                <w:kern w:val="0"/>
                <w:szCs w:val="21"/>
              </w:rPr>
            </w:pPr>
          </w:p>
          <w:p>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6.5</w:t>
            </w:r>
          </w:p>
          <w:p>
            <w:pPr>
              <w:widowControl/>
              <w:spacing w:before="100" w:beforeAutospacing="1" w:line="300" w:lineRule="exact"/>
              <w:jc w:val="center"/>
              <w:rPr>
                <w:rFonts w:ascii="宋体" w:hAnsi="宋体" w:eastAsia="宋体" w:cs="宋体"/>
                <w:kern w:val="0"/>
                <w:szCs w:val="21"/>
              </w:rPr>
            </w:pPr>
          </w:p>
          <w:p>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6.5</w:t>
            </w:r>
          </w:p>
          <w:p>
            <w:pPr>
              <w:widowControl/>
              <w:spacing w:before="100" w:beforeAutospacing="1" w:line="300" w:lineRule="exact"/>
              <w:jc w:val="center"/>
              <w:rPr>
                <w:rFonts w:ascii="宋体" w:hAnsi="宋体" w:eastAsia="宋体" w:cs="宋体"/>
                <w:kern w:val="0"/>
                <w:szCs w:val="21"/>
              </w:rPr>
            </w:pPr>
          </w:p>
          <w:p>
            <w:pPr>
              <w:widowControl/>
              <w:spacing w:before="100" w:beforeAutospacing="1" w:line="30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30228</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工会经费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rPr>
              <w:t>25.39</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25.39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福利费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rPr>
              <w:t>31.74</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31.74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公务用车运行维护费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rPr>
              <w:t>19.2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其他交通费用（车补）</w:t>
            </w:r>
          </w:p>
        </w:tc>
        <w:tc>
          <w:tcPr>
            <w:tcW w:w="1482"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119.05</w:t>
            </w:r>
          </w:p>
          <w:p>
            <w:pPr>
              <w:widowControl/>
              <w:spacing w:before="100" w:beforeAutospacing="1" w:line="300" w:lineRule="exact"/>
              <w:jc w:val="center"/>
              <w:rPr>
                <w:rFonts w:ascii="宋体" w:hAnsi="宋体" w:eastAsia="宋体" w:cs="宋体"/>
                <w:kern w:val="0"/>
                <w:szCs w:val="21"/>
              </w:rPr>
            </w:pPr>
          </w:p>
          <w:p>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kern w:val="0"/>
                <w:szCs w:val="21"/>
              </w:rPr>
              <w:t>119.05</w:t>
            </w:r>
          </w:p>
          <w:p>
            <w:pPr>
              <w:widowControl/>
              <w:spacing w:before="100" w:beforeAutospacing="1" w:line="300" w:lineRule="exact"/>
              <w:jc w:val="center"/>
              <w:rPr>
                <w:rFonts w:ascii="宋体" w:hAnsi="宋体" w:eastAsia="宋体" w:cs="宋体"/>
                <w:kern w:val="0"/>
                <w:szCs w:val="21"/>
              </w:rPr>
            </w:pPr>
          </w:p>
          <w:p>
            <w:pPr>
              <w:widowControl/>
              <w:spacing w:before="100" w:beforeAutospacing="1" w:line="30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30299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其他商品和服务支出</w:t>
            </w:r>
          </w:p>
          <w:p>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7.7</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303</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对个人和家庭补助</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28.98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28.98</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生活补助</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15.73</w:t>
            </w:r>
          </w:p>
          <w:p>
            <w:pPr>
              <w:widowControl/>
              <w:spacing w:before="100" w:beforeAutospacing="1" w:line="300" w:lineRule="exact"/>
              <w:jc w:val="center"/>
              <w:rPr>
                <w:rFonts w:ascii="宋体" w:hAnsi="宋体" w:eastAsia="宋体" w:cs="宋体"/>
                <w:color w:val="333333"/>
                <w:kern w:val="0"/>
                <w:szCs w:val="21"/>
              </w:rPr>
            </w:pPr>
          </w:p>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15.73</w:t>
            </w:r>
          </w:p>
          <w:p>
            <w:pPr>
              <w:widowControl/>
              <w:spacing w:before="100" w:beforeAutospacing="1" w:line="300" w:lineRule="exact"/>
              <w:jc w:val="center"/>
              <w:rPr>
                <w:rFonts w:ascii="宋体" w:hAnsi="宋体" w:eastAsia="宋体" w:cs="宋体"/>
                <w:color w:val="333333"/>
                <w:kern w:val="0"/>
                <w:szCs w:val="21"/>
              </w:rPr>
            </w:pPr>
          </w:p>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30309</w:t>
            </w:r>
          </w:p>
          <w:p>
            <w:pPr>
              <w:widowControl/>
              <w:spacing w:before="100" w:beforeAutospacing="1" w:line="300" w:lineRule="exact"/>
              <w:jc w:val="center"/>
              <w:rPr>
                <w:rFonts w:ascii="宋体" w:hAnsi="宋体" w:eastAsia="宋体" w:cs="宋体"/>
                <w:color w:val="333333"/>
                <w:kern w:val="0"/>
                <w:szCs w:val="21"/>
              </w:rPr>
            </w:pPr>
          </w:p>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奖励金</w:t>
            </w:r>
          </w:p>
          <w:p>
            <w:pPr>
              <w:widowControl/>
              <w:spacing w:before="100" w:beforeAutospacing="1" w:line="300" w:lineRule="exact"/>
              <w:jc w:val="left"/>
              <w:rPr>
                <w:rFonts w:ascii="宋体" w:hAnsi="宋体" w:eastAsia="宋体" w:cs="宋体"/>
                <w:color w:val="333333"/>
                <w:kern w:val="0"/>
                <w:szCs w:val="21"/>
              </w:rPr>
            </w:pPr>
          </w:p>
          <w:p>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13.25</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13.25</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line="300" w:lineRule="exact"/>
              <w:jc w:val="left"/>
              <w:rPr>
                <w:rFonts w:ascii="Times New Roman" w:hAnsi="Times New Roman" w:eastAsia="Times New Roman" w:cs="Times New Roman"/>
                <w:kern w:val="0"/>
                <w:szCs w:val="21"/>
              </w:rPr>
            </w:pP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  计</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2820.96</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2522.4</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298.58</w:t>
            </w:r>
          </w:p>
          <w:p>
            <w:pPr>
              <w:widowControl/>
              <w:spacing w:before="100" w:beforeAutospacing="1" w:line="300" w:lineRule="exact"/>
              <w:jc w:val="center"/>
              <w:rPr>
                <w:rFonts w:ascii="宋体" w:hAnsi="宋体" w:eastAsia="宋体" w:cs="宋体"/>
                <w:color w:val="333333"/>
                <w:kern w:val="0"/>
                <w:szCs w:val="21"/>
              </w:rPr>
            </w:pPr>
          </w:p>
          <w:p>
            <w:pPr>
              <w:widowControl/>
              <w:spacing w:before="100" w:beforeAutospacing="1"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kern w:val="0"/>
          <w:sz w:val="27"/>
          <w:szCs w:val="27"/>
        </w:rPr>
      </w:pPr>
      <w:r>
        <w:rPr>
          <w:rFonts w:hint="eastAsia" w:ascii="宋体" w:hAnsi="宋体" w:eastAsia="宋体" w:cs="宋体"/>
          <w:b/>
          <w:kern w:val="0"/>
          <w:sz w:val="27"/>
          <w:szCs w:val="27"/>
        </w:rPr>
        <w:t>部门预算和“三公”经费预算公开表格（表4）</w:t>
      </w:r>
    </w:p>
    <w:p>
      <w:pPr>
        <w:widowControl/>
        <w:shd w:val="clear" w:color="auto" w:fill="FFFFFF"/>
        <w:spacing w:line="480" w:lineRule="auto"/>
        <w:ind w:firstLine="480"/>
        <w:jc w:val="center"/>
        <w:rPr>
          <w:rFonts w:ascii="宋体" w:hAnsi="宋体" w:eastAsia="宋体" w:cs="宋体"/>
          <w:b/>
          <w:kern w:val="0"/>
          <w:sz w:val="27"/>
          <w:szCs w:val="27"/>
        </w:rPr>
      </w:pPr>
      <w:r>
        <w:rPr>
          <w:rFonts w:hint="eastAsia" w:ascii="宋体" w:hAnsi="宋体" w:eastAsia="宋体" w:cs="宋体"/>
          <w:b/>
          <w:kern w:val="0"/>
          <w:sz w:val="27"/>
          <w:szCs w:val="27"/>
        </w:rPr>
        <w:t>一般公共预算“三公”经费支出表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本年预算数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75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5"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59.2</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40</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59</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部门预算和“三公”经费预算公开表格（表5）</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政府性基金预算支出表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6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47"/>
        <w:gridCol w:w="748"/>
        <w:gridCol w:w="748"/>
        <w:gridCol w:w="3195"/>
        <w:gridCol w:w="897"/>
        <w:gridCol w:w="1359"/>
        <w:gridCol w:w="96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本年政府性基金预算财政拨款支出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1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89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135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b/>
          <w:bCs/>
          <w:color w:val="333333"/>
          <w:kern w:val="0"/>
          <w:sz w:val="27"/>
          <w:szCs w:val="27"/>
        </w:rPr>
      </w:pPr>
    </w:p>
    <w:p>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部门预算和“三公”经费预算公开表格（表6）</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部门收支总表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2506"/>
        <w:gridCol w:w="1858"/>
        <w:gridCol w:w="2874"/>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3466.26</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3466.26</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22320</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部门预算和“三公”经费预算公开表格（表7）</w:t>
      </w:r>
    </w:p>
    <w:p>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部门收入总表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9584"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w:t>
            </w:r>
          </w:p>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收入</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经费</w:t>
            </w:r>
          </w:p>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社会保障和就业支出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行政事业单位养老支出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机关事业单位基本养老保险缴费支出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卫生健康支出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25176.44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2856.44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2856.44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22320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25176.44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2856.44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2856.44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22320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2211.14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2211.14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2211.14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cs="宋体" w:asciiTheme="majorEastAsia" w:hAnsiTheme="majorEastAsia" w:eastAsiaTheme="majorEastAsia"/>
                <w:color w:val="333333"/>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458.7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268.7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268.7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190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242</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774.8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770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执法监管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19938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318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318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19620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525.3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500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979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970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住房保障支出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住房改革支出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25786.26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3466</w:t>
            </w:r>
            <w:r>
              <w:rPr>
                <w:rFonts w:hint="eastAsia" w:cs="宋体" w:asciiTheme="majorEastAsia" w:hAnsiTheme="majorEastAsia" w:eastAsiaTheme="majorEastAsia"/>
                <w:color w:val="333333"/>
                <w:kern w:val="0"/>
                <w:szCs w:val="21"/>
              </w:rPr>
              <w:t>.</w:t>
            </w:r>
            <w:r>
              <w:rPr>
                <w:rFonts w:hint="eastAsia" w:cs="宋体" w:asciiTheme="majorEastAsia" w:hAnsiTheme="majorEastAsia" w:eastAsiaTheme="majorEastAsia"/>
                <w:color w:val="333333"/>
                <w:kern w:val="0"/>
                <w:szCs w:val="21"/>
                <w:lang w:val="en-US" w:eastAsia="zh-CN"/>
              </w:rPr>
              <w:t>2</w:t>
            </w:r>
            <w:r>
              <w:rPr>
                <w:rFonts w:hint="eastAsia" w:cs="宋体" w:asciiTheme="majorEastAsia" w:hAnsiTheme="majorEastAsia" w:eastAsiaTheme="majorEastAsia"/>
                <w:color w:val="333333"/>
                <w:kern w:val="0"/>
                <w:szCs w:val="21"/>
              </w:rPr>
              <w:t>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lang w:val="en-US" w:eastAsia="zh-CN"/>
              </w:rPr>
              <w:t>3466.2</w:t>
            </w:r>
            <w:r>
              <w:rPr>
                <w:rFonts w:hint="eastAsia" w:cs="宋体" w:asciiTheme="majorEastAsia" w:hAnsiTheme="majorEastAsia" w:eastAsiaTheme="majorEastAsia"/>
                <w:color w:val="333333"/>
                <w:kern w:val="0"/>
                <w:szCs w:val="21"/>
              </w:rPr>
              <w:t>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22320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部门预算和“三公”经费预算公开表格（表8）</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部门支出总表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3"/>
        <w:gridCol w:w="510"/>
        <w:gridCol w:w="510"/>
        <w:gridCol w:w="2970"/>
        <w:gridCol w:w="1364"/>
        <w:gridCol w:w="1360"/>
        <w:gridCol w:w="109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297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13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c>
          <w:tcPr>
            <w:tcW w:w="13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c>
          <w:tcPr>
            <w:tcW w:w="10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社会保障和就业支出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行政事业单位养老支出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2080505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机关事业单位基本养老保险缴费支出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249.37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49"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卫生健康支出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行政事业单位医疗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2101101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145.99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cs="宋体" w:asciiTheme="majorEastAsia" w:hAnsiTheme="majorEastAsia" w:eastAsiaTheme="majorEastAsia"/>
                <w:color w:val="333333"/>
                <w:kern w:val="0"/>
                <w:szCs w:val="21"/>
              </w:rPr>
              <w:t>25176.44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2211.14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333333"/>
                <w:szCs w:val="21"/>
              </w:rPr>
              <w:t>22965.3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left"/>
              <w:rPr>
                <w:rFonts w:ascii="宋体" w:hAnsi="宋体" w:eastAsia="宋体" w:cs="宋体"/>
                <w:color w:val="333333"/>
                <w:kern w:val="0"/>
                <w:szCs w:val="21"/>
              </w:rPr>
            </w:pPr>
            <w:r>
              <w:rPr>
                <w:rFonts w:hint="eastAsia" w:ascii="宋体" w:hAnsi="宋体" w:eastAsia="宋体" w:cs="宋体"/>
                <w:color w:val="333333"/>
                <w:kern w:val="0"/>
                <w:szCs w:val="21"/>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cs="宋体" w:asciiTheme="majorEastAsia" w:hAnsiTheme="majorEastAsia" w:eastAsiaTheme="majorEastAsia"/>
                <w:color w:val="333333"/>
                <w:kern w:val="0"/>
                <w:szCs w:val="21"/>
              </w:rPr>
              <w:t>25176.44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2211.14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333333"/>
                <w:szCs w:val="21"/>
              </w:rPr>
              <w:t>22965.3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2318.73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2211.14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458.7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458.7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252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252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774.8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774.8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农业结构调整补贴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19938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19938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525.3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525.3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979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979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住房保障支出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住房改革支出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2210201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214.46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25786.26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2820.96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22965.3</w:t>
            </w:r>
          </w:p>
        </w:tc>
      </w:tr>
    </w:tbl>
    <w:p/>
    <w:p/>
    <w:p/>
    <w:p/>
    <w:p/>
    <w:p/>
    <w:p/>
    <w:p/>
    <w:p/>
    <w:p/>
    <w:p/>
    <w:p/>
    <w:p/>
    <w:p/>
    <w:p/>
    <w:p/>
    <w:p/>
    <w:p/>
    <w:p/>
    <w:p/>
    <w:p/>
    <w:p/>
    <w:p/>
    <w:p/>
    <w:p/>
    <w:p/>
    <w:p/>
    <w:p/>
    <w:p/>
    <w:p/>
    <w:p/>
    <w:p/>
    <w:p/>
    <w:p/>
    <w:p/>
    <w:p/>
    <w:p/>
    <w:p>
      <w:bookmarkStart w:id="0" w:name="_GoBack"/>
      <w:bookmarkEnd w:id="0"/>
    </w:p>
    <w:p/>
    <w:p>
      <w:r>
        <w:rPr>
          <w:rFonts w:hint="eastAsia"/>
        </w:rPr>
        <w:t>绩效目标附件</w:t>
      </w:r>
    </w:p>
    <w:tbl>
      <w:tblPr>
        <w:tblStyle w:val="4"/>
        <w:tblW w:w="10988" w:type="dxa"/>
        <w:tblInd w:w="-362" w:type="dxa"/>
        <w:tblLayout w:type="fixed"/>
        <w:tblCellMar>
          <w:top w:w="0" w:type="dxa"/>
          <w:left w:w="108" w:type="dxa"/>
          <w:bottom w:w="0" w:type="dxa"/>
          <w:right w:w="108" w:type="dxa"/>
        </w:tblCellMar>
      </w:tblPr>
      <w:tblGrid>
        <w:gridCol w:w="1095"/>
        <w:gridCol w:w="1176"/>
        <w:gridCol w:w="645"/>
        <w:gridCol w:w="444"/>
        <w:gridCol w:w="96"/>
        <w:gridCol w:w="690"/>
        <w:gridCol w:w="595"/>
        <w:gridCol w:w="407"/>
        <w:gridCol w:w="12"/>
        <w:gridCol w:w="910"/>
        <w:gridCol w:w="191"/>
        <w:gridCol w:w="630"/>
        <w:gridCol w:w="129"/>
        <w:gridCol w:w="249"/>
        <w:gridCol w:w="1232"/>
        <w:gridCol w:w="985"/>
        <w:gridCol w:w="1502"/>
      </w:tblGrid>
      <w:tr>
        <w:tblPrEx>
          <w:tblCellMar>
            <w:top w:w="0" w:type="dxa"/>
            <w:left w:w="108" w:type="dxa"/>
            <w:bottom w:w="0" w:type="dxa"/>
            <w:right w:w="108" w:type="dxa"/>
          </w:tblCellMar>
        </w:tblPrEx>
        <w:trPr>
          <w:gridAfter w:val="1"/>
          <w:wAfter w:w="1502" w:type="dxa"/>
          <w:trHeight w:val="603" w:hRule="atLeast"/>
        </w:trPr>
        <w:tc>
          <w:tcPr>
            <w:tcW w:w="9486" w:type="dxa"/>
            <w:gridSpan w:val="16"/>
            <w:tcBorders>
              <w:top w:val="nil"/>
              <w:left w:val="nil"/>
              <w:bottom w:val="nil"/>
              <w:right w:val="nil"/>
            </w:tcBorders>
            <w:vAlign w:val="center"/>
          </w:tcPr>
          <w:p>
            <w:pPr>
              <w:widowControl/>
              <w:spacing w:line="480" w:lineRule="exact"/>
              <w:jc w:val="center"/>
              <w:rPr>
                <w:rFonts w:cs="宋体" w:asciiTheme="minorEastAsia" w:hAnsiTheme="minorEastAsia"/>
                <w:b/>
                <w:bCs/>
                <w:kern w:val="0"/>
                <w:sz w:val="36"/>
                <w:szCs w:val="36"/>
              </w:rPr>
            </w:pPr>
            <w:r>
              <w:rPr>
                <w:rFonts w:hint="eastAsia" w:cs="宋体" w:asciiTheme="minorEastAsia" w:hAnsiTheme="minorEastAsia"/>
                <w:b/>
                <w:bCs/>
                <w:kern w:val="0"/>
                <w:sz w:val="36"/>
                <w:szCs w:val="36"/>
              </w:rPr>
              <w:t>2024年部门整体支出绩效目标公开表</w:t>
            </w:r>
          </w:p>
        </w:tc>
      </w:tr>
      <w:tr>
        <w:tblPrEx>
          <w:tblCellMar>
            <w:top w:w="0" w:type="dxa"/>
            <w:left w:w="108" w:type="dxa"/>
            <w:bottom w:w="0" w:type="dxa"/>
            <w:right w:w="108" w:type="dxa"/>
          </w:tblCellMar>
        </w:tblPrEx>
        <w:trPr>
          <w:gridAfter w:val="1"/>
          <w:wAfter w:w="1502" w:type="dxa"/>
          <w:trHeight w:val="536" w:hRule="atLeast"/>
        </w:trPr>
        <w:tc>
          <w:tcPr>
            <w:tcW w:w="9486" w:type="dxa"/>
            <w:gridSpan w:val="16"/>
            <w:tcBorders>
              <w:top w:val="nil"/>
              <w:left w:val="nil"/>
              <w:bottom w:val="nil"/>
              <w:right w:val="nil"/>
            </w:tcBorders>
            <w:vAlign w:val="center"/>
          </w:tcPr>
          <w:p>
            <w:pPr>
              <w:widowControl/>
              <w:spacing w:line="480" w:lineRule="exact"/>
              <w:jc w:val="left"/>
              <w:rPr>
                <w:rFonts w:ascii="仿宋_GB2312" w:hAnsi="宋体" w:eastAsia="仿宋_GB2312" w:cs="宋体"/>
                <w:kern w:val="0"/>
                <w:sz w:val="24"/>
              </w:rPr>
            </w:pPr>
            <w:r>
              <w:rPr>
                <w:rFonts w:ascii="仿宋_GB2312" w:hAnsi="宋体" w:eastAsia="仿宋_GB2312" w:cs="宋体"/>
                <w:kern w:val="0"/>
                <w:sz w:val="24"/>
              </w:rPr>
              <w:t xml:space="preserve"> </w:t>
            </w:r>
            <w:r>
              <w:rPr>
                <w:rFonts w:hint="eastAsia" w:ascii="仿宋_GB2312" w:hAnsi="宋体" w:eastAsia="仿宋_GB2312" w:cs="宋体"/>
                <w:kern w:val="0"/>
                <w:sz w:val="24"/>
              </w:rPr>
              <w:t>填报单位（盖章）湘潭县农业农村局</w:t>
            </w:r>
          </w:p>
        </w:tc>
      </w:tr>
      <w:tr>
        <w:tblPrEx>
          <w:tblCellMar>
            <w:top w:w="0" w:type="dxa"/>
            <w:left w:w="108" w:type="dxa"/>
            <w:bottom w:w="0" w:type="dxa"/>
            <w:right w:w="108" w:type="dxa"/>
          </w:tblCellMar>
        </w:tblPrEx>
        <w:trPr>
          <w:gridAfter w:val="1"/>
          <w:wAfter w:w="1502" w:type="dxa"/>
          <w:trHeight w:val="427" w:hRule="atLeast"/>
        </w:trPr>
        <w:tc>
          <w:tcPr>
            <w:tcW w:w="1095" w:type="dxa"/>
            <w:vMerge w:val="restart"/>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部门基本信息</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单位名称</w:t>
            </w:r>
          </w:p>
        </w:tc>
        <w:tc>
          <w:tcPr>
            <w:tcW w:w="6126"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湘潭县农业农村局　</w:t>
            </w:r>
          </w:p>
        </w:tc>
      </w:tr>
      <w:tr>
        <w:tblPrEx>
          <w:tblCellMar>
            <w:top w:w="0" w:type="dxa"/>
            <w:left w:w="108" w:type="dxa"/>
            <w:bottom w:w="0" w:type="dxa"/>
            <w:right w:w="108" w:type="dxa"/>
          </w:tblCellMar>
        </w:tblPrEx>
        <w:trPr>
          <w:gridAfter w:val="1"/>
          <w:wAfter w:w="1502" w:type="dxa"/>
          <w:trHeight w:val="50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通讯地址</w:t>
            </w:r>
          </w:p>
        </w:tc>
        <w:tc>
          <w:tcPr>
            <w:tcW w:w="6126"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 w:hAnsi="仿宋" w:eastAsia="仿宋" w:cs="黑体"/>
              </w:rPr>
              <w:t>湘潭县易俗河镇凤凰路158号</w:t>
            </w: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5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单位预算绩效管理联系人</w:t>
            </w:r>
          </w:p>
        </w:tc>
        <w:tc>
          <w:tcPr>
            <w:tcW w:w="180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欧小秦</w:t>
            </w:r>
          </w:p>
        </w:tc>
        <w:tc>
          <w:tcPr>
            <w:tcW w:w="186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联系电话</w:t>
            </w:r>
          </w:p>
        </w:tc>
        <w:tc>
          <w:tcPr>
            <w:tcW w:w="246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18673265593　</w:t>
            </w:r>
          </w:p>
        </w:tc>
      </w:tr>
      <w:tr>
        <w:tblPrEx>
          <w:tblCellMar>
            <w:top w:w="0" w:type="dxa"/>
            <w:left w:w="108" w:type="dxa"/>
            <w:bottom w:w="0" w:type="dxa"/>
            <w:right w:w="108" w:type="dxa"/>
          </w:tblCellMar>
        </w:tblPrEx>
        <w:trPr>
          <w:gridAfter w:val="1"/>
          <w:wAfter w:w="1502" w:type="dxa"/>
          <w:trHeight w:val="54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人员编制数</w:t>
            </w:r>
          </w:p>
        </w:tc>
        <w:tc>
          <w:tcPr>
            <w:tcW w:w="180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198</w:t>
            </w:r>
            <w:r>
              <w:rPr>
                <w:rFonts w:hint="eastAsia" w:ascii="仿宋_GB2312" w:eastAsia="仿宋_GB2312"/>
                <w:color w:val="000000"/>
                <w:kern w:val="0"/>
                <w:szCs w:val="21"/>
              </w:rPr>
              <w:t>人</w:t>
            </w:r>
          </w:p>
        </w:tc>
        <w:tc>
          <w:tcPr>
            <w:tcW w:w="186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实有人数</w:t>
            </w:r>
          </w:p>
        </w:tc>
        <w:tc>
          <w:tcPr>
            <w:tcW w:w="246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172</w:t>
            </w:r>
            <w:r>
              <w:rPr>
                <w:rFonts w:hint="eastAsia" w:ascii="仿宋_GB2312" w:eastAsia="仿宋_GB2312"/>
                <w:color w:val="000000"/>
                <w:kern w:val="0"/>
                <w:szCs w:val="21"/>
              </w:rPr>
              <w:t>人</w:t>
            </w:r>
          </w:p>
        </w:tc>
      </w:tr>
      <w:tr>
        <w:tblPrEx>
          <w:tblCellMar>
            <w:top w:w="0" w:type="dxa"/>
            <w:left w:w="108" w:type="dxa"/>
            <w:bottom w:w="0" w:type="dxa"/>
            <w:right w:w="108" w:type="dxa"/>
          </w:tblCellMar>
        </w:tblPrEx>
        <w:trPr>
          <w:gridAfter w:val="1"/>
          <w:wAfter w:w="1502" w:type="dxa"/>
          <w:trHeight w:val="1858"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部门职能职责概述</w:t>
            </w:r>
          </w:p>
        </w:tc>
        <w:tc>
          <w:tcPr>
            <w:tcW w:w="7215" w:type="dxa"/>
            <w:gridSpan w:val="14"/>
            <w:tcBorders>
              <w:top w:val="single" w:color="auto" w:sz="4" w:space="0"/>
              <w:left w:val="nil"/>
              <w:bottom w:val="single" w:color="auto" w:sz="4" w:space="0"/>
              <w:right w:val="single" w:color="000000" w:sz="8" w:space="0"/>
            </w:tcBorders>
            <w:vAlign w:val="center"/>
          </w:tcPr>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w:t>
            </w:r>
            <w:r>
              <w:rPr>
                <w:rFonts w:ascii="仿宋" w:hAnsi="仿宋" w:eastAsia="仿宋" w:cs="宋体"/>
                <w:color w:val="333333"/>
                <w:kern w:val="0"/>
              </w:rPr>
              <w:t>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2、</w:t>
            </w:r>
            <w:r>
              <w:rPr>
                <w:rFonts w:ascii="仿宋" w:hAnsi="仿宋" w:eastAsia="仿宋" w:cs="宋体"/>
                <w:color w:val="333333"/>
                <w:kern w:val="0"/>
              </w:rPr>
              <w:t>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3、</w:t>
            </w:r>
            <w:r>
              <w:rPr>
                <w:rFonts w:ascii="仿宋" w:hAnsi="仿宋" w:eastAsia="仿宋" w:cs="宋体"/>
                <w:color w:val="333333"/>
                <w:kern w:val="0"/>
              </w:rPr>
              <w:t>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4、</w:t>
            </w:r>
            <w:r>
              <w:rPr>
                <w:rFonts w:ascii="仿宋" w:hAnsi="仿宋" w:eastAsia="仿宋" w:cs="宋体"/>
                <w:color w:val="333333"/>
                <w:kern w:val="0"/>
              </w:rPr>
              <w:t>研究提出深化农村经济体制改革和巩固完善农村基本经营制度的建议。负责农村宅基地改革和管理有关工作。指导农民合作经济组织、农业社会化服务体系、新型农业经营主体建设与发展。</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5、</w:t>
            </w:r>
            <w:r>
              <w:rPr>
                <w:rFonts w:ascii="仿宋" w:hAnsi="仿宋" w:eastAsia="仿宋" w:cs="宋体"/>
                <w:color w:val="333333"/>
                <w:kern w:val="0"/>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6、</w:t>
            </w:r>
            <w:r>
              <w:rPr>
                <w:rFonts w:ascii="仿宋" w:hAnsi="仿宋" w:eastAsia="仿宋" w:cs="宋体"/>
                <w:color w:val="333333"/>
                <w:kern w:val="0"/>
              </w:rPr>
              <w:t>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7、</w:t>
            </w:r>
            <w:r>
              <w:rPr>
                <w:rFonts w:ascii="仿宋" w:hAnsi="仿宋" w:eastAsia="仿宋" w:cs="宋体"/>
                <w:color w:val="333333"/>
                <w:kern w:val="0"/>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8、</w:t>
            </w:r>
            <w:r>
              <w:rPr>
                <w:rFonts w:ascii="仿宋" w:hAnsi="仿宋" w:eastAsia="仿宋" w:cs="宋体"/>
                <w:color w:val="333333"/>
                <w:kern w:val="0"/>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9、</w:t>
            </w:r>
            <w:r>
              <w:rPr>
                <w:rFonts w:ascii="仿宋" w:hAnsi="仿宋" w:eastAsia="仿宋" w:cs="宋体"/>
                <w:color w:val="333333"/>
                <w:kern w:val="0"/>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10、</w:t>
            </w:r>
            <w:r>
              <w:rPr>
                <w:rFonts w:ascii="仿宋" w:hAnsi="仿宋" w:eastAsia="仿宋" w:cs="宋体"/>
                <w:color w:val="333333"/>
                <w:kern w:val="0"/>
              </w:rPr>
              <w:t>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11、</w:t>
            </w:r>
            <w:r>
              <w:rPr>
                <w:rFonts w:ascii="仿宋" w:hAnsi="仿宋" w:eastAsia="仿宋" w:cs="宋体"/>
                <w:color w:val="333333"/>
                <w:kern w:val="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12、</w:t>
            </w:r>
            <w:r>
              <w:rPr>
                <w:rFonts w:ascii="仿宋" w:hAnsi="仿宋" w:eastAsia="仿宋" w:cs="宋体"/>
                <w:color w:val="333333"/>
                <w:kern w:val="0"/>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13、</w:t>
            </w:r>
            <w:r>
              <w:rPr>
                <w:rFonts w:ascii="仿宋" w:hAnsi="仿宋" w:eastAsia="仿宋" w:cs="宋体"/>
                <w:color w:val="333333"/>
                <w:kern w:val="0"/>
              </w:rPr>
              <w:t>统一领导和管理所属的湘潭县贫困帮扶中心、湘潭县农业发展服务中心。</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14、</w:t>
            </w:r>
            <w:r>
              <w:rPr>
                <w:rFonts w:ascii="仿宋" w:hAnsi="仿宋" w:eastAsia="仿宋" w:cs="宋体"/>
                <w:color w:val="333333"/>
                <w:kern w:val="0"/>
              </w:rPr>
              <w:t>完成县委、县政府交办的其他任务。</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15、</w:t>
            </w:r>
            <w:r>
              <w:rPr>
                <w:rFonts w:ascii="仿宋" w:hAnsi="仿宋" w:eastAsia="仿宋" w:cs="宋体"/>
                <w:color w:val="333333"/>
                <w:kern w:val="0"/>
              </w:rPr>
              <w:t>职能转变。</w:t>
            </w:r>
          </w:p>
          <w:p>
            <w:pPr>
              <w:widowControl/>
              <w:shd w:val="clear" w:color="auto" w:fill="FFFFFF"/>
              <w:spacing w:line="300" w:lineRule="exact"/>
              <w:ind w:firstLine="315" w:firstLineChars="150"/>
              <w:rPr>
                <w:rFonts w:ascii="仿宋" w:hAnsi="仿宋" w:eastAsia="仿宋" w:cs="宋体"/>
                <w:color w:val="333333"/>
                <w:kern w:val="0"/>
              </w:rPr>
            </w:pPr>
            <w:r>
              <w:rPr>
                <w:rFonts w:hint="eastAsia" w:ascii="仿宋" w:hAnsi="仿宋" w:eastAsia="仿宋" w:cs="宋体"/>
                <w:color w:val="333333"/>
                <w:kern w:val="0"/>
              </w:rPr>
              <w:t>（1）</w:t>
            </w:r>
            <w:r>
              <w:rPr>
                <w:rFonts w:ascii="仿宋" w:hAnsi="仿宋" w:eastAsia="仿宋" w:cs="宋体"/>
                <w:color w:val="333333"/>
                <w:kern w:val="0"/>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rPr>
              <w:t>（2）</w:t>
            </w:r>
            <w:r>
              <w:rPr>
                <w:rFonts w:ascii="仿宋" w:hAnsi="仿宋" w:eastAsia="仿宋" w:cs="宋体"/>
                <w:color w:val="333333"/>
                <w:kern w:val="0"/>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rPr>
              <w:t>（3）</w:t>
            </w:r>
            <w:r>
              <w:rPr>
                <w:rFonts w:ascii="仿宋" w:hAnsi="仿宋" w:eastAsia="仿宋" w:cs="宋体"/>
                <w:color w:val="333333"/>
                <w:kern w:val="0"/>
              </w:rPr>
              <w:t>加强对行业内交叉重复以及性质相同、用途相近的农业投资项目的统筹整合，加强事中事后监管，切实提升支农政策效果和资金使用效益。</w:t>
            </w:r>
          </w:p>
          <w:p>
            <w:pPr>
              <w:widowControl/>
              <w:spacing w:line="300" w:lineRule="exact"/>
              <w:ind w:firstLine="420" w:firstLineChars="200"/>
              <w:rPr>
                <w:rFonts w:ascii="仿宋_GB2312" w:eastAsia="仿宋_GB2312"/>
                <w:color w:val="000000"/>
                <w:kern w:val="0"/>
                <w:szCs w:val="21"/>
              </w:rPr>
            </w:pPr>
            <w:r>
              <w:rPr>
                <w:rFonts w:hint="eastAsia" w:ascii="仿宋" w:hAnsi="仿宋" w:eastAsia="仿宋" w:cs="宋体"/>
                <w:color w:val="333333"/>
                <w:kern w:val="0"/>
              </w:rPr>
              <w:t>16、</w:t>
            </w:r>
            <w:r>
              <w:rPr>
                <w:rFonts w:ascii="仿宋" w:hAnsi="仿宋" w:eastAsia="仿宋" w:cs="宋体"/>
                <w:color w:val="333333"/>
                <w:kern w:val="0"/>
              </w:rPr>
              <w:t>有关职责分工另行规定。</w:t>
            </w: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38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单位年度收入预算（万元）</w:t>
            </w:r>
          </w:p>
        </w:tc>
      </w:tr>
      <w:tr>
        <w:tblPrEx>
          <w:tblCellMar>
            <w:top w:w="0" w:type="dxa"/>
            <w:left w:w="108" w:type="dxa"/>
            <w:bottom w:w="0" w:type="dxa"/>
            <w:right w:w="108" w:type="dxa"/>
          </w:tblCellMar>
        </w:tblPrEx>
        <w:trPr>
          <w:trHeight w:val="66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收入合计</w:t>
            </w:r>
          </w:p>
        </w:tc>
        <w:tc>
          <w:tcPr>
            <w:tcW w:w="1230" w:type="dxa"/>
            <w:gridSpan w:val="3"/>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财政预算拨款</w:t>
            </w:r>
          </w:p>
        </w:tc>
        <w:tc>
          <w:tcPr>
            <w:tcW w:w="1002" w:type="dxa"/>
            <w:gridSpan w:val="2"/>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政府性基金</w:t>
            </w:r>
          </w:p>
        </w:tc>
        <w:tc>
          <w:tcPr>
            <w:tcW w:w="1743" w:type="dxa"/>
            <w:gridSpan w:val="4"/>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纳入预算管理的非税收入拨款</w:t>
            </w:r>
          </w:p>
        </w:tc>
        <w:tc>
          <w:tcPr>
            <w:tcW w:w="1610"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上级补助</w:t>
            </w:r>
          </w:p>
        </w:tc>
        <w:tc>
          <w:tcPr>
            <w:tcW w:w="985" w:type="dxa"/>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其他资金</w:t>
            </w:r>
          </w:p>
        </w:tc>
        <w:tc>
          <w:tcPr>
            <w:tcW w:w="1502" w:type="dxa"/>
            <w:vAlign w:val="center"/>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25786.26</w:t>
            </w:r>
          </w:p>
        </w:tc>
        <w:tc>
          <w:tcPr>
            <w:tcW w:w="1230" w:type="dxa"/>
            <w:gridSpan w:val="3"/>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3466.26</w:t>
            </w:r>
          </w:p>
        </w:tc>
        <w:tc>
          <w:tcPr>
            <w:tcW w:w="1002" w:type="dxa"/>
            <w:gridSpan w:val="2"/>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c>
          <w:tcPr>
            <w:tcW w:w="1743" w:type="dxa"/>
            <w:gridSpan w:val="4"/>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c>
          <w:tcPr>
            <w:tcW w:w="1610"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22320</w:t>
            </w:r>
          </w:p>
        </w:tc>
        <w:tc>
          <w:tcPr>
            <w:tcW w:w="985" w:type="dxa"/>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43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单位年度支出预算（万元）</w:t>
            </w:r>
          </w:p>
        </w:tc>
      </w:tr>
      <w:tr>
        <w:tblPrEx>
          <w:tblCellMar>
            <w:top w:w="0" w:type="dxa"/>
            <w:left w:w="108" w:type="dxa"/>
            <w:bottom w:w="0" w:type="dxa"/>
            <w:right w:w="108" w:type="dxa"/>
          </w:tblCellMar>
        </w:tblPrEx>
        <w:trPr>
          <w:gridAfter w:val="1"/>
          <w:wAfter w:w="1502" w:type="dxa"/>
          <w:trHeight w:val="45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支出合计</w:t>
            </w:r>
          </w:p>
        </w:tc>
        <w:tc>
          <w:tcPr>
            <w:tcW w:w="3345" w:type="dxa"/>
            <w:gridSpan w:val="8"/>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基本支出</w:t>
            </w:r>
          </w:p>
        </w:tc>
        <w:tc>
          <w:tcPr>
            <w:tcW w:w="3225" w:type="dxa"/>
            <w:gridSpan w:val="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项目支出</w:t>
            </w:r>
          </w:p>
        </w:tc>
      </w:tr>
      <w:tr>
        <w:tblPrEx>
          <w:tblCellMar>
            <w:top w:w="0" w:type="dxa"/>
            <w:left w:w="108" w:type="dxa"/>
            <w:bottom w:w="0" w:type="dxa"/>
            <w:right w:w="108" w:type="dxa"/>
          </w:tblCellMar>
        </w:tblPrEx>
        <w:trPr>
          <w:gridAfter w:val="1"/>
          <w:wAfter w:w="1502" w:type="dxa"/>
          <w:trHeight w:val="420"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25786.26</w:t>
            </w:r>
          </w:p>
        </w:tc>
        <w:tc>
          <w:tcPr>
            <w:tcW w:w="3345" w:type="dxa"/>
            <w:gridSpan w:val="8"/>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2820.96</w:t>
            </w:r>
          </w:p>
        </w:tc>
        <w:tc>
          <w:tcPr>
            <w:tcW w:w="3225" w:type="dxa"/>
            <w:gridSpan w:val="5"/>
            <w:tcBorders>
              <w:top w:val="single" w:color="auto" w:sz="4" w:space="0"/>
              <w:left w:val="nil"/>
              <w:bottom w:val="single" w:color="auto" w:sz="4" w:space="0"/>
              <w:right w:val="single" w:color="000000" w:sz="8"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22965.30</w:t>
            </w:r>
          </w:p>
        </w:tc>
      </w:tr>
      <w:tr>
        <w:tblPrEx>
          <w:tblCellMar>
            <w:top w:w="0" w:type="dxa"/>
            <w:left w:w="108" w:type="dxa"/>
            <w:bottom w:w="0" w:type="dxa"/>
            <w:right w:w="108" w:type="dxa"/>
          </w:tblCellMar>
        </w:tblPrEx>
        <w:trPr>
          <w:gridAfter w:val="1"/>
          <w:wAfter w:w="1502" w:type="dxa"/>
          <w:trHeight w:val="451"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其中：三公经费预算（万元）</w:t>
            </w:r>
          </w:p>
        </w:tc>
      </w:tr>
      <w:tr>
        <w:tblPrEx>
          <w:tblCellMar>
            <w:top w:w="0" w:type="dxa"/>
            <w:left w:w="108" w:type="dxa"/>
            <w:bottom w:w="0" w:type="dxa"/>
            <w:right w:w="108" w:type="dxa"/>
          </w:tblCellMar>
        </w:tblPrEx>
        <w:trPr>
          <w:gridAfter w:val="1"/>
          <w:wAfter w:w="1502" w:type="dxa"/>
          <w:trHeight w:val="59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合计</w:t>
            </w:r>
          </w:p>
        </w:tc>
        <w:tc>
          <w:tcPr>
            <w:tcW w:w="1825"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公务接待费</w:t>
            </w:r>
          </w:p>
        </w:tc>
        <w:tc>
          <w:tcPr>
            <w:tcW w:w="2528"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公务用车运行和购置费</w:t>
            </w:r>
          </w:p>
        </w:tc>
        <w:tc>
          <w:tcPr>
            <w:tcW w:w="2217" w:type="dxa"/>
            <w:gridSpan w:val="2"/>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因公出国（境）费</w:t>
            </w:r>
          </w:p>
        </w:tc>
      </w:tr>
      <w:tr>
        <w:tblPrEx>
          <w:tblCellMar>
            <w:top w:w="0" w:type="dxa"/>
            <w:left w:w="108" w:type="dxa"/>
            <w:bottom w:w="0" w:type="dxa"/>
            <w:right w:w="108" w:type="dxa"/>
          </w:tblCellMar>
        </w:tblPrEx>
        <w:trPr>
          <w:gridAfter w:val="1"/>
          <w:wAfter w:w="1502" w:type="dxa"/>
          <w:trHeight w:val="43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59</w:t>
            </w:r>
          </w:p>
        </w:tc>
        <w:tc>
          <w:tcPr>
            <w:tcW w:w="1825"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39.8</w:t>
            </w:r>
          </w:p>
        </w:tc>
        <w:tc>
          <w:tcPr>
            <w:tcW w:w="2528"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19.2</w:t>
            </w:r>
          </w:p>
        </w:tc>
        <w:tc>
          <w:tcPr>
            <w:tcW w:w="2217" w:type="dxa"/>
            <w:gridSpan w:val="2"/>
            <w:tcBorders>
              <w:top w:val="single" w:color="auto" w:sz="4" w:space="0"/>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0</w:t>
            </w:r>
          </w:p>
        </w:tc>
      </w:tr>
      <w:tr>
        <w:tblPrEx>
          <w:tblCellMar>
            <w:top w:w="0" w:type="dxa"/>
            <w:left w:w="108" w:type="dxa"/>
            <w:bottom w:w="0" w:type="dxa"/>
            <w:right w:w="108" w:type="dxa"/>
          </w:tblCellMar>
        </w:tblPrEx>
        <w:trPr>
          <w:gridAfter w:val="1"/>
          <w:wAfter w:w="1502" w:type="dxa"/>
          <w:trHeight w:val="650" w:hRule="atLeast"/>
        </w:trPr>
        <w:tc>
          <w:tcPr>
            <w:tcW w:w="1095"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br w:type="textWrapping"/>
            </w:r>
            <w:r>
              <w:rPr>
                <w:rFonts w:hint="eastAsia" w:ascii="仿宋_GB2312" w:eastAsia="仿宋_GB2312"/>
                <w:color w:val="000000"/>
                <w:kern w:val="0"/>
                <w:szCs w:val="21"/>
              </w:rPr>
              <w:t>整体</w:t>
            </w:r>
            <w:r>
              <w:rPr>
                <w:rFonts w:ascii="仿宋_GB2312" w:eastAsia="仿宋_GB2312"/>
                <w:color w:val="000000"/>
                <w:kern w:val="0"/>
                <w:szCs w:val="21"/>
              </w:rPr>
              <w:br w:type="textWrapping"/>
            </w:r>
            <w:r>
              <w:rPr>
                <w:rFonts w:hint="eastAsia" w:ascii="仿宋_GB2312" w:eastAsia="仿宋_GB2312"/>
                <w:color w:val="000000"/>
                <w:kern w:val="0"/>
                <w:szCs w:val="21"/>
              </w:rPr>
              <w:t>绩效</w:t>
            </w:r>
            <w:r>
              <w:rPr>
                <w:rFonts w:ascii="仿宋_GB2312" w:eastAsia="仿宋_GB2312"/>
                <w:color w:val="000000"/>
                <w:kern w:val="0"/>
                <w:szCs w:val="21"/>
              </w:rPr>
              <w:br w:type="textWrapping"/>
            </w:r>
            <w:r>
              <w:rPr>
                <w:rFonts w:hint="eastAsia" w:ascii="仿宋_GB2312" w:eastAsia="仿宋_GB2312"/>
                <w:color w:val="000000"/>
                <w:kern w:val="0"/>
                <w:szCs w:val="21"/>
              </w:rPr>
              <w:t>目标</w:t>
            </w:r>
          </w:p>
        </w:tc>
        <w:tc>
          <w:tcPr>
            <w:tcW w:w="8391" w:type="dxa"/>
            <w:gridSpan w:val="15"/>
            <w:vMerge w:val="restart"/>
            <w:tcBorders>
              <w:top w:val="single" w:color="auto" w:sz="4" w:space="0"/>
              <w:left w:val="single" w:color="auto" w:sz="4" w:space="0"/>
              <w:bottom w:val="single" w:color="auto" w:sz="4" w:space="0"/>
              <w:right w:val="single" w:color="000000" w:sz="8" w:space="0"/>
            </w:tcBorders>
          </w:tcPr>
          <w:p>
            <w:pPr>
              <w:widowControl/>
              <w:spacing w:line="300" w:lineRule="exact"/>
              <w:ind w:firstLine="420"/>
              <w:jc w:val="left"/>
              <w:rPr>
                <w:rFonts w:ascii="仿宋_GB2312" w:eastAsia="仿宋_GB2312"/>
                <w:color w:val="000000"/>
                <w:kern w:val="0"/>
                <w:szCs w:val="21"/>
              </w:rPr>
            </w:pPr>
            <w:r>
              <w:rPr>
                <w:rFonts w:hint="eastAsia" w:ascii="仿宋_GB2312" w:eastAsia="仿宋_GB2312"/>
                <w:color w:val="000000"/>
                <w:kern w:val="0"/>
                <w:szCs w:val="21"/>
                <w:lang w:eastAsia="zh-CN"/>
              </w:rPr>
              <w:t>搞好</w:t>
            </w:r>
            <w:r>
              <w:rPr>
                <w:rFonts w:hint="eastAsia" w:ascii="仿宋_GB2312" w:eastAsia="仿宋_GB2312"/>
                <w:color w:val="000000"/>
                <w:kern w:val="0"/>
                <w:szCs w:val="21"/>
              </w:rPr>
              <w:t>全县农业综合执法</w:t>
            </w:r>
            <w:r>
              <w:rPr>
                <w:rFonts w:hint="eastAsia" w:ascii="仿宋_GB2312" w:eastAsia="仿宋_GB2312"/>
                <w:color w:val="000000"/>
                <w:kern w:val="0"/>
                <w:szCs w:val="21"/>
                <w:lang w:eastAsia="zh-CN"/>
              </w:rPr>
              <w:t>和能源安全生产</w:t>
            </w:r>
            <w:r>
              <w:rPr>
                <w:rFonts w:hint="eastAsia" w:ascii="仿宋_GB2312" w:eastAsia="仿宋_GB2312"/>
                <w:color w:val="000000"/>
                <w:kern w:val="0"/>
                <w:szCs w:val="21"/>
              </w:rPr>
              <w:t>，统筹推动发展农村社会事务、乡村公共服务、农村文化、农村基础和乡镇治理。组织协调好全县的巩固脱贫攻坚成果与乡村振兴有效衔接。搞好种植业、畜牧业、渔业、农机机械等农业各产业的监管。开展好粮食生产、生猪检疫和畜禽春秋两季防疫工作。落实耕地污染防治措施，严格抓好农药现代化</w:t>
            </w:r>
            <w:r>
              <w:rPr>
                <w:rFonts w:hint="eastAsia" w:ascii="仿宋_GB2312" w:eastAsia="仿宋_GB2312"/>
                <w:color w:val="000000"/>
                <w:kern w:val="0"/>
                <w:szCs w:val="21"/>
                <w:lang w:eastAsia="zh-CN"/>
              </w:rPr>
              <w:t>管理</w:t>
            </w:r>
            <w:r>
              <w:rPr>
                <w:rFonts w:hint="eastAsia" w:ascii="仿宋_GB2312" w:eastAsia="仿宋_GB2312"/>
                <w:color w:val="000000"/>
                <w:kern w:val="0"/>
                <w:szCs w:val="21"/>
              </w:rPr>
              <w:t>。同时</w:t>
            </w:r>
            <w:r>
              <w:rPr>
                <w:rFonts w:hint="eastAsia" w:ascii="仿宋_GB2312" w:eastAsia="仿宋_GB2312"/>
                <w:color w:val="000000"/>
                <w:kern w:val="0"/>
                <w:szCs w:val="21"/>
                <w:lang w:eastAsia="zh-CN"/>
              </w:rPr>
              <w:t>认真落实各项惠农补贴资金的核实和发放工作，确保各项惠农补贴资金按时发放。</w:t>
            </w:r>
            <w:r>
              <w:rPr>
                <w:rFonts w:hint="eastAsia" w:ascii="仿宋_GB2312" w:eastAsia="仿宋_GB2312"/>
                <w:color w:val="000000"/>
                <w:kern w:val="0"/>
                <w:szCs w:val="21"/>
              </w:rPr>
              <w:t>整合各项涉农资金，加强事中事后监管，切实提升支农政策效果和资金使用效益。</w:t>
            </w:r>
          </w:p>
          <w:p>
            <w:pPr>
              <w:widowControl/>
              <w:spacing w:line="300" w:lineRule="exact"/>
              <w:jc w:val="left"/>
              <w:rPr>
                <w:rFonts w:ascii="仿宋_GB2312" w:eastAsia="仿宋_GB2312"/>
                <w:color w:val="000000"/>
                <w:kern w:val="0"/>
                <w:szCs w:val="21"/>
              </w:rPr>
            </w:pPr>
            <w:r>
              <w:rPr>
                <w:rFonts w:hint="eastAsia" w:ascii="仿宋_GB2312" w:eastAsia="仿宋_GB2312"/>
                <w:color w:val="000000"/>
                <w:kern w:val="0"/>
                <w:szCs w:val="21"/>
              </w:rPr>
              <w:t xml:space="preserve">    全年，</w:t>
            </w:r>
            <w:r>
              <w:rPr>
                <w:rFonts w:hint="eastAsia" w:ascii="仿宋_GB2312" w:eastAsia="仿宋_GB2312"/>
                <w:color w:val="000000"/>
                <w:kern w:val="0"/>
                <w:szCs w:val="21"/>
                <w:lang w:eastAsia="zh-CN"/>
              </w:rPr>
              <w:t>计划</w:t>
            </w:r>
            <w:r>
              <w:rPr>
                <w:rFonts w:hint="eastAsia" w:ascii="仿宋_GB2312" w:eastAsia="仿宋_GB2312"/>
                <w:color w:val="000000"/>
                <w:kern w:val="0"/>
                <w:szCs w:val="21"/>
              </w:rPr>
              <w:t>落实粮食种植面积126万亩，粮食总产60万吨，高档优质稻种植面积26万亩，印发病虫情报共12期，</w:t>
            </w:r>
            <w:r>
              <w:rPr>
                <w:rFonts w:hint="eastAsia" w:ascii="仿宋_GB2312" w:eastAsia="仿宋_GB2312"/>
                <w:color w:val="000000"/>
                <w:kern w:val="0"/>
                <w:szCs w:val="21"/>
                <w:lang w:eastAsia="zh-CN"/>
              </w:rPr>
              <w:t>继续推进绿色防控与专业化统防统治。完成</w:t>
            </w:r>
            <w:r>
              <w:rPr>
                <w:rFonts w:hint="eastAsia" w:ascii="仿宋_GB2312" w:eastAsia="仿宋_GB2312"/>
                <w:color w:val="000000"/>
                <w:kern w:val="0"/>
                <w:szCs w:val="21"/>
              </w:rPr>
              <w:t>全县生猪年末存栏量60万头，人工增殖放流</w:t>
            </w:r>
            <w:r>
              <w:rPr>
                <w:rFonts w:hint="eastAsia" w:ascii="仿宋_GB2312" w:eastAsia="仿宋_GB2312"/>
                <w:color w:val="000000"/>
                <w:kern w:val="0"/>
                <w:szCs w:val="21"/>
                <w:lang w:val="en-US" w:eastAsia="zh-CN"/>
              </w:rPr>
              <w:t>3</w:t>
            </w:r>
            <w:r>
              <w:rPr>
                <w:rFonts w:hint="eastAsia" w:ascii="仿宋_GB2312" w:eastAsia="仿宋_GB2312"/>
                <w:color w:val="000000"/>
                <w:kern w:val="0"/>
                <w:szCs w:val="21"/>
              </w:rPr>
              <w:t>00万尾，搞好湘江流域全面禁渔工作。抓好耕地抛荒治理工作。</w:t>
            </w:r>
            <w:r>
              <w:rPr>
                <w:rFonts w:hint="eastAsia" w:ascii="仿宋_GB2312" w:eastAsia="仿宋_GB2312"/>
                <w:color w:val="000000"/>
                <w:kern w:val="0"/>
                <w:szCs w:val="21"/>
                <w:lang w:eastAsia="zh-CN"/>
              </w:rPr>
              <w:t>加强农产品质量安全监管，不定期对各农贸市场和生产基地进行取样检测，确保农产品市场安全。搞好农村宅基地管理和农村人居环境整治工作，</w:t>
            </w:r>
            <w:r>
              <w:rPr>
                <w:rFonts w:hint="eastAsia" w:ascii="仿宋_GB2312" w:eastAsia="仿宋_GB2312"/>
                <w:color w:val="000000"/>
                <w:kern w:val="0"/>
                <w:szCs w:val="21"/>
              </w:rPr>
              <w:t>做好局直属企业</w:t>
            </w:r>
            <w:r>
              <w:rPr>
                <w:rFonts w:hint="eastAsia" w:ascii="仿宋_GB2312" w:eastAsia="仿宋_GB2312"/>
                <w:color w:val="000000"/>
                <w:kern w:val="0"/>
                <w:szCs w:val="21"/>
                <w:lang w:eastAsia="zh-CN"/>
              </w:rPr>
              <w:t>职工</w:t>
            </w:r>
            <w:r>
              <w:rPr>
                <w:rFonts w:hint="eastAsia" w:ascii="仿宋_GB2312" w:eastAsia="仿宋_GB2312"/>
                <w:color w:val="000000"/>
                <w:kern w:val="0"/>
                <w:szCs w:val="21"/>
              </w:rPr>
              <w:t>和乡镇兽医养老保险和医疗保险续保工作，确保社会稳定</w:t>
            </w:r>
            <w:r>
              <w:rPr>
                <w:rFonts w:hint="eastAsia" w:ascii="仿宋_GB2312" w:eastAsia="仿宋_GB2312"/>
                <w:color w:val="000000"/>
                <w:kern w:val="0"/>
                <w:szCs w:val="21"/>
                <w:lang w:eastAsia="zh-CN"/>
              </w:rPr>
              <w:t>和局机关各项工作正常运转</w:t>
            </w:r>
            <w:r>
              <w:rPr>
                <w:rFonts w:hint="eastAsia" w:ascii="仿宋_GB2312" w:eastAsia="仿宋_GB2312"/>
                <w:color w:val="000000"/>
                <w:kern w:val="0"/>
                <w:szCs w:val="21"/>
              </w:rPr>
              <w:t>。</w:t>
            </w:r>
          </w:p>
        </w:tc>
      </w:tr>
      <w:tr>
        <w:tblPrEx>
          <w:tblCellMar>
            <w:top w:w="0" w:type="dxa"/>
            <w:left w:w="108" w:type="dxa"/>
            <w:bottom w:w="0" w:type="dxa"/>
            <w:right w:w="108" w:type="dxa"/>
          </w:tblCellMar>
        </w:tblPrEx>
        <w:trPr>
          <w:gridAfter w:val="1"/>
          <w:wAfter w:w="1502" w:type="dxa"/>
          <w:trHeight w:val="650"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12"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w:t>
            </w:r>
            <w:r>
              <w:rPr>
                <w:rFonts w:ascii="仿宋_GB2312" w:eastAsia="仿宋_GB2312"/>
                <w:color w:val="000000"/>
                <w:kern w:val="0"/>
                <w:szCs w:val="21"/>
              </w:rPr>
              <w:br w:type="textWrapping"/>
            </w:r>
            <w:r>
              <w:rPr>
                <w:rFonts w:hint="eastAsia" w:ascii="仿宋_GB2312" w:eastAsia="仿宋_GB2312"/>
                <w:color w:val="000000"/>
                <w:kern w:val="0"/>
                <w:szCs w:val="21"/>
              </w:rPr>
              <w:t>门</w:t>
            </w:r>
            <w:r>
              <w:rPr>
                <w:rFonts w:ascii="仿宋_GB2312" w:eastAsia="仿宋_GB2312"/>
                <w:color w:val="000000"/>
                <w:kern w:val="0"/>
                <w:szCs w:val="21"/>
              </w:rPr>
              <w:br w:type="textWrapping"/>
            </w:r>
            <w:r>
              <w:rPr>
                <w:rFonts w:hint="eastAsia" w:ascii="仿宋_GB2312" w:eastAsia="仿宋_GB2312"/>
                <w:color w:val="000000"/>
                <w:kern w:val="0"/>
                <w:szCs w:val="21"/>
              </w:rPr>
              <w:t>整</w:t>
            </w:r>
            <w:r>
              <w:rPr>
                <w:rFonts w:ascii="仿宋_GB2312" w:eastAsia="仿宋_GB2312"/>
                <w:color w:val="000000"/>
                <w:kern w:val="0"/>
                <w:szCs w:val="21"/>
              </w:rPr>
              <w:br w:type="textWrapping"/>
            </w:r>
            <w:r>
              <w:rPr>
                <w:rFonts w:hint="eastAsia" w:ascii="仿宋_GB2312" w:eastAsia="仿宋_GB2312"/>
                <w:color w:val="000000"/>
                <w:kern w:val="0"/>
                <w:szCs w:val="21"/>
              </w:rPr>
              <w:t>体</w:t>
            </w:r>
            <w:r>
              <w:rPr>
                <w:rFonts w:ascii="仿宋_GB2312" w:eastAsia="仿宋_GB2312"/>
                <w:color w:val="000000"/>
                <w:kern w:val="0"/>
                <w:szCs w:val="21"/>
              </w:rPr>
              <w:br w:type="textWrapping"/>
            </w:r>
            <w:r>
              <w:rPr>
                <w:rFonts w:hint="eastAsia" w:ascii="仿宋_GB2312" w:eastAsia="仿宋_GB2312"/>
                <w:color w:val="000000"/>
                <w:kern w:val="0"/>
                <w:szCs w:val="21"/>
              </w:rPr>
              <w:t>支</w:t>
            </w:r>
            <w:r>
              <w:rPr>
                <w:rFonts w:ascii="仿宋_GB2312" w:eastAsia="仿宋_GB2312"/>
                <w:color w:val="000000"/>
                <w:kern w:val="0"/>
                <w:szCs w:val="21"/>
              </w:rPr>
              <w:br w:type="textWrapping"/>
            </w:r>
            <w:r>
              <w:rPr>
                <w:rFonts w:hint="eastAsia" w:ascii="仿宋_GB2312" w:eastAsia="仿宋_GB2312"/>
                <w:color w:val="000000"/>
                <w:kern w:val="0"/>
                <w:szCs w:val="21"/>
              </w:rPr>
              <w:t>出</w:t>
            </w:r>
            <w:r>
              <w:rPr>
                <w:rFonts w:ascii="仿宋_GB2312" w:eastAsia="仿宋_GB2312"/>
                <w:color w:val="000000"/>
                <w:kern w:val="0"/>
                <w:szCs w:val="21"/>
              </w:rPr>
              <w:br w:type="textWrapping"/>
            </w:r>
            <w:r>
              <w:rPr>
                <w:rFonts w:hint="eastAsia" w:ascii="仿宋_GB2312" w:eastAsia="仿宋_GB2312"/>
                <w:color w:val="000000"/>
                <w:kern w:val="0"/>
                <w:szCs w:val="21"/>
              </w:rPr>
              <w:t>年</w:t>
            </w:r>
            <w:r>
              <w:rPr>
                <w:rFonts w:ascii="仿宋_GB2312" w:eastAsia="仿宋_GB2312"/>
                <w:color w:val="000000"/>
                <w:kern w:val="0"/>
                <w:szCs w:val="21"/>
              </w:rPr>
              <w:br w:type="textWrapping"/>
            </w:r>
            <w:r>
              <w:rPr>
                <w:rFonts w:hint="eastAsia" w:ascii="仿宋_GB2312" w:eastAsia="仿宋_GB2312"/>
                <w:color w:val="000000"/>
                <w:kern w:val="0"/>
                <w:szCs w:val="21"/>
              </w:rPr>
              <w:t>度</w:t>
            </w:r>
            <w:r>
              <w:rPr>
                <w:rFonts w:ascii="仿宋_GB2312" w:eastAsia="仿宋_GB2312"/>
                <w:color w:val="000000"/>
                <w:kern w:val="0"/>
                <w:szCs w:val="21"/>
              </w:rPr>
              <w:br w:type="textWrapping"/>
            </w:r>
            <w:r>
              <w:rPr>
                <w:rFonts w:hint="eastAsia" w:ascii="仿宋_GB2312" w:eastAsia="仿宋_GB2312"/>
                <w:color w:val="000000"/>
                <w:kern w:val="0"/>
                <w:szCs w:val="21"/>
              </w:rPr>
              <w:t>绩</w:t>
            </w:r>
            <w:r>
              <w:rPr>
                <w:rFonts w:ascii="仿宋_GB2312" w:eastAsia="仿宋_GB2312"/>
                <w:color w:val="000000"/>
                <w:kern w:val="0"/>
                <w:szCs w:val="21"/>
              </w:rPr>
              <w:br w:type="textWrapping"/>
            </w:r>
            <w:r>
              <w:rPr>
                <w:rFonts w:hint="eastAsia" w:ascii="仿宋_GB2312" w:eastAsia="仿宋_GB2312"/>
                <w:color w:val="000000"/>
                <w:kern w:val="0"/>
                <w:szCs w:val="21"/>
              </w:rPr>
              <w:t>效</w:t>
            </w:r>
            <w:r>
              <w:rPr>
                <w:rFonts w:ascii="仿宋_GB2312" w:eastAsia="仿宋_GB2312"/>
                <w:color w:val="000000"/>
                <w:kern w:val="0"/>
                <w:szCs w:val="21"/>
              </w:rPr>
              <w:br w:type="textWrapping"/>
            </w:r>
            <w:r>
              <w:rPr>
                <w:rFonts w:hint="eastAsia" w:ascii="仿宋_GB2312" w:eastAsia="仿宋_GB2312"/>
                <w:color w:val="000000"/>
                <w:kern w:val="0"/>
                <w:szCs w:val="21"/>
              </w:rPr>
              <w:t>指</w:t>
            </w:r>
            <w:r>
              <w:rPr>
                <w:rFonts w:ascii="仿宋_GB2312" w:eastAsia="仿宋_GB2312"/>
                <w:color w:val="000000"/>
                <w:kern w:val="0"/>
                <w:szCs w:val="21"/>
              </w:rPr>
              <w:br w:type="textWrapping"/>
            </w:r>
            <w:r>
              <w:rPr>
                <w:rFonts w:hint="eastAsia" w:ascii="仿宋_GB2312" w:eastAsia="仿宋_GB2312"/>
                <w:color w:val="000000"/>
                <w:kern w:val="0"/>
                <w:szCs w:val="21"/>
              </w:rPr>
              <w:t>标</w:t>
            </w:r>
          </w:p>
        </w:tc>
        <w:tc>
          <w:tcPr>
            <w:tcW w:w="11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一级指标</w:t>
            </w:r>
          </w:p>
        </w:tc>
        <w:tc>
          <w:tcPr>
            <w:tcW w:w="118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二级指标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三级指标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指标值及单位</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备注</w:t>
            </w: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粮食播种面积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126万亩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粮食总产</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60万吨</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高档优质稻种植面积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26万亩</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耕地抛荒治理</w:t>
            </w:r>
            <w:r>
              <w:rPr>
                <w:rFonts w:hint="eastAsia" w:ascii="仿宋_GB2312" w:eastAsia="仿宋_GB2312"/>
                <w:color w:val="000000"/>
                <w:kern w:val="0"/>
                <w:szCs w:val="21"/>
                <w:lang w:eastAsia="zh-CN"/>
              </w:rPr>
              <w:t>销号任务</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1285.91</w:t>
            </w:r>
            <w:r>
              <w:rPr>
                <w:rFonts w:hint="eastAsia" w:ascii="仿宋_GB2312" w:eastAsia="仿宋_GB2312"/>
                <w:color w:val="000000"/>
                <w:kern w:val="0"/>
                <w:szCs w:val="21"/>
              </w:rPr>
              <w:t>亩</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农作物病虫害发生率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Cs w:val="21"/>
              </w:rPr>
            </w:pPr>
            <w:r>
              <w:rPr>
                <w:rFonts w:hint="eastAsia" w:ascii="微软雅黑" w:hAnsi="微软雅黑" w:eastAsia="微软雅黑" w:cs="微软雅黑"/>
                <w:color w:val="000000"/>
                <w:kern w:val="0"/>
                <w:szCs w:val="21"/>
              </w:rPr>
              <w:t>&lt;5%</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能源安全监管</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大型沼气16处，中小型152处</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农作物机械化作业率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较上年提高1%</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农产品抽样检测</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w:t>
            </w:r>
            <w:r>
              <w:rPr>
                <w:rFonts w:hint="eastAsia" w:ascii="仿宋_GB2312" w:eastAsia="仿宋_GB2312"/>
                <w:color w:val="000000"/>
                <w:kern w:val="0"/>
                <w:szCs w:val="21"/>
              </w:rPr>
              <w:t>000批次</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动物免费防疫检疫合格率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70%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农产品质量安全管理</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安全事故发生率为零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农业综合行政执法次数</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10次以上</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农民培训</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30场次</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湘莲种植面积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10万亩</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劳模慰问</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人</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202</w:t>
            </w:r>
            <w:r>
              <w:rPr>
                <w:rFonts w:hint="eastAsia" w:ascii="仿宋_GB2312" w:eastAsia="仿宋_GB2312"/>
                <w:color w:val="000000"/>
                <w:kern w:val="0"/>
                <w:szCs w:val="21"/>
                <w:lang w:val="en-US" w:eastAsia="zh-CN"/>
              </w:rPr>
              <w:t>3</w:t>
            </w:r>
            <w:r>
              <w:rPr>
                <w:rFonts w:hint="eastAsia" w:ascii="仿宋_GB2312" w:eastAsia="仿宋_GB2312"/>
                <w:color w:val="000000"/>
                <w:kern w:val="0"/>
                <w:szCs w:val="21"/>
              </w:rPr>
              <w:t>年数</w:t>
            </w: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国有农场改革</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1个</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人工增殖放流</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3</w:t>
            </w:r>
            <w:r>
              <w:rPr>
                <w:rFonts w:hint="eastAsia" w:ascii="仿宋_GB2312" w:eastAsia="仿宋_GB2312"/>
                <w:color w:val="000000"/>
                <w:kern w:val="0"/>
                <w:szCs w:val="21"/>
              </w:rPr>
              <w:t>00万尾</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渔政执法次数</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15</w:t>
            </w:r>
            <w:r>
              <w:rPr>
                <w:rFonts w:hint="eastAsia" w:ascii="仿宋_GB2312" w:eastAsia="仿宋_GB2312"/>
                <w:color w:val="000000"/>
                <w:kern w:val="0"/>
                <w:szCs w:val="21"/>
              </w:rPr>
              <w:t>0次以上</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规范农村宅基地审批管理</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500宗以上</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减少</w:t>
            </w:r>
            <w:r>
              <w:rPr>
                <w:rFonts w:hint="eastAsia" w:ascii="仿宋_GB2312" w:eastAsia="仿宋_GB2312"/>
                <w:color w:val="000000"/>
                <w:kern w:val="0"/>
                <w:szCs w:val="21"/>
              </w:rPr>
              <w:t>化学农药使用量</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较去年下降1%</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县委县政府交办的各项中心工作任务完成率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预算执行率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8</w:t>
            </w:r>
            <w:r>
              <w:rPr>
                <w:rFonts w:hint="eastAsia" w:ascii="仿宋_GB2312" w:eastAsia="仿宋_GB2312"/>
                <w:color w:val="000000"/>
                <w:kern w:val="0"/>
                <w:szCs w:val="21"/>
              </w:rPr>
              <w:t>0%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预算调整率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10%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“三公经费”控制率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10%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政府采购执行率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90%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决算真实性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资金使用合规性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专项资金细化率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资产管理规范性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合规</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管理制度健全性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健全</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绩效自评完成率</w:t>
            </w:r>
          </w:p>
        </w:tc>
        <w:tc>
          <w:tcPr>
            <w:tcW w:w="2431"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100%</w:t>
            </w:r>
          </w:p>
        </w:tc>
        <w:tc>
          <w:tcPr>
            <w:tcW w:w="985" w:type="dxa"/>
            <w:tcBorders>
              <w:top w:val="single" w:color="auto" w:sz="4" w:space="0"/>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项目完工验收率</w:t>
            </w:r>
          </w:p>
        </w:tc>
        <w:tc>
          <w:tcPr>
            <w:tcW w:w="2431"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90%</w:t>
            </w:r>
          </w:p>
        </w:tc>
        <w:tc>
          <w:tcPr>
            <w:tcW w:w="985"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绩效监控完成率</w:t>
            </w:r>
          </w:p>
        </w:tc>
        <w:tc>
          <w:tcPr>
            <w:tcW w:w="2431"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　</w:t>
            </w:r>
          </w:p>
        </w:tc>
        <w:tc>
          <w:tcPr>
            <w:tcW w:w="985"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时效指标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2024年1-12月</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1年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工资福利支出　</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2540.23万元</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27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商品和服务支出</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377.82万元</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对个人和家庭补助支出</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14.76万元</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本级项目支出</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263.33万元</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27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上级项目支出</w:t>
            </w:r>
          </w:p>
        </w:tc>
        <w:tc>
          <w:tcPr>
            <w:tcW w:w="2431"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26425.98万元</w:t>
            </w:r>
          </w:p>
        </w:tc>
        <w:tc>
          <w:tcPr>
            <w:tcW w:w="985" w:type="dxa"/>
            <w:tcBorders>
              <w:top w:val="single" w:color="auto" w:sz="4" w:space="0"/>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农民纯收入统计　</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稳中有增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35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农业生产总值</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较上年增加5%</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争资争项</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4亿元</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确保农产品质量安全</w:t>
            </w:r>
            <w:r>
              <w:rPr>
                <w:rFonts w:hint="eastAsia" w:ascii="仿宋_GB2312" w:eastAsia="仿宋_GB2312"/>
                <w:color w:val="000000"/>
                <w:kern w:val="0"/>
                <w:szCs w:val="21"/>
                <w:lang w:eastAsia="zh-CN"/>
              </w:rPr>
              <w:t>和农源安全生产</w:t>
            </w:r>
            <w:r>
              <w:rPr>
                <w:rFonts w:hint="eastAsia" w:ascii="仿宋_GB2312" w:eastAsia="仿宋_GB2312"/>
                <w:color w:val="000000"/>
                <w:kern w:val="0"/>
                <w:szCs w:val="21"/>
              </w:rPr>
              <w:t>　</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无</w:t>
            </w:r>
            <w:r>
              <w:rPr>
                <w:rFonts w:hint="eastAsia" w:ascii="仿宋_GB2312" w:eastAsia="仿宋_GB2312"/>
                <w:color w:val="000000"/>
                <w:kern w:val="0"/>
                <w:szCs w:val="21"/>
              </w:rPr>
              <w:t>安全事故发生</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36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促进农村劳动力就业</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不断提高</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确保粮食生产安全稳定</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维护社会稳定</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无群体性上访事件发生</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4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生态效益指标</w:t>
            </w: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保护湘江流域渔业资源　</w:t>
            </w:r>
          </w:p>
        </w:tc>
        <w:tc>
          <w:tcPr>
            <w:tcW w:w="2431"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全面禁渔　</w:t>
            </w:r>
          </w:p>
        </w:tc>
        <w:tc>
          <w:tcPr>
            <w:tcW w:w="985"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38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畜禽粪污资源化利用率</w:t>
            </w:r>
          </w:p>
        </w:tc>
        <w:tc>
          <w:tcPr>
            <w:tcW w:w="2431"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Cs w:val="21"/>
              </w:rPr>
            </w:pPr>
            <w:r>
              <w:rPr>
                <w:rFonts w:hint="eastAsia" w:ascii="微软雅黑" w:hAnsi="微软雅黑" w:eastAsia="微软雅黑" w:cs="微软雅黑"/>
                <w:color w:val="000000"/>
                <w:kern w:val="0"/>
                <w:szCs w:val="21"/>
              </w:rPr>
              <w:t>&gt;</w:t>
            </w:r>
            <w:r>
              <w:rPr>
                <w:rFonts w:hint="eastAsia" w:ascii="仿宋_GB2312" w:hAnsi="仿宋_GB2312" w:eastAsia="仿宋_GB2312" w:cs="仿宋_GB2312"/>
                <w:color w:val="000000"/>
                <w:kern w:val="0"/>
                <w:szCs w:val="21"/>
              </w:rPr>
              <w:t>70%</w:t>
            </w:r>
          </w:p>
        </w:tc>
        <w:tc>
          <w:tcPr>
            <w:tcW w:w="985"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6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农业农村生产、生活环境　</w:t>
            </w:r>
          </w:p>
        </w:tc>
        <w:tc>
          <w:tcPr>
            <w:tcW w:w="2431" w:type="dxa"/>
            <w:gridSpan w:val="5"/>
            <w:tcBorders>
              <w:top w:val="nil"/>
              <w:left w:val="nil"/>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安全、环保、无污染　</w:t>
            </w:r>
          </w:p>
        </w:tc>
        <w:tc>
          <w:tcPr>
            <w:tcW w:w="985" w:type="dxa"/>
            <w:tcBorders>
              <w:top w:val="nil"/>
              <w:left w:val="nil"/>
              <w:bottom w:val="single" w:color="auto" w:sz="4" w:space="0"/>
              <w:right w:val="single" w:color="auto" w:sz="8"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278"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可持续影响指标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粮食生产可持续发展　</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tblPrEx>
          <w:tblCellMar>
            <w:top w:w="0" w:type="dxa"/>
            <w:left w:w="108" w:type="dxa"/>
            <w:bottom w:w="0" w:type="dxa"/>
            <w:right w:w="108" w:type="dxa"/>
          </w:tblCellMar>
        </w:tblPrEx>
        <w:trPr>
          <w:gridAfter w:val="1"/>
          <w:wAfter w:w="1502" w:type="dxa"/>
          <w:trHeight w:val="263"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农业农村生产生活</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gridAfter w:val="1"/>
          <w:wAfter w:w="1502" w:type="dxa"/>
          <w:trHeight w:val="341"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社会公众或服务对象满意度指标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群众满意度　</w:t>
            </w:r>
          </w:p>
        </w:tc>
        <w:tc>
          <w:tcPr>
            <w:tcW w:w="2431"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90%以上　</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bl>
    <w:p>
      <w:pPr>
        <w:widowControl/>
        <w:spacing w:line="240" w:lineRule="exact"/>
        <w:jc w:val="left"/>
        <w:rPr>
          <w:rFonts w:ascii="仿宋_GB2312" w:hAnsi="宋体" w:eastAsia="仿宋_GB2312" w:cs="宋体"/>
          <w:kern w:val="0"/>
          <w:sz w:val="24"/>
        </w:rPr>
      </w:pPr>
    </w:p>
    <w:p/>
    <w:p/>
    <w:p>
      <w:pPr>
        <w:widowControl/>
        <w:spacing w:line="240" w:lineRule="exact"/>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填报人：欧小秦</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联系电话：18673265593填报日期：202</w:t>
      </w:r>
      <w:r>
        <w:rPr>
          <w:rFonts w:hint="eastAsia" w:ascii="仿宋_GB2312" w:hAnsi="宋体" w:eastAsia="仿宋_GB2312" w:cs="宋体"/>
          <w:kern w:val="0"/>
          <w:sz w:val="24"/>
          <w:lang w:val="en-US" w:eastAsia="zh-CN"/>
        </w:rPr>
        <w:t>3年11月2</w:t>
      </w:r>
      <w:r>
        <w:rPr>
          <w:rFonts w:hint="eastAsia" w:ascii="仿宋_GB2312" w:hAnsi="宋体" w:eastAsia="仿宋_GB2312" w:cs="宋体"/>
          <w:kern w:val="0"/>
          <w:sz w:val="24"/>
        </w:rPr>
        <w:t>6</w:t>
      </w:r>
      <w:r>
        <w:rPr>
          <w:rFonts w:hint="eastAsia" w:ascii="仿宋_GB2312" w:hAnsi="宋体" w:eastAsia="仿宋_GB2312" w:cs="宋体"/>
          <w:kern w:val="0"/>
          <w:sz w:val="24"/>
          <w:lang w:eastAsia="zh-CN"/>
        </w:rPr>
        <w:t>日</w:t>
      </w: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单位负责人签字：</w:t>
      </w:r>
    </w:p>
    <w:p>
      <w:pPr>
        <w:spacing w:line="480" w:lineRule="exact"/>
        <w:ind w:right="26"/>
        <w:rPr>
          <w:rFonts w:ascii="黑体" w:hAnsi="黑体" w:eastAsia="黑体"/>
          <w:color w:val="000000"/>
          <w:sz w:val="28"/>
          <w:szCs w:val="28"/>
        </w:rPr>
      </w:pPr>
    </w:p>
    <w:p/>
    <w:p/>
    <w:p/>
    <w:p/>
    <w:p/>
    <w:p/>
    <w:p/>
    <w:p/>
    <w:p/>
    <w:p/>
    <w:p/>
    <w:p/>
    <w:p/>
    <w:p/>
    <w:p/>
    <w:p/>
    <w:p/>
    <w:p/>
    <w:p/>
    <w:p/>
    <w:p/>
    <w:p/>
    <w:p/>
    <w:p>
      <w:pPr>
        <w:rPr>
          <w:rFonts w:asciiTheme="majorEastAsia" w:hAnsiTheme="majorEastAsia" w:eastAsiaTheme="majorEastAsia"/>
          <w:bCs/>
          <w:kern w:val="0"/>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UxZDBkNjBhNmQ2MTVlZDYyZjJjNjI1ZWM3NjU5MWMifQ=="/>
  </w:docVars>
  <w:rsids>
    <w:rsidRoot w:val="00BD41D4"/>
    <w:rsid w:val="000024AC"/>
    <w:rsid w:val="00013B6D"/>
    <w:rsid w:val="00017E29"/>
    <w:rsid w:val="00061C47"/>
    <w:rsid w:val="0008116B"/>
    <w:rsid w:val="00083F35"/>
    <w:rsid w:val="00085BBA"/>
    <w:rsid w:val="000A223D"/>
    <w:rsid w:val="000C588E"/>
    <w:rsid w:val="0012275F"/>
    <w:rsid w:val="001668AB"/>
    <w:rsid w:val="001E25B4"/>
    <w:rsid w:val="00200DDF"/>
    <w:rsid w:val="0024736B"/>
    <w:rsid w:val="00292399"/>
    <w:rsid w:val="002A2E70"/>
    <w:rsid w:val="002C01B0"/>
    <w:rsid w:val="002C3225"/>
    <w:rsid w:val="00302EFF"/>
    <w:rsid w:val="003148B4"/>
    <w:rsid w:val="003475A7"/>
    <w:rsid w:val="00376839"/>
    <w:rsid w:val="003950B9"/>
    <w:rsid w:val="003B48E3"/>
    <w:rsid w:val="003D6252"/>
    <w:rsid w:val="003E3719"/>
    <w:rsid w:val="00416D4A"/>
    <w:rsid w:val="00445F63"/>
    <w:rsid w:val="004B3FC3"/>
    <w:rsid w:val="004C1D3F"/>
    <w:rsid w:val="004C4365"/>
    <w:rsid w:val="00514083"/>
    <w:rsid w:val="00524668"/>
    <w:rsid w:val="00532496"/>
    <w:rsid w:val="005369A4"/>
    <w:rsid w:val="00571DCB"/>
    <w:rsid w:val="005770C6"/>
    <w:rsid w:val="00596ED8"/>
    <w:rsid w:val="005A29E4"/>
    <w:rsid w:val="00612841"/>
    <w:rsid w:val="006465BF"/>
    <w:rsid w:val="00661632"/>
    <w:rsid w:val="006755EB"/>
    <w:rsid w:val="006946BA"/>
    <w:rsid w:val="006A4E82"/>
    <w:rsid w:val="00754BB9"/>
    <w:rsid w:val="007C31F8"/>
    <w:rsid w:val="007D55CE"/>
    <w:rsid w:val="007E2E30"/>
    <w:rsid w:val="00824384"/>
    <w:rsid w:val="0087645B"/>
    <w:rsid w:val="008B2F07"/>
    <w:rsid w:val="008C4E69"/>
    <w:rsid w:val="008E6AA8"/>
    <w:rsid w:val="00902413"/>
    <w:rsid w:val="00926A22"/>
    <w:rsid w:val="00980641"/>
    <w:rsid w:val="0098345F"/>
    <w:rsid w:val="009A5E8C"/>
    <w:rsid w:val="009B6835"/>
    <w:rsid w:val="00AD0217"/>
    <w:rsid w:val="00AD1DA9"/>
    <w:rsid w:val="00AD74CC"/>
    <w:rsid w:val="00AF45AB"/>
    <w:rsid w:val="00AF6E9A"/>
    <w:rsid w:val="00B017CF"/>
    <w:rsid w:val="00B67C41"/>
    <w:rsid w:val="00B901C0"/>
    <w:rsid w:val="00B92DA9"/>
    <w:rsid w:val="00BA44AB"/>
    <w:rsid w:val="00BD41D4"/>
    <w:rsid w:val="00BF6BC8"/>
    <w:rsid w:val="00C01D31"/>
    <w:rsid w:val="00C04582"/>
    <w:rsid w:val="00C16967"/>
    <w:rsid w:val="00C4578F"/>
    <w:rsid w:val="00C92A2A"/>
    <w:rsid w:val="00CA789C"/>
    <w:rsid w:val="00CC0DB6"/>
    <w:rsid w:val="00CE79C0"/>
    <w:rsid w:val="00D0470E"/>
    <w:rsid w:val="00D071E4"/>
    <w:rsid w:val="00D10CD6"/>
    <w:rsid w:val="00D2317F"/>
    <w:rsid w:val="00D66330"/>
    <w:rsid w:val="00DB404F"/>
    <w:rsid w:val="00DC1DE7"/>
    <w:rsid w:val="00DD6BCA"/>
    <w:rsid w:val="00DE17C2"/>
    <w:rsid w:val="00DE1BA3"/>
    <w:rsid w:val="00E16B8D"/>
    <w:rsid w:val="00E22EB3"/>
    <w:rsid w:val="00E433CB"/>
    <w:rsid w:val="00E4633E"/>
    <w:rsid w:val="00E51610"/>
    <w:rsid w:val="00E6067B"/>
    <w:rsid w:val="00E73058"/>
    <w:rsid w:val="00EA267C"/>
    <w:rsid w:val="00EB3080"/>
    <w:rsid w:val="00ED050B"/>
    <w:rsid w:val="00ED52D2"/>
    <w:rsid w:val="00ED5335"/>
    <w:rsid w:val="00ED536E"/>
    <w:rsid w:val="00EE7362"/>
    <w:rsid w:val="00EF4724"/>
    <w:rsid w:val="00F03397"/>
    <w:rsid w:val="00FB684E"/>
    <w:rsid w:val="00FB77D3"/>
    <w:rsid w:val="00FB7F09"/>
    <w:rsid w:val="04AE5E3F"/>
    <w:rsid w:val="058E15CF"/>
    <w:rsid w:val="0A5A6337"/>
    <w:rsid w:val="11166833"/>
    <w:rsid w:val="11B45755"/>
    <w:rsid w:val="1E975A84"/>
    <w:rsid w:val="24815D52"/>
    <w:rsid w:val="25405750"/>
    <w:rsid w:val="3D210C7D"/>
    <w:rsid w:val="439A2217"/>
    <w:rsid w:val="46873CFC"/>
    <w:rsid w:val="46F404F5"/>
    <w:rsid w:val="60A01243"/>
    <w:rsid w:val="65594A49"/>
    <w:rsid w:val="75772138"/>
    <w:rsid w:val="7EEE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qFormat/>
    <w:uiPriority w:val="99"/>
    <w:rPr>
      <w:sz w:val="18"/>
      <w:szCs w:val="18"/>
    </w:rPr>
  </w:style>
  <w:style w:type="paragraph" w:customStyle="1" w:styleId="9">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0">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1">
    <w:name w:val="List Paragraph"/>
    <w:basedOn w:val="1"/>
    <w:qFormat/>
    <w:uiPriority w:val="99"/>
    <w:pPr>
      <w:spacing w:line="600" w:lineRule="exact"/>
      <w:ind w:firstLine="420" w:firstLineChars="200"/>
    </w:pPr>
    <w:rPr>
      <w:rFonts w:ascii="Times New Roman" w:hAnsi="Times New Roman" w:eastAsia="仿宋" w:cs="Calibr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A80F78-7A76-4DDF-BB1D-F9A95DC18A4F}">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16</Pages>
  <Words>1303</Words>
  <Characters>7430</Characters>
  <Lines>61</Lines>
  <Paragraphs>17</Paragraphs>
  <TotalTime>4</TotalTime>
  <ScaleCrop>false</ScaleCrop>
  <LinksUpToDate>false</LinksUpToDate>
  <CharactersWithSpaces>8716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2024-01-16T13:19:00Z</dcterms:created>
  <dc:creator>1D508-3</dc:creator>
  <cp:lastModifiedBy>WPS_1666855533</cp:lastModifiedBy>
  <cp:lastPrinted>2024-01-19T06:43:00Z</cp:lastPrinted>
  <dcterms:modified xsi:type="dcterms:W3CDTF">2024-01-19T09:15:29Z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8B04014E172E47399C45B7EE61E94429</vt:lpwstr>
  </property>
</Properties>
</file>