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333"/>
        <w:gridCol w:w="1362"/>
        <w:gridCol w:w="100"/>
        <w:gridCol w:w="891"/>
        <w:gridCol w:w="143"/>
        <w:gridCol w:w="1276"/>
        <w:gridCol w:w="434"/>
        <w:gridCol w:w="113"/>
        <w:gridCol w:w="1011"/>
        <w:gridCol w:w="1362"/>
        <w:gridCol w:w="16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493" w:hRule="atLeast"/>
        </w:trPr>
        <w:tc>
          <w:tcPr>
            <w:tcW w:w="8874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部门整体支出绩效目标申报表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eastAsia="zh-CN"/>
              </w:rPr>
              <w:t>2024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36" w:hRule="atLeast"/>
        </w:trPr>
        <w:tc>
          <w:tcPr>
            <w:tcW w:w="8874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4" w:hRule="atLeast"/>
        </w:trPr>
        <w:tc>
          <w:tcPr>
            <w:tcW w:w="8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33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6692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湘潭县易俗河镇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海棠南路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308号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4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谭凤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13875239198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95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55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拘留所是公安机关对被裁决拘留处罚的人执行拘留的场所，依据法律规定，行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国家行政强制权力，对违反治安管理被裁决拘留人执行处罚；完成县委、县政府及上级业务主管部门交办的其他工作任务。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1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40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71.3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71.3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34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6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71.3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89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43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70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>
            <w:pPr>
              <w:widowControl/>
              <w:spacing w:line="24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025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在今年收支预算内，确保完成以下整体目标：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1、保障人员支出和单位正常运转；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2、严格按照财务规章制度做好各项支出；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3、加强财务监督，杜绝不合理开支。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312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社会矛盾化解　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20例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20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对被拘留人员开展大课教育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80次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05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协助破案，摸排案件线索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20条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预算经费使用率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警示教育，预防犯罪，提高全民遵纪守法意识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对周边环境的影响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彰显政府的公信力、执行力，警示全民遵纪守法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财政预算资金及时到位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12个月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2024年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底前完成部门目标工作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全年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拘留专项经费支出　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71.3万元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　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运行成本不超过部门预算，严格按财政预算执行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100%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预算经费使用率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100%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强化了警示教育，提高全民遵纪守法意识。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服务好公检法司等部门的办案需求，保障了刑事诉讼活动顺利进行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53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警示彰显政府的公信力、执行力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76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社会公众对政府的满意程度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841" w:hRule="atLeast"/>
        </w:trPr>
        <w:tc>
          <w:tcPr>
            <w:tcW w:w="84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677" w:hRule="atLeast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01" w:hRule="atLeast"/>
        </w:trPr>
        <w:tc>
          <w:tcPr>
            <w:tcW w:w="84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张杰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谭凤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2024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17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日</w:t>
      </w: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>
      <w:pPr>
        <w:spacing w:line="480" w:lineRule="exact"/>
        <w:ind w:right="26" w:firstLine="480" w:firstLineChars="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pStyle w:val="2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pStyle w:val="2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pStyle w:val="2"/>
        <w:rPr>
          <w:rFonts w:hint="eastAsia" w:ascii="黑体" w:hAnsi="黑体" w:eastAsia="黑体"/>
          <w:color w:val="000000"/>
          <w:sz w:val="28"/>
          <w:szCs w:val="28"/>
        </w:rPr>
      </w:pPr>
    </w:p>
    <w:tbl>
      <w:tblPr>
        <w:tblStyle w:val="4"/>
        <w:tblW w:w="99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83"/>
        <w:gridCol w:w="1094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项目支出绩效目标申报表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  <w:lang w:val="en-US" w:eastAsia="zh-CN"/>
              </w:rPr>
              <w:t>2024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 xml:space="preserve">年度）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bottom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新增项目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延续项目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主管部门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湘潭县公安局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2024.1.1-2024.12.31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张杰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3973279000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项目类型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1.基本建设类 □    其中：新建  □    扩建  □    改建  □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2.行政事业类 □    其中: 采购类□    政府购买服务类□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3.其他专项类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对行政拘留人员进行教育转化、惩戒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；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保障被拘留人员安全，杜绝恶性事故，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拘留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年均关押量80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项目立项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1、公安部、财政部关于印发《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经费开支范围和管理办法的规定》；2、《湖南省财政厅 湖南省公安厅关于加强全省公安监管场所经费保障的通知》。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项目资金申请（万元）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本年度申请资金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   计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75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中央/省级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71.3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支出明细预算（万元）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上年度安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排资金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本年度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测算依据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及说明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 计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75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71.3</w:t>
            </w:r>
          </w:p>
        </w:tc>
        <w:tc>
          <w:tcPr>
            <w:tcW w:w="2040" w:type="dxa"/>
            <w:gridSpan w:val="2"/>
            <w:vMerge w:val="restart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公安部、财政部关于印发《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所经费开支范围和管理办法的规定》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机关服务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17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13.8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罪犯生活及医疗卫生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32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34.5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信息化建设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其他监狱支出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218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保证绩效管理制度有效执行，首先会确定目标和指标，其次设计考核方案，最后实施考核方案。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健全各项规章制度，规范收拘流程，依法做好被拘留人员管理教育等工作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做好被拘留人员安全保障工作，确保无重大安全事故发生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严格按财经纪律、规章制度执行物资采购和后勤保障工作，保障本所正常运转。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社会矛盾化解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20例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对被拘留人员开展大课教育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80次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协助破案，摸排案件线索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20条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保证经费发挥最大效益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定性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全年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12个月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专项经费支出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71.3万元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运行成本不超过部门预算，严格按财政预算执行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100%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经济效益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社会效益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强化了警示教育，提高全民遵纪守法意识。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生态效益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服务好公检法司等部门的办案需求，保障了刑事诉讼活动顺利进行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警示彰显政府的公信力、执行力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社会公众对政府的满意程度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pStyle w:val="6"/>
              <w:spacing w:line="240" w:lineRule="exact"/>
              <w:ind w:left="420" w:firstLine="0" w:firstLineChars="0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  <w:p>
            <w:pPr>
              <w:pStyle w:val="6"/>
              <w:spacing w:line="240" w:lineRule="exact"/>
              <w:ind w:left="420"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1、是否立项及项目属性确定；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2、绩效目标设定是否合理；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3、预算资金可供量是否合理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4、项目、资金及财务管理措施；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5、其他。</w:t>
            </w:r>
          </w:p>
          <w:p>
            <w:pPr>
              <w:widowControl/>
              <w:spacing w:line="240" w:lineRule="exact"/>
              <w:ind w:right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1094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1、填报内容是否完整；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2、是否设定量化的绩效目标；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3、是否有适当、细化的绩效指标及其与绩效目标的对应性；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  <w:jc w:val="center"/>
        </w:trPr>
        <w:tc>
          <w:tcPr>
            <w:tcW w:w="1094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1、县委、县政府已确定的项目；2、财政待安排项目；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3、是否进入备选项目；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      年  月  日</w:t>
            </w:r>
          </w:p>
        </w:tc>
      </w:tr>
    </w:tbl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张杰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谭凤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2024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年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17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日</w:t>
      </w: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zOTQyODdmODU1YTkzNDYwN2JiN2ZlMzdiZTY4ODMifQ=="/>
  </w:docVars>
  <w:rsids>
    <w:rsidRoot w:val="792D4731"/>
    <w:rsid w:val="2E364111"/>
    <w:rsid w:val="30EB6E54"/>
    <w:rsid w:val="792D4731"/>
    <w:rsid w:val="7B621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  <w:style w:type="paragraph" w:customStyle="1" w:styleId="6">
    <w:name w:val="List Paragraph"/>
    <w:basedOn w:val="1"/>
    <w:qFormat/>
    <w:uiPriority w:val="0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1916</Words>
  <Characters>2030</Characters>
  <Lines>0</Lines>
  <Paragraphs>0</Paragraphs>
  <TotalTime>9</TotalTime>
  <ScaleCrop>false</ScaleCrop>
  <LinksUpToDate>false</LinksUpToDate>
  <CharactersWithSpaces>2380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2022-12-10T07:12:00Z</dcterms:created>
  <dc:creator>A维维佗 </dc:creator>
  <cp:lastModifiedBy>小爱</cp:lastModifiedBy>
  <dcterms:modified xsi:type="dcterms:W3CDTF">2024-01-17T13:11:49Z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64D482514AF746D6A5703BBA3B09A941</vt:lpwstr>
  </property>
</Properties>
</file>