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0"/>
      </w:tblGrid>
      <w:tr>
        <w:trPr>
          <w:trHeight w:val="1065" w:hRule="atLeast"/>
          <w:jc w:val="center"/>
        </w:trPr>
        <w:tc>
          <w:tcPr>
            <w:tcW w:w="10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pacing w:beforeLines="100" w:afterLines="100" w:line="500" w:lineRule="exact"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  <w:lang w:val="en-US" w:eastAsia="zh-CN"/>
              </w:rPr>
              <w:t>2023</w:t>
            </w: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年项目支出绩效目标表</w:t>
            </w:r>
          </w:p>
          <w:tbl>
            <w:tblPr>
              <w:tblStyle w:val="2"/>
              <w:tblW w:w="992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22"/>
              <w:gridCol w:w="1131"/>
              <w:gridCol w:w="1096"/>
              <w:gridCol w:w="1196"/>
              <w:gridCol w:w="1086"/>
              <w:gridCol w:w="717"/>
              <w:gridCol w:w="369"/>
              <w:gridCol w:w="294"/>
              <w:gridCol w:w="750"/>
              <w:gridCol w:w="825"/>
              <w:gridCol w:w="139"/>
              <w:gridCol w:w="1703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" w:hRule="atLeast"/>
                <w:jc w:val="center"/>
              </w:trPr>
              <w:tc>
                <w:tcPr>
                  <w:tcW w:w="9928" w:type="dxa"/>
                  <w:gridSpan w:val="12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noWrap/>
                  <w:vAlign w:val="center"/>
                </w:tcPr>
                <w:p>
                  <w:pPr>
                    <w:widowControl/>
                    <w:ind w:right="120"/>
                    <w:jc w:val="left"/>
                    <w:rPr>
                      <w:rFonts w:ascii="仿宋_GB2312" w:hAnsi="仿宋" w:eastAsia="仿宋_GB2312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仿宋_GB2312" w:hAnsi="仿宋" w:eastAsia="仿宋_GB2312"/>
                      <w:kern w:val="0"/>
                      <w:sz w:val="24"/>
                    </w:rPr>
                    <w:t>填报单位：（盖章）</w:t>
                  </w:r>
                  <w:r>
                    <w:rPr>
                      <w:rFonts w:ascii="仿宋_GB2312" w:hAnsi="仿宋" w:eastAsia="仿宋_GB2312"/>
                      <w:kern w:val="0"/>
                      <w:sz w:val="24"/>
                    </w:rPr>
                    <w:t xml:space="preserve">                                            </w:t>
                  </w: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 w:val="24"/>
                    </w:rPr>
                    <w:t>单位：万元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项目支出名称</w:t>
                  </w:r>
                </w:p>
              </w:tc>
              <w:tc>
                <w:tcPr>
                  <w:tcW w:w="229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常年文物、名人名居保护及文物机构运行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预算部门</w:t>
                  </w:r>
                </w:p>
              </w:tc>
              <w:tc>
                <w:tcPr>
                  <w:tcW w:w="3711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0" w:hRule="atLeast"/>
                <w:jc w:val="center"/>
              </w:trPr>
              <w:tc>
                <w:tcPr>
                  <w:tcW w:w="175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年度预算金额</w:t>
                  </w:r>
                </w:p>
              </w:tc>
              <w:tc>
                <w:tcPr>
                  <w:tcW w:w="2292" w:type="dxa"/>
                  <w:gridSpan w:val="2"/>
                  <w:vMerge w:val="restart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54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086" w:type="dxa"/>
                  <w:vMerge w:val="restart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其中：</w:t>
                  </w: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中央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/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省级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市级</w:t>
                  </w:r>
                </w:p>
              </w:tc>
              <w:tc>
                <w:tcPr>
                  <w:tcW w:w="8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县级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其他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3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92" w:type="dxa"/>
                  <w:gridSpan w:val="2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86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8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4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项目属性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ind w:firstLine="735" w:firstLineChars="350"/>
                    <w:jc w:val="left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新增项目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延续项目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2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项目类型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基本建设类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其中：新建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扩建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改建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br w:type="textWrapping"/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行政事业类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: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采购类□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政府购买服务类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☑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</w:p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其他专项类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4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项目支出实施期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2023.1-2023.12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实施期绩效目标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4" w:hRule="atLeast"/>
                <w:jc w:val="center"/>
              </w:trPr>
              <w:tc>
                <w:tcPr>
                  <w:tcW w:w="175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本年度绩效目标</w:t>
                  </w:r>
                </w:p>
              </w:tc>
              <w:tc>
                <w:tcPr>
                  <w:tcW w:w="8175" w:type="dxa"/>
                  <w:gridSpan w:val="10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both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1、本年度实施专项提供的公共产品和服务的数量、质量、时限和成本。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br w:type="textWrapping"/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2、本年度实施专项计划达到的社会、经济和生态效益，可持续影响等。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本年度</w:t>
                  </w:r>
                </w:p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绩效指标</w:t>
                  </w:r>
                </w:p>
              </w:tc>
              <w:tc>
                <w:tcPr>
                  <w:tcW w:w="10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一级指标</w:t>
                  </w: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二级指标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三级指标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指标值及单位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eastAsia="zh-CN"/>
                    </w:rPr>
                    <w:t>绩效标准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产出指标</w:t>
                  </w: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数量指标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Times New Roman" w:eastAsia="仿宋_GB2312" w:cs="Times New Roman"/>
                      <w:b/>
                      <w:bCs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齐白石、周小舟故居全年365天全天候24小时人员安保值守和讲解管理服务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齐白石故居、周小舟故居日常管理、接待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质量指标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接待参观有序，管理工作到位、无文物安全事故发生，实现文物保护与利用双结合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无游客投诉，无安全事故发生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1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时效指标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齐白石故居、周小舟故居人员工资及运营管理服务（政府购买服务</w:t>
                  </w: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val="en-US" w:eastAsia="zh-CN"/>
                    </w:rPr>
                    <w:t>)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12月31日前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成本指标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宋体" w:eastAsia="仿宋_GB2312" w:cs="宋体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齐白石故居、周小舟故居人员工资及运营管理服务（政府购买服务</w:t>
                  </w: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val="en-US" w:eastAsia="zh-CN"/>
                    </w:rPr>
                    <w:t>)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" w:hAnsi="仿宋" w:eastAsia="仿宋" w:cs="仿宋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auto"/>
                      <w:sz w:val="21"/>
                      <w:szCs w:val="21"/>
                      <w:lang w:val="en-US" w:eastAsia="zh-CN"/>
                    </w:rPr>
                    <w:t>54</w:t>
                  </w:r>
                  <w:r>
                    <w:rPr>
                      <w:rFonts w:hint="eastAsia" w:ascii="仿宋_GB2312" w:hAnsi="仿宋_GB2312" w:eastAsia="仿宋_GB2312"/>
                      <w:color w:val="auto"/>
                      <w:sz w:val="21"/>
                      <w:szCs w:val="21"/>
                    </w:rPr>
                    <w:t>万元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效益指标</w:t>
                  </w:r>
                </w:p>
              </w:tc>
              <w:tc>
                <w:tcPr>
                  <w:tcW w:w="1196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经济效益指标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宣传推介我县人文历史资源、树立全民文物保护意识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9</w:t>
                  </w: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  <w:lang w:val="en-US" w:eastAsia="zh-CN"/>
                    </w:rPr>
                    <w:t>8</w:t>
                  </w: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%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09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作为重点文物保护单位和国家3A级景区，我县重要的对外旅游接待窗口单位，促进全域旅游开发，带动当地经济发展。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hint="eastAsia"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100%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社会效益指标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以文物招牌、接待服务创收、配合文物单位权属主体，争取上级重视，完成文物保护工作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100%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生态效益指标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无影响和破坏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100%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0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可持续影响指标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宣传推荐我县重要的历史名片、实现文物资源保护利用双结合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100%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8" w:hRule="atLeast"/>
                <w:jc w:val="center"/>
              </w:trPr>
              <w:tc>
                <w:tcPr>
                  <w:tcW w:w="175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096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社会公众或服务对象满意度指标</w:t>
                  </w:r>
                </w:p>
              </w:tc>
              <w:tc>
                <w:tcPr>
                  <w:tcW w:w="217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宣传成材之路、革命精神重温历史，教育后人</w:t>
                  </w:r>
                </w:p>
              </w:tc>
              <w:tc>
                <w:tcPr>
                  <w:tcW w:w="2008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autoSpaceDN w:val="0"/>
                    <w:spacing w:line="240" w:lineRule="exact"/>
                    <w:jc w:val="center"/>
                    <w:textAlignment w:val="center"/>
                    <w:rPr>
                      <w:rFonts w:ascii="仿宋_GB2312" w:hAnsi="仿宋_GB2312" w:eastAsia="仿宋_GB2312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仿宋_GB2312" w:eastAsia="仿宋_GB2312"/>
                      <w:color w:val="000000"/>
                      <w:sz w:val="21"/>
                      <w:szCs w:val="21"/>
                    </w:rPr>
                    <w:t>100%</w:t>
                  </w:r>
                </w:p>
              </w:tc>
              <w:tc>
                <w:tcPr>
                  <w:tcW w:w="170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622" w:type="dxa"/>
                  <w:vMerge w:val="restart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财政部门审核意见</w:t>
                  </w: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审核股室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spacing w:line="24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审核的主要内容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noWrap w:val="0"/>
                  <w:vAlign w:val="top"/>
                </w:tcPr>
                <w:p>
                  <w:pPr>
                    <w:pStyle w:val="4"/>
                    <w:spacing w:line="240" w:lineRule="exact"/>
                    <w:ind w:left="420" w:firstLine="0" w:firstLineChars="0"/>
                    <w:jc w:val="center"/>
                    <w:rPr>
                      <w:rFonts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</w:pPr>
                </w:p>
                <w:p>
                  <w:pPr>
                    <w:pStyle w:val="4"/>
                    <w:spacing w:line="240" w:lineRule="exact"/>
                    <w:ind w:left="420" w:firstLine="0" w:firstLineChars="0"/>
                    <w:jc w:val="center"/>
                    <w:rPr>
                      <w:rFonts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  <w:t>审核意见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88" w:hRule="atLeast"/>
                <w:jc w:val="center"/>
              </w:trPr>
              <w:tc>
                <w:tcPr>
                  <w:tcW w:w="622" w:type="dxa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财政部门归口业务股室审核意见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、是否立项及项目属性确定；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、绩效目标设定是否合理；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、预算资金可供量是否合理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、项目、资金及财务管理措施；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5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、其他。</w:t>
                  </w:r>
                </w:p>
                <w:p>
                  <w:pPr>
                    <w:widowControl/>
                    <w:spacing w:line="240" w:lineRule="exact"/>
                    <w:ind w:right="480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      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6" w:hRule="atLeast"/>
                <w:jc w:val="center"/>
              </w:trPr>
              <w:tc>
                <w:tcPr>
                  <w:tcW w:w="622" w:type="dxa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绩效评价股审核意见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、填报内容是否完整；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、是否设定量化的绩效目标；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、是否有适当、细化的绩效指标及其与绩效目标的对应性；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、其他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</w:t>
                  </w:r>
                  <w:bookmarkStart w:id="0" w:name="_GoBack"/>
                  <w:bookmarkEnd w:id="0"/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4" w:hRule="atLeast"/>
                <w:jc w:val="center"/>
              </w:trPr>
              <w:tc>
                <w:tcPr>
                  <w:tcW w:w="622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1" w:type="dxa"/>
                  <w:tcBorders>
                    <w:top w:val="single" w:color="auto" w:sz="4" w:space="0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预算股审核意见</w:t>
                  </w:r>
                </w:p>
              </w:tc>
              <w:tc>
                <w:tcPr>
                  <w:tcW w:w="4095" w:type="dxa"/>
                  <w:gridSpan w:val="4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、县委、县政府已确定的项目；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、财政待安排项目；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、是否进入备选项目；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、财政项目预算资金安排可供与完成项目绩效目标的保障度。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000000" w:sz="8" w:space="0"/>
                  </w:tcBorders>
                  <w:noWrap w:val="0"/>
                  <w:vAlign w:val="bottom"/>
                </w:tcPr>
                <w:p>
                  <w:pP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</w:tbl>
          <w:p>
            <w:pPr>
              <w:widowControl/>
              <w:spacing w:line="240" w:lineRule="exact"/>
              <w:ind w:right="480"/>
              <w:rPr>
                <w:rFonts w:eastAsia="方正小标宋_GBK"/>
                <w:sz w:val="36"/>
                <w:szCs w:val="36"/>
              </w:rPr>
            </w:pPr>
          </w:p>
          <w:p>
            <w:pPr>
              <w:widowControl/>
              <w:spacing w:line="240" w:lineRule="exact"/>
              <w:ind w:right="480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杨丹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57880807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填报日期：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2023.3.18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单位负责人签字：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陈泰宏</w:t>
            </w:r>
          </w:p>
          <w:p>
            <w:pPr>
              <w:spacing w:line="480" w:lineRule="exact"/>
              <w:ind w:right="26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注：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、此表一式二份，经财政部门审核后，单位自存一份，绩效管理股一份。</w:t>
            </w:r>
          </w:p>
          <w:p>
            <w:pPr>
              <w:spacing w:line="480" w:lineRule="exact"/>
              <w:ind w:right="26"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、本表上报时须附部门绩效目标制定依据。</w:t>
            </w:r>
          </w:p>
          <w:p>
            <w:pPr>
              <w:spacing w:line="480" w:lineRule="exact"/>
              <w:jc w:val="center"/>
              <w:rPr>
                <w:rFonts w:eastAsia="方正小标宋_GBK"/>
                <w:sz w:val="36"/>
                <w:szCs w:val="36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wOTczNWU4NjkzM2Y3MzBiOTk2YmEyYmRjYWY0ZWMifQ=="/>
  </w:docVars>
  <w:rsids>
    <w:rsidRoot w:val="00000000"/>
    <w:rsid w:val="03175A37"/>
    <w:rsid w:val="109E5300"/>
    <w:rsid w:val="40152BBC"/>
    <w:rsid w:val="55B71058"/>
    <w:rsid w:val="586E66A0"/>
    <w:rsid w:val="5B3D5501"/>
    <w:rsid w:val="5C606CC5"/>
    <w:rsid w:val="61D81DA1"/>
    <w:rsid w:val="68595D64"/>
    <w:rsid w:val="69356A51"/>
    <w:rsid w:val="7384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996</Words>
  <Characters>1055</Characters>
  <Lines>0</Lines>
  <Paragraphs>0</Paragraphs>
  <TotalTime>7</TotalTime>
  <ScaleCrop>false</ScaleCrop>
  <LinksUpToDate>false</LinksUpToDate>
  <CharactersWithSpaces>1226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旭  17752809893</cp:lastModifiedBy>
  <dcterms:modified xsi:type="dcterms:W3CDTF">2024-01-18T07:51:38Z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66D1EDDFDE1B4D8187011AA70D556A23_13</vt:lpwstr>
  </property>
</Properties>
</file>