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3" w:lineRule="atLeast"/>
        <w:ind w:left="0" w:firstLine="420"/>
        <w:jc w:val="center"/>
        <w:rPr>
          <w:rFonts w:hint="eastAsia" w:ascii="黑体" w:hAnsi="黑体" w:eastAsia="黑体" w:cs="黑体"/>
          <w:sz w:val="36"/>
          <w:szCs w:val="36"/>
        </w:rPr>
      </w:pPr>
      <w:r>
        <w:rPr>
          <w:rFonts w:hint="eastAsia" w:ascii="黑体" w:hAnsi="黑体" w:eastAsia="黑体" w:cs="黑体"/>
          <w:sz w:val="36"/>
          <w:szCs w:val="36"/>
        </w:rPr>
        <w:t>湘潭天易经济开发区</w:t>
      </w:r>
    </w:p>
    <w:p>
      <w:pPr>
        <w:pStyle w:val="2"/>
        <w:keepNext w:val="0"/>
        <w:keepLines w:val="0"/>
        <w:widowControl/>
        <w:suppressLineNumbers w:val="0"/>
        <w:spacing w:before="0" w:beforeAutospacing="0" w:after="0" w:afterAutospacing="0" w:line="33" w:lineRule="atLeast"/>
        <w:ind w:left="0" w:firstLine="420"/>
        <w:jc w:val="center"/>
        <w:rPr>
          <w:rFonts w:hint="eastAsia" w:ascii="黑体" w:hAnsi="黑体" w:eastAsia="黑体" w:cs="黑体"/>
          <w:sz w:val="36"/>
          <w:szCs w:val="36"/>
        </w:rPr>
      </w:pPr>
      <w:r>
        <w:rPr>
          <w:rFonts w:hint="eastAsia" w:ascii="黑体" w:hAnsi="黑体" w:eastAsia="黑体" w:cs="黑体"/>
          <w:sz w:val="36"/>
          <w:szCs w:val="36"/>
        </w:rPr>
        <w:t>2023年政府信息公开工作年度报告</w:t>
      </w:r>
    </w:p>
    <w:p>
      <w:pPr>
        <w:pStyle w:val="2"/>
        <w:keepNext w:val="0"/>
        <w:keepLines w:val="0"/>
        <w:widowControl/>
        <w:suppressLineNumbers w:val="0"/>
        <w:spacing w:before="0" w:beforeAutospacing="0" w:after="0" w:afterAutospacing="0" w:line="33" w:lineRule="atLeast"/>
        <w:ind w:left="0" w:firstLine="420"/>
        <w:jc w:val="both"/>
      </w:pPr>
      <w:r>
        <w:t>一、总体情况</w:t>
      </w:r>
    </w:p>
    <w:p>
      <w:pPr>
        <w:pStyle w:val="2"/>
        <w:keepNext w:val="0"/>
        <w:keepLines w:val="0"/>
        <w:widowControl/>
        <w:suppressLineNumbers w:val="0"/>
        <w:spacing w:before="0" w:beforeAutospacing="0" w:after="0" w:afterAutospacing="0" w:line="33" w:lineRule="atLeast"/>
        <w:ind w:left="0" w:firstLine="420"/>
        <w:jc w:val="both"/>
      </w:pPr>
      <w:r>
        <w:t>2023年以来，天易经开区认真贯彻落实《中华人民共和国政府信息公开条例》，积极贯彻落实国务院、省、市、县关于政务公开的方针政策，坚持以公开为常态、不公开为例外，坚持需求导向、问题导向、效果导向，着力推进决策、执行、管理、服务、结果公开，遵循公正、公平、合法、便民的原则，及时、准确地公开政府信息。</w:t>
      </w:r>
    </w:p>
    <w:p>
      <w:pPr>
        <w:pStyle w:val="2"/>
        <w:keepNext w:val="0"/>
        <w:keepLines w:val="0"/>
        <w:widowControl/>
        <w:suppressLineNumbers w:val="0"/>
        <w:spacing w:before="0" w:beforeAutospacing="0" w:after="0" w:afterAutospacing="0" w:line="33" w:lineRule="atLeast"/>
        <w:ind w:left="0" w:firstLine="420"/>
        <w:jc w:val="both"/>
      </w:pPr>
      <w:r>
        <w:t>（一）主动公开方面。</w:t>
      </w:r>
    </w:p>
    <w:p>
      <w:pPr>
        <w:pStyle w:val="2"/>
        <w:keepNext w:val="0"/>
        <w:keepLines w:val="0"/>
        <w:widowControl/>
        <w:suppressLineNumbers w:val="0"/>
        <w:spacing w:before="0" w:beforeAutospacing="0" w:after="0" w:afterAutospacing="0" w:line="33" w:lineRule="atLeast"/>
        <w:ind w:left="0" w:firstLine="420"/>
        <w:jc w:val="both"/>
      </w:pPr>
      <w:r>
        <w:t>2023年，我区累计对外公开发布政府信息</w:t>
      </w:r>
      <w:r>
        <w:rPr>
          <w:spacing w:val="0"/>
          <w:sz w:val="24"/>
          <w:szCs w:val="24"/>
        </w:rPr>
        <w:t>169条。在湘潭天易经开区网站上公开指南1条，工作动态105条，通知公告58条，财政信息3条，机构信息1条，信息公开年报1条，及时公开了2022年部门决算情况、2023年部门预算情况等内容。</w:t>
      </w:r>
    </w:p>
    <w:p>
      <w:pPr>
        <w:pStyle w:val="2"/>
        <w:keepNext w:val="0"/>
        <w:keepLines w:val="0"/>
        <w:widowControl/>
        <w:suppressLineNumbers w:val="0"/>
        <w:spacing w:before="0" w:beforeAutospacing="0" w:after="0" w:afterAutospacing="0" w:line="33" w:lineRule="atLeast"/>
        <w:ind w:left="0" w:firstLine="420"/>
        <w:jc w:val="both"/>
      </w:pPr>
      <w:r>
        <w:t>（二）依申请公开方面。</w:t>
      </w:r>
    </w:p>
    <w:p>
      <w:pPr>
        <w:pStyle w:val="2"/>
        <w:keepNext w:val="0"/>
        <w:keepLines w:val="0"/>
        <w:widowControl/>
        <w:suppressLineNumbers w:val="0"/>
        <w:spacing w:before="0" w:beforeAutospacing="0" w:after="0" w:afterAutospacing="0" w:line="33" w:lineRule="atLeast"/>
        <w:ind w:left="0" w:firstLine="420"/>
        <w:jc w:val="both"/>
      </w:pPr>
      <w:r>
        <w:t>2023年，天易经开区共收到依申请公开申请2条，全年没有一件因政府信息公开工作被申请行政复议、提起行政诉讼。</w:t>
      </w:r>
    </w:p>
    <w:p>
      <w:pPr>
        <w:pStyle w:val="2"/>
        <w:keepNext w:val="0"/>
        <w:keepLines w:val="0"/>
        <w:widowControl/>
        <w:suppressLineNumbers w:val="0"/>
        <w:spacing w:before="0" w:beforeAutospacing="0" w:after="0" w:afterAutospacing="0" w:line="33" w:lineRule="atLeast"/>
        <w:ind w:left="0" w:firstLine="420"/>
        <w:jc w:val="both"/>
      </w:pPr>
      <w:r>
        <w:t>（三）政府信息管理方面。</w:t>
      </w:r>
    </w:p>
    <w:p>
      <w:pPr>
        <w:pStyle w:val="2"/>
        <w:keepNext w:val="0"/>
        <w:keepLines w:val="0"/>
        <w:widowControl/>
        <w:suppressLineNumbers w:val="0"/>
        <w:spacing w:before="0" w:beforeAutospacing="0" w:after="0" w:afterAutospacing="0" w:line="33" w:lineRule="atLeast"/>
        <w:ind w:left="0" w:firstLine="420"/>
        <w:jc w:val="both"/>
      </w:pPr>
      <w:r>
        <w:t>对现有规范性文件进行了全面梳理，对公布的所有规范性文件逐个进行检查，确保每个规范性文件完整包括标题、文号、发文日期、全文及有效性等。对规范性文件进行文字、图片、视频等多种形式详细政策解读。严格落实信息发布审核制度，常态化开展涉及个人隐私的政府信息排查工作，对可能涉及个人隐私的行政处罚等信息，严把审核关。</w:t>
      </w:r>
    </w:p>
    <w:p>
      <w:pPr>
        <w:pStyle w:val="2"/>
        <w:keepNext w:val="0"/>
        <w:keepLines w:val="0"/>
        <w:widowControl/>
        <w:suppressLineNumbers w:val="0"/>
        <w:spacing w:before="0" w:beforeAutospacing="0" w:after="0" w:afterAutospacing="0" w:line="33" w:lineRule="atLeast"/>
        <w:ind w:left="0" w:firstLine="420"/>
        <w:jc w:val="both"/>
      </w:pPr>
      <w:r>
        <w:t>（四）政府信息公开平台建设方面。</w:t>
      </w:r>
    </w:p>
    <w:p>
      <w:pPr>
        <w:pStyle w:val="2"/>
        <w:keepNext w:val="0"/>
        <w:keepLines w:val="0"/>
        <w:widowControl/>
        <w:suppressLineNumbers w:val="0"/>
        <w:spacing w:before="0" w:beforeAutospacing="0" w:after="0" w:afterAutospacing="0" w:line="33" w:lineRule="atLeast"/>
        <w:ind w:left="0" w:firstLine="420"/>
        <w:jc w:val="both"/>
      </w:pPr>
      <w:r>
        <w:t>积极配合县政府做好政府信息公开网站的维护工作，按要求完成各项任务。做好线下信息公开工作，在园区宣传栏张贴信息公开指南，方便办事群众了解信息公开渠道。</w:t>
      </w:r>
    </w:p>
    <w:p>
      <w:pPr>
        <w:pStyle w:val="2"/>
        <w:keepNext w:val="0"/>
        <w:keepLines w:val="0"/>
        <w:widowControl/>
        <w:suppressLineNumbers w:val="0"/>
        <w:spacing w:before="0" w:beforeAutospacing="0" w:after="0" w:afterAutospacing="0" w:line="33" w:lineRule="atLeast"/>
        <w:ind w:left="0" w:firstLine="420"/>
        <w:jc w:val="both"/>
      </w:pPr>
      <w:r>
        <w:t>（五）监督保障方面。</w:t>
      </w:r>
    </w:p>
    <w:p>
      <w:pPr>
        <w:pStyle w:val="2"/>
        <w:keepNext w:val="0"/>
        <w:keepLines w:val="0"/>
        <w:widowControl/>
        <w:suppressLineNumbers w:val="0"/>
        <w:spacing w:before="0" w:beforeAutospacing="0" w:after="0" w:afterAutospacing="0" w:line="33" w:lineRule="atLeast"/>
        <w:ind w:left="0" w:firstLine="420"/>
        <w:jc w:val="both"/>
      </w:pPr>
      <w:r>
        <w:t>经开区办公室负责经开区政务信息公开工作，从事人员1人。公开发布的内容均经各部门拟稿、拟公开信息经开区办公室分管副主任审核、信息公开保密审查工作机构（办公室）负责人审核，办公室主任审核，无误后由经开区办公室发布。</w:t>
      </w:r>
    </w:p>
    <w:p>
      <w:pPr>
        <w:pStyle w:val="2"/>
        <w:keepNext w:val="0"/>
        <w:keepLines w:val="0"/>
        <w:widowControl/>
        <w:suppressLineNumbers w:val="0"/>
        <w:spacing w:before="0" w:beforeAutospacing="0" w:after="0" w:afterAutospacing="0" w:line="33" w:lineRule="atLeast"/>
        <w:ind w:left="0" w:firstLine="420"/>
        <w:jc w:val="both"/>
      </w:pPr>
      <w:r>
        <w:t>（六）政务公开工作要点及省政务公开第三方评估工作牵头责任单位需落实情况。</w:t>
      </w:r>
    </w:p>
    <w:p>
      <w:pPr>
        <w:pStyle w:val="2"/>
        <w:keepNext w:val="0"/>
        <w:keepLines w:val="0"/>
        <w:widowControl/>
        <w:suppressLineNumbers w:val="0"/>
        <w:spacing w:before="0" w:beforeAutospacing="0" w:after="0" w:afterAutospacing="0" w:line="33" w:lineRule="atLeast"/>
        <w:ind w:left="0" w:firstLine="420"/>
        <w:jc w:val="both"/>
      </w:pPr>
      <w:r>
        <w:t>天易经开区为做好“千百十”工程暨“五好”园区建设，成立了产业强园“百十亿”工程工作领导小组，定期听取工作推进情况报告,研究分析问题,在党工委书记、管委会主任“双组长”制下，实施“周会商、月调度、季讲评、年考核”的工作机制，制定百亿产业和十亿级以上企业培育计划，大抓产业链建设、招商引资、项目建设、企业培育、科技创新、发展效益等六大举措，稳步推进园区发展指数。各部门、单位深入钻研业务，夯实了工作基础，强化指标调度，加强对接协调，科学扬长避短，严格督查考核，做到“千百十”工程与“五好”园区建设两者兼顾，各相关职能部门制定了详细的工作计划，经开区及时在专栏发布“五好”园区建设工作情况。</w:t>
      </w:r>
    </w:p>
    <w:p>
      <w:pPr>
        <w:pStyle w:val="2"/>
        <w:keepNext w:val="0"/>
        <w:keepLines w:val="0"/>
        <w:widowControl/>
        <w:suppressLineNumbers w:val="0"/>
        <w:spacing w:before="0" w:beforeAutospacing="0" w:after="0" w:afterAutospacing="0" w:line="33" w:lineRule="atLeast"/>
        <w:ind w:left="0" w:firstLine="420"/>
        <w:jc w:val="both"/>
      </w:pPr>
      <w:r>
        <w:t>二、主动公开政府信息情况</w:t>
      </w:r>
    </w:p>
    <w:tbl>
      <w:tblPr>
        <w:tblStyle w:val="3"/>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Layout w:type="autofit"/>
        <w:tblCellMar>
          <w:top w:w="30" w:type="dxa"/>
          <w:left w:w="30" w:type="dxa"/>
          <w:bottom w:w="30" w:type="dxa"/>
          <w:right w:w="30" w:type="dxa"/>
        </w:tblCellMar>
      </w:tblPr>
      <w:tblGrid>
        <w:gridCol w:w="2865"/>
        <w:gridCol w:w="1732"/>
        <w:gridCol w:w="1815"/>
        <w:gridCol w:w="195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第二十条第（一）项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187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本年制发件数</w:t>
            </w:r>
          </w:p>
        </w:tc>
        <w:tc>
          <w:tcPr>
            <w:tcW w:w="19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本年废止件数</w:t>
            </w:r>
          </w:p>
        </w:tc>
        <w:tc>
          <w:tcPr>
            <w:tcW w:w="208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现行有效件数</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规章</w:t>
            </w:r>
          </w:p>
        </w:tc>
        <w:tc>
          <w:tcPr>
            <w:tcW w:w="187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0</w:t>
            </w:r>
          </w:p>
        </w:tc>
        <w:tc>
          <w:tcPr>
            <w:tcW w:w="19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208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left"/>
              <w:rPr>
                <w:rFonts w:hint="eastAsia" w:eastAsiaTheme="minorEastAsia"/>
                <w:lang w:val="en-US" w:eastAsia="zh-CN"/>
              </w:rPr>
            </w:pPr>
            <w:r>
              <w:t> </w:t>
            </w:r>
            <w:bookmarkStart w:id="0" w:name="_GoBack"/>
            <w:bookmarkEnd w:id="0"/>
            <w:r>
              <w:rPr>
                <w:rFonts w:hint="eastAsia"/>
                <w:lang w:val="en-US" w:eastAsia="zh-CN"/>
              </w:rP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行政规范性文件</w:t>
            </w:r>
          </w:p>
        </w:tc>
        <w:tc>
          <w:tcPr>
            <w:tcW w:w="187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0</w:t>
            </w:r>
          </w:p>
        </w:tc>
        <w:tc>
          <w:tcPr>
            <w:tcW w:w="19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208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第二十条第（五）项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本年处理决定数量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行政许可</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第二十条第（六）项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本年处理决定数量</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行政处罚</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行政强制</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第二十条第（八）项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信息内容</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本年收费金额（单位：万元）</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3105" w:type="dxa"/>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行政事业性收费</w:t>
            </w:r>
          </w:p>
        </w:tc>
        <w:tc>
          <w:tcPr>
            <w:tcW w:w="5940" w:type="dxa"/>
            <w:gridSpan w:val="3"/>
            <w:tcBorders>
              <w:top w:val="outset" w:color="000000" w:sz="6" w:space="0"/>
              <w:left w:val="outset" w:color="000000" w:sz="6" w:space="0"/>
              <w:bottom w:val="outset" w:color="000000" w:sz="6" w:space="0"/>
              <w:right w:val="outset" w:color="000000" w:sz="6" w:space="0"/>
            </w:tcBorders>
            <w:shd w:val="clear" w:color="auto" w:fill="auto"/>
            <w:noWrap/>
            <w:vAlign w:val="center"/>
          </w:tcPr>
          <w:p>
            <w:pPr>
              <w:pStyle w:val="2"/>
              <w:keepNext w:val="0"/>
              <w:keepLines w:val="0"/>
              <w:widowControl/>
              <w:suppressLineNumbers w:val="0"/>
              <w:spacing w:before="0" w:beforeAutospacing="0" w:after="0" w:afterAutospacing="0" w:line="33" w:lineRule="atLeast"/>
              <w:jc w:val="both"/>
            </w:pPr>
            <w:r>
              <w:t>0</w:t>
            </w:r>
          </w:p>
        </w:tc>
      </w:tr>
    </w:tbl>
    <w:p>
      <w:pPr>
        <w:pStyle w:val="2"/>
        <w:keepNext w:val="0"/>
        <w:keepLines w:val="0"/>
        <w:widowControl/>
        <w:suppressLineNumbers w:val="0"/>
        <w:spacing w:before="0" w:beforeAutospacing="0" w:after="0" w:afterAutospacing="0" w:line="33" w:lineRule="atLeast"/>
        <w:ind w:left="0" w:firstLine="420"/>
        <w:jc w:val="both"/>
      </w:pPr>
      <w:r>
        <w:t>三、收到和处理政府信息公开申请情况</w:t>
      </w:r>
    </w:p>
    <w:tbl>
      <w:tblPr>
        <w:tblStyle w:val="3"/>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Layout w:type="autofit"/>
        <w:tblCellMar>
          <w:top w:w="30" w:type="dxa"/>
          <w:left w:w="30" w:type="dxa"/>
          <w:bottom w:w="30" w:type="dxa"/>
          <w:right w:w="30" w:type="dxa"/>
        </w:tblCellMar>
      </w:tblPr>
      <w:tblGrid>
        <w:gridCol w:w="762"/>
        <w:gridCol w:w="839"/>
        <w:gridCol w:w="2450"/>
        <w:gridCol w:w="499"/>
        <w:gridCol w:w="663"/>
        <w:gridCol w:w="628"/>
        <w:gridCol w:w="652"/>
        <w:gridCol w:w="581"/>
        <w:gridCol w:w="640"/>
        <w:gridCol w:w="65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4665" w:type="dxa"/>
            <w:gridSpan w:val="3"/>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（本列数据的勾稽关系为：第一项加第二项之和，等于第三项加第四项之和）</w:t>
            </w:r>
          </w:p>
        </w:tc>
        <w:tc>
          <w:tcPr>
            <w:tcW w:w="4935" w:type="dxa"/>
            <w:gridSpan w:val="7"/>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申请人情况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4665" w:type="dxa"/>
            <w:gridSpan w:val="3"/>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555"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自然人</w:t>
            </w:r>
          </w:p>
        </w:tc>
        <w:tc>
          <w:tcPr>
            <w:tcW w:w="3630"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法人或其他组织</w:t>
            </w:r>
          </w:p>
        </w:tc>
        <w:tc>
          <w:tcPr>
            <w:tcW w:w="750"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4665" w:type="dxa"/>
            <w:gridSpan w:val="3"/>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5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商业企业</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科研机构</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社会公益组织</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法律服务机构</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其他</w:t>
            </w:r>
          </w:p>
        </w:tc>
        <w:tc>
          <w:tcPr>
            <w:tcW w:w="750"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665"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一、本年新收政府信息公开申请数量</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rPr>
                <w:rFonts w:hint="eastAsia" w:eastAsiaTheme="minorEastAsia"/>
                <w:lang w:val="en-US" w:eastAsia="zh-CN"/>
              </w:rPr>
            </w:pPr>
            <w:r>
              <w:rPr>
                <w:rFonts w:hint="eastAsia"/>
                <w:lang w:val="en-US" w:eastAsia="zh-CN"/>
              </w:rPr>
              <w:t>2</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keepNext w:val="0"/>
              <w:keepLines w:val="0"/>
              <w:widowControl/>
              <w:suppressLineNumbers w:val="0"/>
              <w:jc w:val="both"/>
            </w:pPr>
            <w:r>
              <w:rPr>
                <w:rFonts w:ascii="宋体" w:hAnsi="宋体" w:eastAsia="宋体" w:cs="宋体"/>
                <w:kern w:val="0"/>
                <w:sz w:val="24"/>
                <w:szCs w:val="24"/>
                <w:lang w:val="en-US" w:eastAsia="zh-CN" w:bidi="ar"/>
              </w:rPr>
              <w:t xml:space="preserve">2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4665"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二、上年结转政府信息公开申请数量</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25"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三、本年度办理结果</w:t>
            </w:r>
          </w:p>
        </w:tc>
        <w:tc>
          <w:tcPr>
            <w:tcW w:w="3840"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（一）予以公开</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2</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keepNext w:val="0"/>
              <w:keepLines w:val="0"/>
              <w:widowControl/>
              <w:suppressLineNumbers w:val="0"/>
              <w:jc w:val="both"/>
            </w:pPr>
            <w:r>
              <w:rPr>
                <w:rFonts w:ascii="宋体" w:hAnsi="宋体" w:eastAsia="宋体" w:cs="宋体"/>
                <w:kern w:val="0"/>
                <w:sz w:val="24"/>
                <w:szCs w:val="24"/>
                <w:lang w:val="en-US" w:eastAsia="zh-CN" w:bidi="ar"/>
              </w:rPr>
              <w:t xml:space="preserve">2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3840"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（二）部分公开（区分处理的，只计这一情形，不计其他情形）</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（三）不予公开</w:t>
            </w: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1.属于国家秘密</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2.其他法律行政法规禁止公开</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3.危及“三安全一稳定”</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4.保护第三方合法权益</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5.属于三类内部事务信息</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6.属于四类过程性信息</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7.属于行政执法案卷</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8.属于行政查询事项</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（四）无法提供</w:t>
            </w: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1.本机关不掌握相关政府信息</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2.没有现成信息需要另行制作</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3.补正后申请内容仍不明确</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（五）不予处理</w:t>
            </w: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1.信访举报投诉类申请</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2.重复申请</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3.要求提供公开出版物</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4.无正当理由大量反复申请</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5.要求行政机关确认或重新出具已获取信息</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（六）其他处理</w:t>
            </w: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1.申请人无正当理由逾期不补正、行政机关不再处理其政府信息公开申请</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2.申请人逾期未按收费通知要求缴纳费用、行政机关不再处理其政府信息公开申请</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298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3.其他</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3840" w:type="dxa"/>
            <w:gridSpan w:val="2"/>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（七）总计</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keepNext w:val="0"/>
              <w:keepLines w:val="0"/>
              <w:widowControl/>
              <w:suppressLineNumbers w:val="0"/>
              <w:jc w:val="both"/>
            </w:pPr>
            <w:r>
              <w:rPr>
                <w:rFonts w:ascii="宋体" w:hAnsi="宋体" w:eastAsia="宋体" w:cs="宋体"/>
                <w:kern w:val="0"/>
                <w:sz w:val="24"/>
                <w:szCs w:val="24"/>
                <w:lang w:val="en-US" w:eastAsia="zh-CN" w:bidi="ar"/>
              </w:rPr>
              <w:t xml:space="preserve">2 </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keepNext w:val="0"/>
              <w:keepLines w:val="0"/>
              <w:widowControl/>
              <w:suppressLineNumbers w:val="0"/>
              <w:jc w:val="both"/>
            </w:pPr>
            <w:r>
              <w:rPr>
                <w:rFonts w:ascii="宋体" w:hAnsi="宋体" w:eastAsia="宋体" w:cs="宋体"/>
                <w:kern w:val="0"/>
                <w:sz w:val="24"/>
                <w:szCs w:val="24"/>
                <w:lang w:val="en-US" w:eastAsia="zh-CN" w:bidi="ar"/>
              </w:rPr>
              <w:t xml:space="preserve">2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4665" w:type="dxa"/>
            <w:gridSpan w:val="3"/>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四、结转下年度继续办理</w:t>
            </w:r>
          </w:p>
        </w:tc>
        <w:tc>
          <w:tcPr>
            <w:tcW w:w="55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6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3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bl>
    <w:p>
      <w:pPr>
        <w:pStyle w:val="2"/>
        <w:keepNext w:val="0"/>
        <w:keepLines w:val="0"/>
        <w:widowControl/>
        <w:suppressLineNumbers w:val="0"/>
        <w:spacing w:before="0" w:beforeAutospacing="0" w:after="0" w:afterAutospacing="0" w:line="33" w:lineRule="atLeast"/>
        <w:ind w:left="0" w:firstLine="420"/>
        <w:jc w:val="both"/>
      </w:pPr>
      <w:r>
        <w:t>四、政府信息公开行政复议、行政诉讼情况</w:t>
      </w:r>
    </w:p>
    <w:tbl>
      <w:tblPr>
        <w:tblStyle w:val="3"/>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Layout w:type="autofit"/>
        <w:tblCellMar>
          <w:top w:w="30" w:type="dxa"/>
          <w:left w:w="30" w:type="dxa"/>
          <w:bottom w:w="30" w:type="dxa"/>
          <w:right w:w="30" w:type="dxa"/>
        </w:tblCellMar>
      </w:tblPr>
      <w:tblGrid>
        <w:gridCol w:w="539"/>
        <w:gridCol w:w="539"/>
        <w:gridCol w:w="540"/>
        <w:gridCol w:w="540"/>
        <w:gridCol w:w="581"/>
        <w:gridCol w:w="571"/>
        <w:gridCol w:w="529"/>
        <w:gridCol w:w="571"/>
        <w:gridCol w:w="571"/>
        <w:gridCol w:w="540"/>
        <w:gridCol w:w="592"/>
        <w:gridCol w:w="571"/>
        <w:gridCol w:w="561"/>
        <w:gridCol w:w="571"/>
        <w:gridCol w:w="55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PrEx>
        <w:trPr>
          <w:jc w:val="center"/>
        </w:trPr>
        <w:tc>
          <w:tcPr>
            <w:tcW w:w="3285"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行政复议</w:t>
            </w:r>
          </w:p>
        </w:tc>
        <w:tc>
          <w:tcPr>
            <w:tcW w:w="6780" w:type="dxa"/>
            <w:gridSpan w:val="10"/>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行政诉讼</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结果维持</w:t>
            </w:r>
          </w:p>
        </w:tc>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结果纠正</w:t>
            </w:r>
          </w:p>
        </w:tc>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其他结果</w:t>
            </w:r>
          </w:p>
        </w:tc>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尚未审结</w:t>
            </w:r>
          </w:p>
        </w:tc>
        <w:tc>
          <w:tcPr>
            <w:tcW w:w="660" w:type="dxa"/>
            <w:vMerge w:val="restart"/>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总计</w:t>
            </w:r>
          </w:p>
        </w:tc>
        <w:tc>
          <w:tcPr>
            <w:tcW w:w="3345"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未经复议直接起诉</w:t>
            </w:r>
          </w:p>
        </w:tc>
        <w:tc>
          <w:tcPr>
            <w:tcW w:w="3435" w:type="dxa"/>
            <w:gridSpan w:val="5"/>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复议后起诉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64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64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64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64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660"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pPr>
              <w:rPr>
                <w:rFonts w:hint="eastAsia" w:ascii="宋体"/>
                <w:sz w:val="24"/>
                <w:szCs w:val="24"/>
              </w:rPr>
            </w:pPr>
          </w:p>
        </w:tc>
        <w:tc>
          <w:tcPr>
            <w:tcW w:w="69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结果维持</w:t>
            </w:r>
          </w:p>
        </w:tc>
        <w:tc>
          <w:tcPr>
            <w:tcW w:w="63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结果纠正</w:t>
            </w:r>
          </w:p>
        </w:tc>
        <w:tc>
          <w:tcPr>
            <w:tcW w:w="69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其他结果</w:t>
            </w:r>
          </w:p>
        </w:tc>
        <w:tc>
          <w:tcPr>
            <w:tcW w:w="69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尚未审结</w:t>
            </w:r>
          </w:p>
        </w:tc>
        <w:tc>
          <w:tcPr>
            <w:tcW w:w="64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总计</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结果维持</w:t>
            </w:r>
          </w:p>
        </w:tc>
        <w:tc>
          <w:tcPr>
            <w:tcW w:w="69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结果纠正</w:t>
            </w:r>
          </w:p>
        </w:tc>
        <w:tc>
          <w:tcPr>
            <w:tcW w:w="67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其他结果</w:t>
            </w:r>
          </w:p>
        </w:tc>
        <w:tc>
          <w:tcPr>
            <w:tcW w:w="69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尚未审结</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rPr>
          <w:jc w:val="center"/>
        </w:trPr>
        <w:tc>
          <w:tcPr>
            <w:tcW w:w="64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4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4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4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3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4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72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75"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9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vAlign w:val="center"/>
          </w:tcPr>
          <w:p>
            <w:pPr>
              <w:pStyle w:val="2"/>
              <w:keepNext w:val="0"/>
              <w:keepLines w:val="0"/>
              <w:widowControl/>
              <w:suppressLineNumbers w:val="0"/>
              <w:spacing w:before="0" w:beforeAutospacing="0" w:after="0" w:afterAutospacing="0" w:line="33" w:lineRule="atLeast"/>
              <w:jc w:val="both"/>
            </w:pPr>
            <w:r>
              <w:t>0</w:t>
            </w:r>
          </w:p>
        </w:tc>
      </w:tr>
    </w:tbl>
    <w:p>
      <w:pPr>
        <w:pStyle w:val="2"/>
        <w:keepNext w:val="0"/>
        <w:keepLines w:val="0"/>
        <w:widowControl/>
        <w:suppressLineNumbers w:val="0"/>
        <w:spacing w:before="0" w:beforeAutospacing="0" w:after="0" w:afterAutospacing="0" w:line="33" w:lineRule="atLeast"/>
        <w:ind w:left="0" w:firstLine="420"/>
        <w:jc w:val="both"/>
      </w:pPr>
      <w:r>
        <w:t> </w:t>
      </w:r>
    </w:p>
    <w:p>
      <w:pPr>
        <w:pStyle w:val="2"/>
        <w:keepNext w:val="0"/>
        <w:keepLines w:val="0"/>
        <w:widowControl/>
        <w:suppressLineNumbers w:val="0"/>
        <w:spacing w:before="0" w:beforeAutospacing="0" w:after="0" w:afterAutospacing="0" w:line="33" w:lineRule="atLeast"/>
        <w:ind w:left="0" w:firstLine="420"/>
        <w:jc w:val="both"/>
      </w:pPr>
      <w:r>
        <w:t>五、存在的主要问题及改进情况</w:t>
      </w:r>
    </w:p>
    <w:p>
      <w:pPr>
        <w:pStyle w:val="2"/>
        <w:keepNext w:val="0"/>
        <w:keepLines w:val="0"/>
        <w:widowControl/>
        <w:suppressLineNumbers w:val="0"/>
        <w:spacing w:before="0" w:beforeAutospacing="0" w:after="0" w:afterAutospacing="0" w:line="33" w:lineRule="atLeast"/>
        <w:ind w:left="0" w:firstLine="42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202</w:t>
      </w:r>
      <w:r>
        <w:rPr>
          <w:rFonts w:hint="eastAsia" w:ascii="宋体" w:hAnsi="宋体" w:eastAsia="宋体" w:cs="宋体"/>
          <w:i w:val="0"/>
          <w:iCs w:val="0"/>
          <w:caps w:val="0"/>
          <w:color w:val="333333"/>
          <w:spacing w:val="0"/>
          <w:sz w:val="24"/>
          <w:szCs w:val="24"/>
          <w:shd w:val="clear" w:fill="FFFFFF"/>
          <w:lang w:val="en-US" w:eastAsia="zh-CN"/>
        </w:rPr>
        <w:t>3</w:t>
      </w:r>
      <w:r>
        <w:rPr>
          <w:rFonts w:hint="eastAsia" w:ascii="宋体" w:hAnsi="宋体" w:eastAsia="宋体" w:cs="宋体"/>
          <w:i w:val="0"/>
          <w:iCs w:val="0"/>
          <w:caps w:val="0"/>
          <w:color w:val="333333"/>
          <w:spacing w:val="0"/>
          <w:sz w:val="24"/>
          <w:szCs w:val="24"/>
          <w:shd w:val="clear" w:fill="FFFFFF"/>
        </w:rPr>
        <w:t>年，</w:t>
      </w:r>
      <w:r>
        <w:rPr>
          <w:rFonts w:hint="eastAsia" w:ascii="宋体" w:hAnsi="宋体" w:eastAsia="宋体" w:cs="宋体"/>
          <w:i w:val="0"/>
          <w:iCs w:val="0"/>
          <w:caps w:val="0"/>
          <w:color w:val="333333"/>
          <w:spacing w:val="0"/>
          <w:sz w:val="24"/>
          <w:szCs w:val="24"/>
          <w:shd w:val="clear" w:fill="FFFFFF"/>
          <w:lang w:eastAsia="zh-CN"/>
        </w:rPr>
        <w:t>湘潭天易经济开发区</w:t>
      </w:r>
      <w:r>
        <w:rPr>
          <w:rFonts w:hint="eastAsia" w:ascii="宋体" w:hAnsi="宋体" w:eastAsia="宋体" w:cs="宋体"/>
          <w:i w:val="0"/>
          <w:iCs w:val="0"/>
          <w:caps w:val="0"/>
          <w:color w:val="333333"/>
          <w:spacing w:val="0"/>
          <w:sz w:val="24"/>
          <w:szCs w:val="24"/>
          <w:shd w:val="clear" w:fill="FFFFFF"/>
        </w:rPr>
        <w:t>严格按照相关要求做好政府信息公开工作，但仍存在政府信息公开不及时、不全面的情况。下一阶段我们将从以下三个方面予以改进：一是强化信息公开规范性。加强部门之间的沟通协调，提升信息获取的便利性、便捷度，确保政府信息公开工作及时、准确、规范。二是加强工作团队业务培训。通过学习培训，进一步增强政务公开工作团队信息公开意识，准确把握新条例各项规定，及时总结交流经验，提升政府信息公开工作的专业化、系统化保障。三是强化政务公开平台建设。加强政府门户网站建设，充分利用公众号等新媒体，多形式开展政府信息公开的宣传工作，使政府信息更加公开、透明，更加满足于社会公众的需求。</w:t>
      </w:r>
    </w:p>
    <w:p>
      <w:pPr>
        <w:pStyle w:val="2"/>
        <w:keepNext w:val="0"/>
        <w:keepLines w:val="0"/>
        <w:widowControl/>
        <w:suppressLineNumbers w:val="0"/>
        <w:spacing w:before="0" w:beforeAutospacing="0" w:after="0" w:afterAutospacing="0" w:line="33" w:lineRule="atLeast"/>
        <w:ind w:left="0" w:firstLine="420"/>
        <w:jc w:val="both"/>
      </w:pPr>
      <w:r>
        <w:t>六、其他需要报告的事项</w:t>
      </w:r>
    </w:p>
    <w:p>
      <w:pPr>
        <w:pStyle w:val="2"/>
        <w:keepNext w:val="0"/>
        <w:keepLines w:val="0"/>
        <w:widowControl/>
        <w:suppressLineNumbers w:val="0"/>
        <w:spacing w:before="0" w:beforeAutospacing="0" w:after="0" w:afterAutospacing="0" w:line="33" w:lineRule="atLeast"/>
        <w:ind w:left="0" w:firstLine="420"/>
        <w:jc w:val="both"/>
      </w:pPr>
      <w:r>
        <w:t>2023年未收取信息处理费。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kMzI1MmU2NDA1ZmU1OTMxNTNkZDlkNjkyNmJlZTUifQ=="/>
  </w:docVars>
  <w:rsids>
    <w:rsidRoot w:val="0D225018"/>
    <w:rsid w:val="0D225018"/>
    <w:rsid w:val="17980EBB"/>
    <w:rsid w:val="593F7718"/>
    <w:rsid w:val="614E3927"/>
    <w:rsid w:val="6E8C77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2024-01-09T05:51:00Z</dcterms:created>
  <dc:creator>言西早</dc:creator>
  <cp:lastModifiedBy>言西早</cp:lastModifiedBy>
  <dcterms:modified xsi:type="dcterms:W3CDTF">2024-01-16T05:30:02Z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D526D894BDEE447A8E78D57BE4ADE5E4_11</vt:lpwstr>
  </property>
</Properties>
</file>