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方正小标宋_GBK" w:hAnsi="方正小标宋_GBK" w:eastAsia="方正小标宋_GBK" w:cs="方正小标宋_GBK"/>
          <w:i w:val="0"/>
          <w:iCs w:val="0"/>
          <w:caps w:val="0"/>
          <w:color w:val="3D3D3D"/>
          <w:spacing w:val="0"/>
          <w:kern w:val="0"/>
          <w:sz w:val="44"/>
          <w:szCs w:val="44"/>
          <w:shd w:val="clear" w:fill="FFFFFF"/>
          <w:lang w:val="en-US" w:eastAsia="zh-CN" w:bidi="ar"/>
        </w:rPr>
      </w:pPr>
      <w:r>
        <w:rPr>
          <w:rFonts w:hint="eastAsia" w:ascii="方正小标宋_GBK" w:hAnsi="方正小标宋_GBK" w:eastAsia="方正小标宋_GBK" w:cs="方正小标宋_GBK"/>
          <w:i w:val="0"/>
          <w:iCs w:val="0"/>
          <w:caps w:val="0"/>
          <w:color w:val="3D3D3D"/>
          <w:spacing w:val="0"/>
          <w:kern w:val="0"/>
          <w:sz w:val="44"/>
          <w:szCs w:val="44"/>
          <w:shd w:val="clear" w:fill="FFFFFF"/>
          <w:lang w:val="en-US" w:eastAsia="zh-CN" w:bidi="ar"/>
        </w:rPr>
        <w:t>湘潭县机关事务服务中心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方正小标宋_GBK" w:hAnsi="方正小标宋_GBK" w:eastAsia="方正小标宋_GBK" w:cs="方正小标宋_GBK"/>
          <w:i w:val="0"/>
          <w:iCs w:val="0"/>
          <w:caps w:val="0"/>
          <w:color w:val="3D3D3D"/>
          <w:spacing w:val="0"/>
          <w:kern w:val="0"/>
          <w:sz w:val="44"/>
          <w:szCs w:val="44"/>
          <w:shd w:val="clear" w:fill="FFFFFF"/>
          <w:lang w:val="en-US" w:eastAsia="zh-CN" w:bidi="ar"/>
        </w:rPr>
      </w:pPr>
      <w:r>
        <w:rPr>
          <w:rFonts w:hint="eastAsia" w:ascii="方正小标宋_GBK" w:hAnsi="方正小标宋_GBK" w:eastAsia="方正小标宋_GBK" w:cs="方正小标宋_GBK"/>
          <w:i w:val="0"/>
          <w:iCs w:val="0"/>
          <w:caps w:val="0"/>
          <w:color w:val="3D3D3D"/>
          <w:spacing w:val="0"/>
          <w:kern w:val="0"/>
          <w:sz w:val="44"/>
          <w:szCs w:val="44"/>
          <w:shd w:val="clear" w:fill="FFFFFF"/>
          <w:lang w:val="en-US" w:eastAsia="zh-CN" w:bidi="ar"/>
        </w:rPr>
        <w:t>2023年度政府信息公开工作年度报告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480"/>
        <w:jc w:val="left"/>
        <w:textAlignment w:val="auto"/>
        <w:rPr>
          <w:rFonts w:hint="eastAsia" w:ascii="CESI仿宋-GB2312" w:hAnsi="CESI仿宋-GB2312" w:eastAsia="CESI仿宋-GB2312" w:cs="CESI仿宋-GB2312"/>
          <w:i w:val="0"/>
          <w:iCs w:val="0"/>
          <w:caps w:val="0"/>
          <w:color w:val="3D3D3D"/>
          <w:spacing w:val="0"/>
          <w:sz w:val="32"/>
          <w:szCs w:val="32"/>
        </w:rPr>
      </w:pPr>
      <w:bookmarkStart w:id="0" w:name="_GoBack"/>
      <w:bookmarkEnd w:id="0"/>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560"/>
        <w:jc w:val="left"/>
        <w:textAlignment w:val="auto"/>
        <w:rPr>
          <w:rFonts w:hint="eastAsia" w:ascii="CESI仿宋-GB2312" w:hAnsi="CESI仿宋-GB2312" w:eastAsia="CESI仿宋-GB2312" w:cs="CESI仿宋-GB2312"/>
          <w:i w:val="0"/>
          <w:iCs w:val="0"/>
          <w:caps w:val="0"/>
          <w:color w:val="3D3D3D"/>
          <w:spacing w:val="0"/>
          <w:sz w:val="32"/>
          <w:szCs w:val="32"/>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2023年，县机关事务服务中心深入贯彻县委县政府关于政务公开工作的决策部署，积极推进政务公开的重点工作，进一步完善了组织机构建设，明确分管领导，逐级分解落实工作任务，进一步优化政务环境、规范政务信息公开工作，不断提高政务服务水平。</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48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信息主动公开情况。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Autospacing="0" w:line="560" w:lineRule="exact"/>
        <w:ind w:firstLine="42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2023年，我单位通过政府网站信息公开平台发布政府公开信息</w:t>
      </w:r>
      <w:r>
        <w:rPr>
          <w:rFonts w:hint="eastAsia" w:ascii="CESI仿宋-GB2312" w:hAnsi="CESI仿宋-GB2312" w:eastAsia="CESI仿宋-GB2312" w:cs="CESI仿宋-GB2312"/>
          <w:i w:val="0"/>
          <w:iCs w:val="0"/>
          <w:caps w:val="0"/>
          <w:color w:val="auto"/>
          <w:spacing w:val="0"/>
          <w:kern w:val="0"/>
          <w:sz w:val="32"/>
          <w:szCs w:val="32"/>
          <w:shd w:val="clear" w:fill="FFFFFF"/>
          <w:lang w:val="en-US" w:eastAsia="zh-CN" w:bidi="ar"/>
        </w:rPr>
        <w:t>16</w:t>
      </w: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条，其中部门动态</w:t>
      </w:r>
      <w:r>
        <w:rPr>
          <w:rFonts w:hint="eastAsia" w:ascii="CESI仿宋-GB2312" w:hAnsi="CESI仿宋-GB2312" w:eastAsia="CESI仿宋-GB2312" w:cs="CESI仿宋-GB2312"/>
          <w:i w:val="0"/>
          <w:iCs w:val="0"/>
          <w:caps w:val="0"/>
          <w:color w:val="auto"/>
          <w:spacing w:val="0"/>
          <w:kern w:val="0"/>
          <w:sz w:val="32"/>
          <w:szCs w:val="32"/>
          <w:shd w:val="clear" w:fill="FFFFFF"/>
          <w:lang w:val="en-US" w:eastAsia="zh-CN" w:bidi="ar"/>
        </w:rPr>
        <w:t>9</w:t>
      </w: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条，财务信息3条，公开指南1条，领导信息1条，机构信息2条。</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firstLine="480" w:firstLineChars="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依申请公开情况。</w:t>
      </w:r>
    </w:p>
    <w:p>
      <w:pPr>
        <w:pStyle w:val="3"/>
        <w:keepNext w:val="0"/>
        <w:keepLines w:val="0"/>
        <w:pageBreakBefore w:val="0"/>
        <w:widowControl/>
        <w:kinsoku/>
        <w:wordWrap/>
        <w:overflowPunct/>
        <w:topLinePunct w:val="0"/>
        <w:autoSpaceDE/>
        <w:autoSpaceDN/>
        <w:bidi w:val="0"/>
        <w:adjustRightInd/>
        <w:snapToGrid/>
        <w:spacing w:before="0" w:beforeLines="0" w:beforeAutospacing="0" w:after="0" w:afterAutospacing="0" w:line="560" w:lineRule="exact"/>
        <w:ind w:firstLine="42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严格执行《条例》规定，依法依规依程序办理政府信息依申请公开，全年未收到政府信息公开申请，未发生因政府信息公开工作被申请行政复议、提起行政诉讼的情况。</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firstLine="480" w:firstLineChars="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政府信息管理。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rightChars="0" w:firstLine="851" w:firstLineChars="266"/>
        <w:jc w:val="left"/>
        <w:textAlignment w:val="auto"/>
        <w:rPr>
          <w:rFonts w:hint="eastAsia" w:ascii="CESI仿宋-GB2312" w:hAnsi="CESI仿宋-GB2312" w:eastAsia="CESI仿宋-GB2312" w:cs="CESI仿宋-GB2312"/>
          <w:i w:val="0"/>
          <w:iCs w:val="0"/>
          <w:caps w:val="0"/>
          <w:color w:val="3D3D3D"/>
          <w:spacing w:val="0"/>
          <w:sz w:val="32"/>
          <w:szCs w:val="32"/>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健全完善政务信息发布制度，明确信息发布审核领导和工作人员，严格审核把关，对拟公开的政务信息确保政务信息发布准确、无误，避免发布的信息出现数据不实、依据不充分的情况，给政府形象造成不良影响。</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firstLine="480" w:firstLineChars="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政府信息公开平台建设情况。</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rightChars="0" w:firstLine="851" w:firstLineChars="266"/>
        <w:jc w:val="left"/>
        <w:textAlignment w:val="auto"/>
        <w:rPr>
          <w:rFonts w:hint="eastAsia" w:ascii="CESI仿宋-GB2312" w:hAnsi="CESI仿宋-GB2312" w:eastAsia="CESI仿宋-GB2312" w:cs="CESI仿宋-GB2312"/>
          <w:i w:val="0"/>
          <w:iCs w:val="0"/>
          <w:caps w:val="0"/>
          <w:color w:val="3D3D3D"/>
          <w:spacing w:val="0"/>
          <w:sz w:val="32"/>
          <w:szCs w:val="32"/>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积极配合县政府做好政府信息公开网站的维护工作，切实提升公开质量和实效，推进政府信息公开平台标准化建设。</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leftChars="0" w:right="0" w:firstLine="480" w:firstLineChars="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监督保障情况。</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县机关事务服务中心对信息公开工作高度重视，明确专人负责政务公开工作，建立了“主要领导亲自抓，分管领导具体抓”的工作机制，为信息公开工作的全面有效落实打下坚实基础。信息发布严格按照“谁审批、谁负责，谁报送、谁负责”的原则，认真履行信息审核发布程序，明确所有发布信息需由中心领导审核后才可发布，确保信息发布的权威性、准确性。</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二、主动公开政府信息情况</w:t>
      </w:r>
    </w:p>
    <w:tbl>
      <w:tblPr>
        <w:tblStyle w:val="4"/>
        <w:tblW w:w="9180" w:type="dxa"/>
        <w:jc w:val="center"/>
        <w:shd w:val="clear" w:color="auto" w:fill="auto"/>
        <w:tblLayout w:type="fixed"/>
        <w:tblCellMar>
          <w:top w:w="0" w:type="dxa"/>
          <w:left w:w="0" w:type="dxa"/>
          <w:bottom w:w="0" w:type="dxa"/>
          <w:right w:w="0" w:type="dxa"/>
        </w:tblCellMar>
      </w:tblPr>
      <w:tblGrid>
        <w:gridCol w:w="3152"/>
        <w:gridCol w:w="1904"/>
        <w:gridCol w:w="2004"/>
        <w:gridCol w:w="2120"/>
      </w:tblGrid>
      <w:tr>
        <w:tblPrEx>
          <w:shd w:val="clear" w:color="auto" w:fill="auto"/>
          <w:tblCellMar>
            <w:top w:w="0" w:type="dxa"/>
            <w:left w:w="0" w:type="dxa"/>
            <w:bottom w:w="0" w:type="dxa"/>
            <w:right w:w="0" w:type="dxa"/>
          </w:tblCellMar>
        </w:tblPrEx>
        <w:trPr>
          <w:trHeight w:val="824" w:hRule="atLeast"/>
          <w:jc w:val="center"/>
        </w:trPr>
        <w:tc>
          <w:tcPr>
            <w:tcW w:w="9180" w:type="dxa"/>
            <w:gridSpan w:val="4"/>
            <w:tcBorders>
              <w:top w:val="single" w:color="auto" w:sz="8" w:space="0"/>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904"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2004" w:type="dxa"/>
            <w:tcBorders>
              <w:top w:val="single" w:color="auto" w:sz="8" w:space="0"/>
              <w:left w:val="nil"/>
              <w:bottom w:val="single" w:color="auto" w:sz="8" w:space="0"/>
              <w:right w:val="single" w:color="auto" w:sz="8" w:space="0"/>
            </w:tcBorders>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12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90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04"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12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904"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04" w:type="dxa"/>
            <w:tcBorders>
              <w:top w:val="nil"/>
              <w:left w:val="nil"/>
              <w:bottom w:val="single" w:color="auto" w:sz="8" w:space="0"/>
              <w:right w:val="single" w:color="auto" w:sz="8" w:space="0"/>
            </w:tcBorders>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12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824" w:hRule="atLeast"/>
          <w:jc w:val="center"/>
        </w:trPr>
        <w:tc>
          <w:tcPr>
            <w:tcW w:w="9180" w:type="dxa"/>
            <w:gridSpan w:val="4"/>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6028" w:type="dxa"/>
            <w:gridSpan w:val="3"/>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6028"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824" w:hRule="atLeast"/>
          <w:jc w:val="center"/>
        </w:trPr>
        <w:tc>
          <w:tcPr>
            <w:tcW w:w="9180" w:type="dxa"/>
            <w:gridSpan w:val="4"/>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6028" w:type="dxa"/>
            <w:gridSpan w:val="3"/>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6028"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6028" w:type="dxa"/>
            <w:gridSpan w:val="3"/>
            <w:tcBorders>
              <w:top w:val="nil"/>
              <w:left w:val="nil"/>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824" w:hRule="atLeast"/>
          <w:jc w:val="center"/>
        </w:trPr>
        <w:tc>
          <w:tcPr>
            <w:tcW w:w="9180" w:type="dxa"/>
            <w:gridSpan w:val="4"/>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CellMar>
            <w:top w:w="0" w:type="dxa"/>
            <w:left w:w="0" w:type="dxa"/>
            <w:bottom w:w="0" w:type="dxa"/>
            <w:right w:w="0" w:type="dxa"/>
          </w:tblCellMar>
        </w:tblPrEx>
        <w:trPr>
          <w:trHeight w:val="824"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6028" w:type="dxa"/>
            <w:gridSpan w:val="3"/>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892" w:hRule="atLeast"/>
          <w:jc w:val="center"/>
        </w:trPr>
        <w:tc>
          <w:tcPr>
            <w:tcW w:w="3152"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6028" w:type="dxa"/>
            <w:gridSpan w:val="3"/>
            <w:tcBorders>
              <w:top w:val="nil"/>
              <w:left w:val="nil"/>
              <w:bottom w:val="single" w:color="auto" w:sz="8" w:space="0"/>
              <w:right w:val="single" w:color="000000" w:sz="8" w:space="0"/>
            </w:tcBorders>
            <w:shd w:val="clear" w:color="auto" w:fill="auto"/>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pPr>
        <w:pStyle w:val="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收到和处理政府信息公开申请情况</w:t>
      </w:r>
    </w:p>
    <w:p>
      <w:pPr>
        <w:pStyle w:val="2"/>
        <w:widowControl w:val="0"/>
        <w:numPr>
          <w:ilvl w:val="0"/>
          <w:numId w:val="0"/>
        </w:numPr>
        <w:pBdr>
          <w:bottom w:val="single" w:color="auto" w:sz="6" w:space="1"/>
        </w:pBdr>
        <w:snapToGrid w:val="0"/>
        <w:jc w:val="both"/>
        <w:rPr>
          <w:rFonts w:hint="eastAsia"/>
          <w:lang w:val="en-US" w:eastAsia="zh-CN"/>
        </w:rPr>
      </w:pPr>
    </w:p>
    <w:tbl>
      <w:tblPr>
        <w:tblStyle w:val="4"/>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四、政府信息公开行政复议、行政诉讼情况</w:t>
      </w:r>
    </w:p>
    <w:tbl>
      <w:tblPr>
        <w:tblStyle w:val="4"/>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eastAsia="宋体"/>
                <w:sz w:val="21"/>
                <w:szCs w:val="21"/>
                <w:lang w:val="en-US" w:eastAsia="zh-CN"/>
              </w:rPr>
            </w:pPr>
            <w:r>
              <w:rPr>
                <w:rFonts w:hint="eastAsia" w:ascii="宋体" w:hAnsi="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eastAsia="宋体"/>
                <w:sz w:val="21"/>
                <w:szCs w:val="21"/>
                <w:lang w:val="en-US" w:eastAsia="zh-CN"/>
              </w:rPr>
            </w:pPr>
            <w:r>
              <w:rPr>
                <w:rFonts w:hint="eastAsia" w:ascii="宋体" w:hAnsi="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eastAsia="宋体"/>
                <w:sz w:val="21"/>
                <w:szCs w:val="21"/>
                <w:lang w:val="en-US" w:eastAsia="zh-CN"/>
              </w:rPr>
            </w:pPr>
            <w:r>
              <w:rPr>
                <w:rFonts w:hint="eastAsia" w:ascii="宋体" w:hAnsi="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eastAsia="宋体"/>
                <w:sz w:val="21"/>
                <w:szCs w:val="21"/>
                <w:lang w:val="en-US" w:eastAsia="zh-CN"/>
              </w:rPr>
            </w:pPr>
            <w:r>
              <w:rPr>
                <w:rFonts w:hint="eastAsia" w:ascii="宋体" w:hAnsi="宋体" w:cs="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eastAsia="宋体"/>
                <w:sz w:val="21"/>
                <w:szCs w:val="21"/>
                <w:lang w:val="en-US" w:eastAsia="zh-CN"/>
              </w:rPr>
            </w:pPr>
            <w:r>
              <w:rPr>
                <w:rFonts w:hint="eastAsia" w:ascii="宋体" w:hAnsi="宋体" w:cs="宋体"/>
                <w:sz w:val="21"/>
                <w:szCs w:val="21"/>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80"/>
        <w:jc w:val="left"/>
        <w:rPr>
          <w:rFonts w:hint="default" w:ascii="微软雅黑" w:hAnsi="微软雅黑" w:eastAsia="微软雅黑" w:cs="微软雅黑"/>
          <w:i w:val="0"/>
          <w:iCs w:val="0"/>
          <w:caps w:val="0"/>
          <w:color w:val="3D3D3D"/>
          <w:spacing w:val="0"/>
          <w:kern w:val="0"/>
          <w:sz w:val="24"/>
          <w:szCs w:val="24"/>
          <w:shd w:val="clear" w:fill="FFFFFF"/>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五、存在的主要问题及改进情况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信息公开的方式还相对单一，主动公开内容还有进一步拓展的空间，工作动态信息更新频次还需要提高。下一步，我们将重点从三个方面加以改进：一是进一步强化组织领导，加强责任制管理，充实信息公开工作力量，确保信息公开落地落细。二是进一步完善工作机制，加强督促检查，推动信息公开工作制度化规范化运行。三是进一步丰富公开渠道，拓展公开内容，提高信息公开群众满意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480"/>
        <w:jc w:val="both"/>
        <w:textAlignment w:val="auto"/>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六、其他需要报告的事项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CESI仿宋-GB2312" w:hAnsi="CESI仿宋-GB2312" w:eastAsia="CESI仿宋-GB2312" w:cs="CESI仿宋-GB2312"/>
          <w:i w:val="0"/>
          <w:iCs w:val="0"/>
          <w:caps w:val="0"/>
          <w:color w:val="3D3D3D"/>
          <w:spacing w:val="0"/>
          <w:kern w:val="0"/>
          <w:sz w:val="32"/>
          <w:szCs w:val="32"/>
          <w:shd w:val="clear" w:fill="FFFFFF"/>
          <w:lang w:val="en-US" w:eastAsia="zh-CN" w:bidi="ar"/>
        </w:rPr>
      </w:pPr>
      <w:r>
        <w:rPr>
          <w:rFonts w:hint="eastAsia" w:ascii="CESI仿宋-GB2312" w:hAnsi="CESI仿宋-GB2312" w:eastAsia="CESI仿宋-GB2312" w:cs="CESI仿宋-GB2312"/>
          <w:i w:val="0"/>
          <w:iCs w:val="0"/>
          <w:caps w:val="0"/>
          <w:color w:val="3D3D3D"/>
          <w:spacing w:val="0"/>
          <w:kern w:val="0"/>
          <w:sz w:val="32"/>
          <w:szCs w:val="32"/>
          <w:shd w:val="clear" w:fill="FFFFFF"/>
          <w:lang w:val="en-US" w:eastAsia="zh-CN" w:bidi="ar"/>
        </w:rPr>
        <w:t>2023年度没有产生信息公开处理费。</w:t>
      </w:r>
    </w:p>
    <w:p/>
    <w:sectPr>
      <w:pgSz w:w="11906" w:h="16838"/>
      <w:pgMar w:top="2098" w:right="1474" w:bottom="1417" w:left="147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FF1B7E"/>
    <w:multiLevelType w:val="singleLevel"/>
    <w:tmpl w:val="FAFF1B7E"/>
    <w:lvl w:ilvl="0" w:tentative="0">
      <w:start w:val="3"/>
      <w:numFmt w:val="chineseCounting"/>
      <w:suff w:val="nothing"/>
      <w:lvlText w:val="%1、"/>
      <w:lvlJc w:val="left"/>
      <w:rPr>
        <w:rFonts w:hint="eastAsia"/>
      </w:rPr>
    </w:lvl>
  </w:abstractNum>
  <w:abstractNum w:abstractNumId="1">
    <w:nsid w:val="3FBE4B03"/>
    <w:multiLevelType w:val="singleLevel"/>
    <w:tmpl w:val="3FBE4B0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FF80DA"/>
    <w:rsid w:val="36B5BEAF"/>
    <w:rsid w:val="73BB8EAF"/>
    <w:rsid w:val="7D6706D0"/>
    <w:rsid w:val="7E7DA22A"/>
    <w:rsid w:val="9DD9CCDE"/>
    <w:rsid w:val="BFEC00E6"/>
    <w:rsid w:val="DBFD2974"/>
    <w:rsid w:val="F5FE00F0"/>
    <w:rsid w:val="F7FDCC15"/>
    <w:rsid w:val="F7FF8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next w:val="2"/>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558</TotalTime>
  <ScaleCrop>false</ScaleCrop>
  <LinksUpToDate>false</LinksUpToDate>
  <CharactersWithSpaces>0</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2024-01-09T11:28:00Z</dcterms:created>
  <dc:creator>Admin</dc:creator>
  <cp:lastModifiedBy>Admin</cp:lastModifiedBy>
  <cp:lastPrinted>2024-01-10T16:18:00Z</cp:lastPrinted>
  <dcterms:modified xsi:type="dcterms:W3CDTF">2024-01-10T14:29:29Z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6F4222D151ADF698C46B9B65BD300654</vt:lpwstr>
  </property>
</Properties>
</file>