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sz w:val="84"/>
          <w:szCs w:val="84"/>
        </w:rPr>
      </w:pPr>
      <w:r>
        <w:rPr>
          <w:rFonts w:hint="eastAsia"/>
          <w:sz w:val="84"/>
          <w:szCs w:val="84"/>
        </w:rPr>
        <w:t>2021年度</w:t>
      </w:r>
    </w:p>
    <w:p>
      <w:pPr>
        <w:pStyle w:val="10"/>
        <w:jc w:val="center"/>
        <w:rPr>
          <w:sz w:val="84"/>
          <w:szCs w:val="84"/>
        </w:rPr>
      </w:pPr>
      <w:r>
        <w:rPr>
          <w:rFonts w:hint="eastAsia"/>
          <w:sz w:val="84"/>
          <w:szCs w:val="84"/>
        </w:rPr>
        <w:t>湘潭县司法局部门决算</w:t>
      </w: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32"/>
          <w:szCs w:val="32"/>
        </w:rPr>
      </w:pPr>
    </w:p>
    <w:p>
      <w:pPr>
        <w:pStyle w:val="10"/>
        <w:jc w:val="center"/>
        <w:rPr>
          <w:sz w:val="32"/>
          <w:szCs w:val="32"/>
        </w:rPr>
      </w:pPr>
    </w:p>
    <w:p>
      <w:pPr>
        <w:pStyle w:val="10"/>
        <w:jc w:val="center"/>
        <w:rPr>
          <w:sz w:val="32"/>
          <w:szCs w:val="32"/>
        </w:rPr>
      </w:pPr>
    </w:p>
    <w:p>
      <w:pPr>
        <w:pStyle w:val="10"/>
        <w:jc w:val="center"/>
        <w:rPr>
          <w:sz w:val="32"/>
          <w:szCs w:val="32"/>
        </w:rPr>
      </w:pPr>
    </w:p>
    <w:p>
      <w:pPr>
        <w:pStyle w:val="10"/>
        <w:jc w:val="center"/>
        <w:rPr>
          <w:sz w:val="32"/>
          <w:szCs w:val="32"/>
        </w:rPr>
      </w:pPr>
    </w:p>
    <w:p>
      <w:pPr>
        <w:pStyle w:val="10"/>
        <w:spacing w:line="540" w:lineRule="exact"/>
        <w:jc w:val="center"/>
        <w:rPr>
          <w:sz w:val="56"/>
          <w:szCs w:val="56"/>
        </w:rPr>
      </w:pPr>
    </w:p>
    <w:p>
      <w:pPr>
        <w:pStyle w:val="10"/>
        <w:spacing w:line="500" w:lineRule="exact"/>
        <w:jc w:val="center"/>
        <w:rPr>
          <w:b/>
          <w:sz w:val="36"/>
          <w:szCs w:val="28"/>
        </w:rPr>
      </w:pPr>
    </w:p>
    <w:p>
      <w:pPr>
        <w:pStyle w:val="10"/>
        <w:spacing w:line="500" w:lineRule="exact"/>
        <w:jc w:val="center"/>
        <w:rPr>
          <w:b/>
          <w:sz w:val="36"/>
          <w:szCs w:val="28"/>
        </w:rPr>
      </w:pPr>
    </w:p>
    <w:p>
      <w:pPr>
        <w:pStyle w:val="10"/>
        <w:spacing w:line="500" w:lineRule="exact"/>
        <w:jc w:val="center"/>
        <w:rPr>
          <w:b/>
          <w:sz w:val="36"/>
          <w:szCs w:val="28"/>
        </w:rPr>
      </w:pPr>
      <w:r>
        <w:rPr>
          <w:rFonts w:hint="eastAsia"/>
          <w:b/>
          <w:sz w:val="36"/>
          <w:szCs w:val="28"/>
        </w:rPr>
        <w:t>目录</w:t>
      </w:r>
    </w:p>
    <w:p>
      <w:pPr>
        <w:pStyle w:val="10"/>
        <w:spacing w:line="500" w:lineRule="exact"/>
        <w:rPr>
          <w:rFonts w:ascii="仿宋_GB2312" w:hAnsi="仿宋_GB2312" w:cs="仿宋_GB2312"/>
          <w:b/>
          <w:sz w:val="28"/>
          <w:szCs w:val="28"/>
        </w:rPr>
      </w:pPr>
      <w:r>
        <w:rPr>
          <w:rFonts w:hint="eastAsia"/>
          <w:b/>
          <w:sz w:val="28"/>
          <w:szCs w:val="28"/>
        </w:rPr>
        <w:t>第一部分湘潭县司法局单位概况</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0"/>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w:t>
      </w:r>
      <w:r>
        <w:rPr>
          <w:rFonts w:hint="eastAsia" w:hAnsi="仿宋_GB2312"/>
          <w:b/>
          <w:sz w:val="28"/>
          <w:szCs w:val="28"/>
          <w:lang w:val="en-US" w:eastAsia="zh-CN"/>
        </w:rPr>
        <w:t>1</w:t>
      </w:r>
      <w:r>
        <w:rPr>
          <w:rFonts w:hint="eastAsia" w:hAnsi="仿宋_GB2312"/>
          <w:b/>
          <w:sz w:val="28"/>
          <w:szCs w:val="28"/>
        </w:rPr>
        <w:t>年度部门决算表</w:t>
      </w:r>
    </w:p>
    <w:p>
      <w:pPr>
        <w:spacing w:line="500" w:lineRule="exact"/>
        <w:ind w:firstLine="700" w:firstLineChars="250"/>
        <w:jc w:val="left"/>
        <w:rPr>
          <w:rFonts w:ascii="仿宋_GB2312" w:hAnsi="仿宋_GB2312" w:cs="仿宋_GB2312"/>
          <w:sz w:val="28"/>
          <w:szCs w:val="28"/>
        </w:rPr>
      </w:pPr>
      <w:r>
        <w:rPr>
          <w:rFonts w:hint="eastAsia" w:ascii="仿宋_GB2312" w:hAnsi="仿宋_GB2312" w:cs="仿宋_GB2312"/>
          <w:sz w:val="28"/>
          <w:szCs w:val="28"/>
        </w:rPr>
        <w:t>一、部门收支决算总表</w:t>
      </w:r>
    </w:p>
    <w:p>
      <w:pPr>
        <w:spacing w:line="500" w:lineRule="exact"/>
        <w:ind w:firstLine="700" w:firstLineChars="250"/>
        <w:jc w:val="left"/>
        <w:rPr>
          <w:rFonts w:ascii="仿宋_GB2312" w:hAnsi="仿宋_GB2312" w:cs="仿宋_GB2312"/>
          <w:sz w:val="28"/>
          <w:szCs w:val="28"/>
        </w:rPr>
      </w:pPr>
      <w:r>
        <w:rPr>
          <w:rFonts w:hint="eastAsia" w:ascii="仿宋_GB2312" w:hAnsi="仿宋_GB2312" w:cs="仿宋_GB2312"/>
          <w:sz w:val="28"/>
          <w:szCs w:val="28"/>
        </w:rPr>
        <w:t>二、部门收入决算表</w:t>
      </w:r>
    </w:p>
    <w:p>
      <w:pPr>
        <w:spacing w:line="500" w:lineRule="exact"/>
        <w:ind w:firstLine="700" w:firstLineChars="250"/>
        <w:jc w:val="left"/>
        <w:rPr>
          <w:rFonts w:ascii="仿宋_GB2312" w:hAnsi="仿宋_GB2312" w:cs="仿宋_GB2312"/>
          <w:sz w:val="28"/>
          <w:szCs w:val="28"/>
        </w:rPr>
      </w:pPr>
      <w:r>
        <w:rPr>
          <w:rFonts w:hint="eastAsia" w:ascii="仿宋_GB2312" w:hAnsi="仿宋_GB2312" w:cs="仿宋_GB2312"/>
          <w:sz w:val="28"/>
          <w:szCs w:val="28"/>
        </w:rPr>
        <w:t>三、部门支出决算表</w:t>
      </w:r>
    </w:p>
    <w:p>
      <w:pPr>
        <w:spacing w:line="500" w:lineRule="exact"/>
        <w:ind w:firstLine="700" w:firstLineChars="250"/>
        <w:jc w:val="left"/>
        <w:rPr>
          <w:rFonts w:ascii="仿宋_GB2312" w:hAnsi="仿宋_GB2312" w:cs="仿宋_GB2312"/>
          <w:sz w:val="28"/>
          <w:szCs w:val="28"/>
        </w:rPr>
      </w:pPr>
      <w:r>
        <w:rPr>
          <w:rFonts w:hint="eastAsia" w:ascii="仿宋_GB2312" w:hAnsi="仿宋_GB2312" w:cs="仿宋_GB2312"/>
          <w:sz w:val="28"/>
          <w:szCs w:val="28"/>
        </w:rPr>
        <w:t>四、财政拨款收支决算总表</w:t>
      </w:r>
    </w:p>
    <w:p>
      <w:pPr>
        <w:spacing w:line="500" w:lineRule="exact"/>
        <w:ind w:firstLine="700" w:firstLineChars="250"/>
        <w:jc w:val="left"/>
        <w:rPr>
          <w:rFonts w:ascii="仿宋_GB2312" w:hAnsi="仿宋_GB2312" w:cs="仿宋_GB2312"/>
          <w:sz w:val="28"/>
          <w:szCs w:val="28"/>
        </w:rPr>
      </w:pPr>
      <w:r>
        <w:rPr>
          <w:rFonts w:hint="eastAsia" w:ascii="仿宋_GB2312" w:hAnsi="仿宋_GB2312" w:cs="仿宋_GB2312"/>
          <w:sz w:val="28"/>
          <w:szCs w:val="28"/>
        </w:rPr>
        <w:t>五、一般公共预算财政拨款支出决算表</w:t>
      </w:r>
    </w:p>
    <w:p>
      <w:pPr>
        <w:spacing w:line="500" w:lineRule="exact"/>
        <w:ind w:firstLine="700" w:firstLineChars="250"/>
        <w:jc w:val="left"/>
        <w:rPr>
          <w:rFonts w:ascii="仿宋_GB2312" w:hAnsi="仿宋_GB2312" w:cs="仿宋_GB2312"/>
          <w:sz w:val="28"/>
          <w:szCs w:val="28"/>
        </w:rPr>
      </w:pPr>
      <w:r>
        <w:rPr>
          <w:rFonts w:hint="eastAsia" w:ascii="仿宋_GB2312" w:hAnsi="仿宋_GB2312" w:cs="仿宋_GB2312"/>
          <w:sz w:val="28"/>
          <w:szCs w:val="28"/>
        </w:rPr>
        <w:t>六、一般公共预算财政拨款基本支出决算表</w:t>
      </w:r>
    </w:p>
    <w:p>
      <w:pPr>
        <w:spacing w:line="500" w:lineRule="exact"/>
        <w:ind w:firstLine="700" w:firstLineChars="250"/>
        <w:jc w:val="left"/>
        <w:rPr>
          <w:rFonts w:ascii="仿宋_GB2312" w:hAnsi="仿宋_GB2312" w:cs="仿宋_GB2312"/>
          <w:sz w:val="28"/>
          <w:szCs w:val="28"/>
        </w:rPr>
      </w:pPr>
      <w:r>
        <w:rPr>
          <w:rFonts w:hint="eastAsia" w:ascii="仿宋_GB2312" w:hAnsi="仿宋_GB2312" w:cs="仿宋_GB2312"/>
          <w:sz w:val="28"/>
          <w:szCs w:val="28"/>
        </w:rPr>
        <w:t>七、一般公共预算财政拨款</w:t>
      </w:r>
      <w:r>
        <w:rPr>
          <w:rFonts w:ascii="仿宋_GB2312" w:hAnsi="仿宋_GB2312" w:cs="仿宋_GB2312"/>
          <w:sz w:val="28"/>
          <w:szCs w:val="28"/>
        </w:rPr>
        <w:t>“</w:t>
      </w:r>
      <w:r>
        <w:rPr>
          <w:rFonts w:hint="eastAsia" w:ascii="仿宋_GB2312" w:hAnsi="仿宋_GB2312" w:cs="仿宋_GB2312"/>
          <w:sz w:val="28"/>
          <w:szCs w:val="28"/>
        </w:rPr>
        <w:t>三公</w:t>
      </w:r>
      <w:r>
        <w:rPr>
          <w:rFonts w:ascii="仿宋_GB2312" w:hAnsi="仿宋_GB2312" w:cs="仿宋_GB2312"/>
          <w:sz w:val="28"/>
          <w:szCs w:val="28"/>
        </w:rPr>
        <w:t>”</w:t>
      </w:r>
      <w:r>
        <w:rPr>
          <w:rFonts w:hint="eastAsia" w:ascii="仿宋_GB2312" w:hAnsi="仿宋_GB2312" w:cs="仿宋_GB2312"/>
          <w:sz w:val="28"/>
          <w:szCs w:val="28"/>
        </w:rPr>
        <w:t>经费支出决算表</w:t>
      </w:r>
    </w:p>
    <w:p>
      <w:pPr>
        <w:spacing w:line="500" w:lineRule="exact"/>
        <w:ind w:firstLine="700" w:firstLineChars="250"/>
        <w:jc w:val="left"/>
        <w:rPr>
          <w:rFonts w:ascii="仿宋_GB2312" w:hAnsi="仿宋_GB2312" w:cs="仿宋_GB2312"/>
          <w:sz w:val="28"/>
          <w:szCs w:val="28"/>
        </w:rPr>
      </w:pPr>
      <w:r>
        <w:rPr>
          <w:rFonts w:hint="eastAsia" w:ascii="仿宋_GB2312" w:hAnsi="仿宋_GB2312" w:cs="仿宋_GB2312"/>
          <w:sz w:val="28"/>
          <w:szCs w:val="28"/>
        </w:rPr>
        <w:t>八、政府性基金预算财政拨款收入支出决算表</w:t>
      </w:r>
    </w:p>
    <w:p>
      <w:pPr>
        <w:spacing w:line="500" w:lineRule="exact"/>
        <w:ind w:firstLine="700" w:firstLineChars="250"/>
        <w:jc w:val="left"/>
        <w:rPr>
          <w:rFonts w:ascii="仿宋_GB2312" w:hAnsi="仿宋_GB2312" w:cs="仿宋_GB2312"/>
          <w:sz w:val="28"/>
          <w:szCs w:val="28"/>
        </w:rPr>
      </w:pPr>
      <w:r>
        <w:rPr>
          <w:rFonts w:hint="eastAsia" w:ascii="仿宋_GB2312" w:hAnsi="仿宋_GB2312" w:cs="仿宋_GB2312"/>
          <w:sz w:val="28"/>
          <w:szCs w:val="28"/>
        </w:rPr>
        <w:t>九、国有资本经营预算财政拨款支出决算表</w:t>
      </w:r>
    </w:p>
    <w:p>
      <w:pPr>
        <w:pStyle w:val="10"/>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w:t>
      </w:r>
      <w:r>
        <w:rPr>
          <w:rFonts w:hint="eastAsia" w:hAnsi="仿宋_GB2312"/>
          <w:b/>
          <w:sz w:val="28"/>
          <w:szCs w:val="28"/>
          <w:lang w:val="en-US" w:eastAsia="zh-CN"/>
        </w:rPr>
        <w:t>1</w:t>
      </w:r>
      <w:r>
        <w:rPr>
          <w:rFonts w:hint="eastAsia" w:hAnsi="仿宋_GB2312"/>
          <w:b/>
          <w:sz w:val="28"/>
          <w:szCs w:val="28"/>
        </w:rPr>
        <w:t>年度部门决算情况说明</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九、国有资本经营预算财政拨款支出决算情况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十、预算绩效情况说明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十一、其他重要事项情况说明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0"/>
        <w:jc w:val="center"/>
        <w:rPr>
          <w:sz w:val="84"/>
          <w:szCs w:val="84"/>
        </w:rPr>
      </w:pPr>
      <w:r>
        <w:rPr>
          <w:rFonts w:hint="eastAsia"/>
          <w:sz w:val="84"/>
          <w:szCs w:val="84"/>
        </w:rPr>
        <w:t>第一部分</w:t>
      </w:r>
    </w:p>
    <w:p>
      <w:pPr>
        <w:pStyle w:val="10"/>
        <w:jc w:val="center"/>
        <w:rPr>
          <w:sz w:val="84"/>
          <w:szCs w:val="84"/>
        </w:rPr>
      </w:pPr>
    </w:p>
    <w:p>
      <w:pPr>
        <w:pStyle w:val="10"/>
        <w:jc w:val="center"/>
        <w:rPr>
          <w:sz w:val="84"/>
          <w:szCs w:val="84"/>
        </w:rPr>
      </w:pPr>
      <w:r>
        <w:rPr>
          <w:rFonts w:hint="eastAsia"/>
          <w:sz w:val="84"/>
          <w:szCs w:val="84"/>
        </w:rPr>
        <w:t>湘潭县司法局概况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pStyle w:val="11"/>
        <w:ind w:left="720" w:firstLine="0" w:firstLineChars="0"/>
        <w:rPr>
          <w:rFonts w:ascii="仿宋_GB2312" w:hAnsi="仿宋_GB2312" w:eastAsia="仿宋_GB2312" w:cs="仿宋_GB2312"/>
          <w:sz w:val="32"/>
          <w:szCs w:val="32"/>
        </w:rPr>
      </w:pPr>
      <w:r>
        <w:rPr>
          <w:rFonts w:hint="eastAsia" w:asciiTheme="minorEastAsia" w:hAnsiTheme="minorEastAsia"/>
          <w:sz w:val="32"/>
          <w:szCs w:val="32"/>
        </w:rPr>
        <w:t>（一）</w:t>
      </w:r>
      <w:r>
        <w:rPr>
          <w:rFonts w:hint="eastAsia" w:ascii="仿宋_GB2312" w:hAnsi="仿宋_GB2312" w:eastAsia="仿宋_GB2312" w:cs="仿宋_GB2312"/>
          <w:sz w:val="32"/>
          <w:szCs w:val="32"/>
        </w:rPr>
        <w:t>主要职能</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湘潭县司法局2019年4月根据《中共湘潭县委办公室 湘潭县人民政府办公室关于印发&lt;湘潭县机构改革实施方案&gt;的通知》（潭县办发[2019]1号）和《中共湘潭县委 湘潭县人民政府关于湘潭县人民政府机构设置的通知》（潭县发[2019]32号）等文件精神，将原司法局与原政府法制办合并，重新组建了新的司法局，为县人民政府工作部门，县</w:t>
      </w:r>
      <w:r>
        <w:rPr>
          <w:rFonts w:hint="eastAsia" w:ascii="宋体" w:hAnsi="宋体" w:eastAsia="宋体" w:cs="宋体"/>
          <w:sz w:val="32"/>
          <w:szCs w:val="32"/>
        </w:rPr>
        <w:t>属</w:t>
      </w:r>
      <w:r>
        <w:rPr>
          <w:rFonts w:hint="eastAsia" w:ascii="仿宋_GB2312" w:hAnsi="仿宋_GB2312" w:eastAsia="仿宋_GB2312" w:cs="仿宋_GB2312"/>
          <w:sz w:val="32"/>
          <w:szCs w:val="32"/>
        </w:rPr>
        <w:t>正科级单位。</w:t>
      </w:r>
    </w:p>
    <w:p>
      <w:pPr>
        <w:ind w:firstLine="800" w:firstLineChars="250"/>
        <w:jc w:val="left"/>
        <w:rPr>
          <w:rFonts w:asciiTheme="minorEastAsia" w:hAnsiTheme="minorEastAsia"/>
          <w:sz w:val="32"/>
          <w:szCs w:val="32"/>
        </w:rPr>
      </w:pPr>
      <w:r>
        <w:rPr>
          <w:rFonts w:hint="eastAsia" w:asciiTheme="minorEastAsia" w:hAnsiTheme="minorEastAsia"/>
          <w:sz w:val="32"/>
          <w:szCs w:val="32"/>
        </w:rPr>
        <w:t>（二）</w:t>
      </w:r>
      <w:r>
        <w:rPr>
          <w:rFonts w:hint="eastAsia" w:ascii="仿宋_GB2312" w:hAnsi="仿宋_GB2312" w:eastAsia="仿宋_GB2312" w:cs="仿宋_GB2312"/>
          <w:sz w:val="32"/>
          <w:szCs w:val="32"/>
        </w:rPr>
        <w:t>工作主要职责：</w:t>
      </w:r>
    </w:p>
    <w:p>
      <w:pPr>
        <w:ind w:firstLine="640" w:firstLineChars="200"/>
        <w:rPr>
          <w:rFonts w:ascii="仿宋_GB2312" w:hAnsi="仿宋_GB2312" w:eastAsia="仿宋_GB2312" w:cs="仿宋_GB2312"/>
          <w:sz w:val="32"/>
          <w:szCs w:val="32"/>
        </w:rPr>
      </w:pPr>
      <w:r>
        <w:rPr>
          <w:rFonts w:hint="eastAsia" w:ascii="Calibri" w:hAnsi="Calibri" w:eastAsia="仿宋_GB2312" w:cs="Calibri"/>
          <w:sz w:val="32"/>
          <w:szCs w:val="32"/>
        </w:rPr>
        <w:t>1）</w:t>
      </w:r>
      <w:r>
        <w:rPr>
          <w:rFonts w:hint="eastAsia" w:ascii="仿宋_GB2312" w:hAnsi="仿宋_GB2312" w:eastAsia="仿宋_GB2312" w:cs="仿宋_GB2312"/>
          <w:sz w:val="32"/>
          <w:szCs w:val="32"/>
        </w:rPr>
        <w:t>承担全面依法治县重大问题的政策研究，协调有关方面提出全面依法治县中长期规划建议，负责有关重大政策部署督察工作。负责开展依法治县和法治政府建设考核工作。</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2）贯彻执行国家、省、市有关司法行政的方针、政策和法律法规；拟定全县司法行政工作发展中、长期规划和年度计划并监督实施。</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负责指导全县规范性文件管理有关工作，承担县政府和县政府办公室规范性文件送审稿的合法性审查工作。承办县政府及其部门规范性的登记工作。受理有关规范性文件违法的审查申请。负责县政府部门、乡镇规范性文件备案审查工作和县政府规范性文件的报备工作。组织开展规范性文件清理工作。承担县政府法律顾问工作，负责对县政府重大行政决策进行合法性审查或认证说明。</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承担统筹推进法治政府建设的责任。指导、监督县政府各部门、乡镇政府依法行政工作。负责综合协调行政执法、承担推进行政执法体制改革有关工作，推进严格规范公正文明执法。指导、监督全县行政复议和行政应诉工作，负责县政府和本系统行政复议和行政应诉案件办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5）督促指导县直有关单位规范政府合同管理，负责县政府重大投资项目合同的起草或审核。</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承担统筹规划全县法治社会建设的责任。负责拟订法治宣传教育规划，组织实施普法宣传工作，组织对外法制宣传。组织县政府常务会议学法活动。推动人民参与和促进法治建设。指导依法治理和法治创建工作。指导监督人民调解工作和人民陪审员、人民监督员选任管理工作，推进司法所建设。</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7）指导管理全县社区矫正工作；指导全县刑满释放人员的安置帮教工作。</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8）负责拟订公共法律服务体系建设规划并指导实施，统筹和布局城乡、区域法律服务资源。指导、监督、管理律师、法律援助、司法鉴定、公证、仲裁和基层法律服务工作。</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9）负责全县法治对外合作工作。组织开展法治对外合作交流。</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10）负责本系统服装和警车管理工作，指导、监督本系统财务、装备、设施、场所等保障工作。</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11）规划、协调、指导法治人才队伍建设相关工作。指导、监督本系统队伍建设。</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12）完成县委、县人民政府交办的其他事项。</w:t>
      </w:r>
    </w:p>
    <w:p>
      <w:pPr>
        <w:ind w:firstLine="640" w:firstLineChars="200"/>
        <w:rPr>
          <w:rFonts w:ascii="仿宋_GB2312" w:hAnsi="仿宋_GB2312" w:eastAsia="仿宋_GB2312" w:cs="仿宋_GB2312"/>
          <w:sz w:val="32"/>
          <w:szCs w:val="32"/>
        </w:rPr>
      </w:pPr>
      <w:r>
        <w:rPr>
          <w:rFonts w:hint="eastAsia" w:ascii="黑体" w:hAnsi="黑体" w:eastAsia="黑体"/>
          <w:bCs/>
          <w:kern w:val="0"/>
          <w:sz w:val="32"/>
          <w:szCs w:val="32"/>
        </w:rPr>
        <w:t>二、机构设置及决算单位构成</w:t>
      </w:r>
    </w:p>
    <w:p>
      <w:pPr>
        <w:snapToGrid w:val="0"/>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（一）内设机构设置。</w:t>
      </w:r>
    </w:p>
    <w:p>
      <w:pPr>
        <w:snapToGrid w:val="0"/>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三定方案”，我局机关设办公室、法治调研与督察股、社区矫正管理股（县社区矫正管理局）、行政复议与应诉股、行政执法协调监督股（审批服务股）、规范性文件与合同审查管理股（县政府合同审查管理处）、普法与依法治理股、人民参与促进法治股（人民陪审员和人民监督员选任管理办公室）、公共法律服务管理股、律师公证司法鉴定管理股、装备财务保障股、政治部、机关党委（党建办）13个内设机构，派驻乡镇17个司法所，2个二级机构：湘潭县人民政府法律顾问工作室、湘潭县公证处。</w:t>
      </w:r>
    </w:p>
    <w:p>
      <w:pPr>
        <w:snapToGrid w:val="0"/>
        <w:spacing w:line="520" w:lineRule="exact"/>
        <w:ind w:firstLine="640" w:firstLineChars="200"/>
        <w:rPr>
          <w:rFonts w:ascii="仿宋_GB2312" w:hAnsi="仿宋_GB2312" w:eastAsia="仿宋_GB2312" w:cs="仿宋_GB2312"/>
          <w:sz w:val="32"/>
          <w:szCs w:val="32"/>
        </w:rPr>
      </w:pPr>
      <w:r>
        <w:rPr>
          <w:rFonts w:hint="eastAsia" w:ascii="仿宋" w:hAnsi="仿宋" w:eastAsia="仿宋"/>
          <w:bCs/>
          <w:kern w:val="0"/>
          <w:sz w:val="32"/>
          <w:szCs w:val="32"/>
        </w:rPr>
        <w:t>（二）人员情况。</w:t>
      </w:r>
    </w:p>
    <w:p>
      <w:pPr>
        <w:snapToGrid w:val="0"/>
        <w:spacing w:line="520" w:lineRule="exact"/>
        <w:ind w:firstLine="640" w:firstLineChars="200"/>
        <w:rPr>
          <w:rFonts w:ascii="仿宋" w:hAnsi="仿宋" w:eastAsia="仿宋"/>
          <w:bCs/>
          <w:kern w:val="0"/>
          <w:sz w:val="32"/>
          <w:szCs w:val="32"/>
        </w:rPr>
      </w:pPr>
      <w:r>
        <w:rPr>
          <w:rFonts w:hint="eastAsia" w:ascii="仿宋_GB2312" w:hAnsi="仿宋_GB2312" w:eastAsia="仿宋_GB2312" w:cs="仿宋_GB2312"/>
          <w:sz w:val="32"/>
          <w:szCs w:val="32"/>
        </w:rPr>
        <w:t>全局共有人员编制数101个（政法专项编制84个，事业专项编制6个，事业工勤编制11个），截止202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年12月31日，实有89人（政法专项编制74人，事业专项人员4人，事业工勤人员11人）。离退休人员26人，其中遗属补助人员5人。</w:t>
      </w:r>
    </w:p>
    <w:p>
      <w:pPr>
        <w:widowControl/>
        <w:spacing w:line="600" w:lineRule="exact"/>
        <w:ind w:firstLine="640" w:firstLineChars="200"/>
        <w:rPr>
          <w:rFonts w:ascii="仿宋" w:hAnsi="仿宋" w:eastAsia="仿宋"/>
          <w:bCs/>
          <w:kern w:val="0"/>
          <w:sz w:val="32"/>
          <w:szCs w:val="32"/>
        </w:rPr>
      </w:pPr>
      <w:r>
        <w:rPr>
          <w:rFonts w:hint="eastAsia" w:ascii="仿宋" w:hAnsi="仿宋" w:eastAsia="仿宋"/>
          <w:bCs/>
          <w:kern w:val="0"/>
          <w:sz w:val="32"/>
          <w:szCs w:val="32"/>
        </w:rPr>
        <w:t>（三）决算单位构成。</w:t>
      </w:r>
    </w:p>
    <w:p>
      <w:pPr>
        <w:widowControl/>
        <w:spacing w:line="600" w:lineRule="exact"/>
        <w:ind w:firstLine="640" w:firstLineChars="200"/>
        <w:rPr>
          <w:rFonts w:asciiTheme="minorEastAsia" w:hAnsiTheme="minorEastAsia"/>
          <w:bCs/>
          <w:kern w:val="0"/>
          <w:sz w:val="32"/>
          <w:szCs w:val="32"/>
        </w:rPr>
      </w:pPr>
      <w:r>
        <w:rPr>
          <w:rFonts w:hint="eastAsia" w:ascii="仿宋" w:hAnsi="仿宋" w:eastAsia="仿宋"/>
          <w:bCs/>
          <w:kern w:val="0"/>
          <w:sz w:val="32"/>
          <w:szCs w:val="32"/>
        </w:rPr>
        <w:t>湘潭县司法局单位</w:t>
      </w:r>
      <w:r>
        <w:rPr>
          <w:rFonts w:ascii="仿宋" w:hAnsi="仿宋" w:eastAsia="仿宋"/>
          <w:bCs/>
          <w:kern w:val="0"/>
          <w:sz w:val="32"/>
          <w:szCs w:val="32"/>
        </w:rPr>
        <w:t>20</w:t>
      </w:r>
      <w:r>
        <w:rPr>
          <w:rFonts w:hint="eastAsia" w:ascii="仿宋" w:hAnsi="仿宋" w:eastAsia="仿宋"/>
          <w:bCs/>
          <w:kern w:val="0"/>
          <w:sz w:val="32"/>
          <w:szCs w:val="32"/>
        </w:rPr>
        <w:t>21年部门决算汇总公开单位构成包括：</w:t>
      </w:r>
      <w:r>
        <w:rPr>
          <w:rFonts w:hint="eastAsia" w:ascii="仿宋_GB2312" w:hAnsi="仿宋_GB2312" w:eastAsia="仿宋_GB2312" w:cs="仿宋_GB2312"/>
          <w:sz w:val="32"/>
          <w:szCs w:val="32"/>
        </w:rPr>
        <w:t>司法局13个内设机构和法律顾问工作室及17个基层司法所，不包括公证处。</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6"/>
        <w:tblW w:w="14081" w:type="dxa"/>
        <w:tblInd w:w="93" w:type="dxa"/>
        <w:tblLayout w:type="fixed"/>
        <w:tblCellMar>
          <w:top w:w="0" w:type="dxa"/>
          <w:left w:w="108" w:type="dxa"/>
          <w:bottom w:w="0" w:type="dxa"/>
          <w:right w:w="108" w:type="dxa"/>
        </w:tblCellMar>
      </w:tblPr>
      <w:tblGrid>
        <w:gridCol w:w="4124"/>
        <w:gridCol w:w="448"/>
        <w:gridCol w:w="631"/>
        <w:gridCol w:w="599"/>
        <w:gridCol w:w="98"/>
        <w:gridCol w:w="236"/>
        <w:gridCol w:w="3467"/>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部门支出决算总表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部门：湘潭县司法局</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2"/>
              </w:rPr>
            </w:pPr>
            <w:r>
              <w:rPr>
                <w:rFonts w:hint="eastAsia" w:ascii="宋体" w:hAnsi="宋体" w:eastAsia="宋体" w:cs="宋体"/>
                <w:kern w:val="0"/>
                <w:sz w:val="22"/>
              </w:rPr>
              <w:t>1637.32</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ind w:firstLine="1320" w:firstLineChars="600"/>
              <w:rPr>
                <w:rFonts w:ascii="宋体" w:hAnsi="宋体" w:eastAsia="宋体" w:cs="宋体"/>
                <w:kern w:val="0"/>
                <w:sz w:val="22"/>
              </w:rPr>
            </w:pPr>
            <w:r>
              <w:rPr>
                <w:rFonts w:hint="eastAsia" w:ascii="宋体" w:hAnsi="宋体" w:eastAsia="宋体" w:cs="宋体"/>
                <w:kern w:val="0"/>
                <w:sz w:val="22"/>
              </w:rPr>
              <w:t>1715.68</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78.36</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1715.68</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1715.68</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93.06</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93.06</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1808.74</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1808.74</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shd w:val="clear" w:color="auto" w:fill="auto"/>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rPr>
              <w:t>注：1.本表反映部门本年度的总收支和年末结转结余情况。</w:t>
            </w:r>
          </w:p>
          <w:p>
            <w:pPr>
              <w:widowControl/>
              <w:jc w:val="left"/>
              <w:rPr>
                <w:rFonts w:ascii="宋体" w:hAnsi="宋体" w:eastAsia="宋体" w:cs="宋体"/>
                <w:kern w:val="0"/>
                <w:sz w:val="24"/>
                <w:szCs w:val="24"/>
              </w:rPr>
            </w:pP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15697" w:type="dxa"/>
        <w:tblInd w:w="-269" w:type="dxa"/>
        <w:tblLayout w:type="fixed"/>
        <w:tblCellMar>
          <w:top w:w="0" w:type="dxa"/>
          <w:left w:w="0" w:type="dxa"/>
          <w:bottom w:w="0" w:type="dxa"/>
          <w:right w:w="0" w:type="dxa"/>
        </w:tblCellMar>
      </w:tblPr>
      <w:tblGrid>
        <w:gridCol w:w="635"/>
        <w:gridCol w:w="338"/>
        <w:gridCol w:w="2287"/>
        <w:gridCol w:w="1753"/>
        <w:gridCol w:w="2466"/>
        <w:gridCol w:w="2209"/>
        <w:gridCol w:w="1836"/>
        <w:gridCol w:w="1409"/>
        <w:gridCol w:w="1096"/>
        <w:gridCol w:w="1668"/>
      </w:tblGrid>
      <w:tr>
        <w:tblPrEx>
          <w:tblCellMar>
            <w:top w:w="0" w:type="dxa"/>
            <w:left w:w="0" w:type="dxa"/>
            <w:bottom w:w="0" w:type="dxa"/>
            <w:right w:w="0" w:type="dxa"/>
          </w:tblCellMar>
        </w:tblPrEx>
        <w:trPr>
          <w:trHeight w:val="435" w:hRule="atLeast"/>
        </w:trPr>
        <w:tc>
          <w:tcPr>
            <w:tcW w:w="15697" w:type="dxa"/>
            <w:gridSpan w:val="10"/>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部门收入决算表</w:t>
            </w:r>
          </w:p>
        </w:tc>
      </w:tr>
      <w:tr>
        <w:tblPrEx>
          <w:tblCellMar>
            <w:top w:w="0" w:type="dxa"/>
            <w:left w:w="0" w:type="dxa"/>
            <w:bottom w:w="0" w:type="dxa"/>
            <w:right w:w="0" w:type="dxa"/>
          </w:tblCellMar>
        </w:tblPrEx>
        <w:trPr>
          <w:trHeight w:val="285" w:hRule="atLeast"/>
        </w:trPr>
        <w:tc>
          <w:tcPr>
            <w:tcW w:w="63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33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28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5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46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20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3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0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9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6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973"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p>
        </w:tc>
        <w:tc>
          <w:tcPr>
            <w:tcW w:w="2287" w:type="dxa"/>
            <w:tcBorders>
              <w:top w:val="nil"/>
              <w:left w:val="nil"/>
              <w:bottom w:val="nil"/>
              <w:right w:val="nil"/>
            </w:tcBorders>
            <w:shd w:val="clear" w:color="000000" w:fill="FFFFFF"/>
            <w:noWrap/>
            <w:tcMar>
              <w:top w:w="15" w:type="dxa"/>
              <w:left w:w="15" w:type="dxa"/>
              <w:bottom w:w="0" w:type="dxa"/>
              <w:right w:w="15" w:type="dxa"/>
            </w:tcMar>
            <w:vAlign w:val="center"/>
          </w:tcPr>
          <w:p>
            <w:pPr>
              <w:jc w:val="left"/>
              <w:rPr>
                <w:rFonts w:ascii="宋体" w:hAnsi="宋体" w:eastAsia="宋体" w:cs="宋体"/>
                <w:sz w:val="24"/>
                <w:szCs w:val="24"/>
              </w:rPr>
            </w:pPr>
            <w:r>
              <w:rPr>
                <w:rFonts w:hint="eastAsia"/>
              </w:rPr>
              <w:t>湘潭县司法局　</w:t>
            </w:r>
          </w:p>
        </w:tc>
        <w:tc>
          <w:tcPr>
            <w:tcW w:w="175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46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209"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183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0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9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6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3260"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项目</w:t>
            </w:r>
          </w:p>
        </w:tc>
        <w:tc>
          <w:tcPr>
            <w:tcW w:w="175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2466"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220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83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40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09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166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973"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2287"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宋体" w:hAnsi="宋体" w:eastAsia="宋体" w:cs="宋体"/>
                <w:sz w:val="24"/>
                <w:szCs w:val="24"/>
              </w:rPr>
            </w:pPr>
            <w:r>
              <w:rPr>
                <w:rFonts w:hint="eastAsia"/>
              </w:rPr>
              <w:t>科目名称</w:t>
            </w:r>
          </w:p>
        </w:tc>
        <w:tc>
          <w:tcPr>
            <w:tcW w:w="175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46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20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3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0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09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66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973"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287" w:type="dxa"/>
            <w:vMerge w:val="continue"/>
            <w:tcBorders>
              <w:top w:val="nil"/>
              <w:left w:val="single" w:color="auto" w:sz="4" w:space="0"/>
              <w:bottom w:val="single" w:color="auto" w:sz="4" w:space="0"/>
              <w:right w:val="single" w:color="auto" w:sz="4" w:space="0"/>
            </w:tcBorders>
            <w:vAlign w:val="center"/>
          </w:tcPr>
          <w:p>
            <w:pPr>
              <w:jc w:val="left"/>
              <w:rPr>
                <w:rFonts w:ascii="宋体" w:hAnsi="宋体" w:eastAsia="宋体" w:cs="宋体"/>
                <w:sz w:val="24"/>
                <w:szCs w:val="24"/>
              </w:rPr>
            </w:pPr>
          </w:p>
        </w:tc>
        <w:tc>
          <w:tcPr>
            <w:tcW w:w="175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46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20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3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0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09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66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326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175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246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220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183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140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109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166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trPr>
        <w:tc>
          <w:tcPr>
            <w:tcW w:w="326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17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pPr>
            <w:r>
              <w:rPr>
                <w:rFonts w:hint="eastAsia"/>
              </w:rPr>
              <w:t>1715.68</w:t>
            </w:r>
          </w:p>
        </w:tc>
        <w:tc>
          <w:tcPr>
            <w:tcW w:w="24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pPr>
            <w:r>
              <w:rPr>
                <w:rFonts w:hint="eastAsia"/>
              </w:rPr>
              <w:t>1637.32</w:t>
            </w:r>
          </w:p>
        </w:tc>
        <w:tc>
          <w:tcPr>
            <w:tcW w:w="22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78.36</w:t>
            </w:r>
          </w:p>
        </w:tc>
      </w:tr>
      <w:tr>
        <w:tblPrEx>
          <w:tblCellMar>
            <w:top w:w="0" w:type="dxa"/>
            <w:left w:w="0" w:type="dxa"/>
            <w:bottom w:w="0" w:type="dxa"/>
            <w:right w:w="0" w:type="dxa"/>
          </w:tblCellMar>
        </w:tblPrEx>
        <w:trPr>
          <w:trHeight w:val="450" w:hRule="atLeast"/>
        </w:trPr>
        <w:tc>
          <w:tcPr>
            <w:tcW w:w="97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204</w:t>
            </w:r>
          </w:p>
        </w:tc>
        <w:tc>
          <w:tcPr>
            <w:tcW w:w="228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公共安全支出</w:t>
            </w:r>
          </w:p>
        </w:tc>
        <w:tc>
          <w:tcPr>
            <w:tcW w:w="17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pPr>
            <w:r>
              <w:rPr>
                <w:rFonts w:hint="eastAsia"/>
              </w:rPr>
              <w:t>1715.68</w:t>
            </w:r>
          </w:p>
        </w:tc>
        <w:tc>
          <w:tcPr>
            <w:tcW w:w="24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pPr>
            <w:r>
              <w:rPr>
                <w:rFonts w:hint="eastAsia"/>
              </w:rPr>
              <w:t>1637.32</w:t>
            </w:r>
          </w:p>
        </w:tc>
        <w:tc>
          <w:tcPr>
            <w:tcW w:w="22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78.36</w:t>
            </w:r>
          </w:p>
        </w:tc>
      </w:tr>
      <w:tr>
        <w:tblPrEx>
          <w:tblCellMar>
            <w:top w:w="0" w:type="dxa"/>
            <w:left w:w="0" w:type="dxa"/>
            <w:bottom w:w="0" w:type="dxa"/>
            <w:right w:w="0" w:type="dxa"/>
          </w:tblCellMar>
        </w:tblPrEx>
        <w:trPr>
          <w:trHeight w:val="523" w:hRule="atLeast"/>
        </w:trPr>
        <w:tc>
          <w:tcPr>
            <w:tcW w:w="97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20406</w:t>
            </w:r>
          </w:p>
        </w:tc>
        <w:tc>
          <w:tcPr>
            <w:tcW w:w="228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司法</w:t>
            </w:r>
          </w:p>
        </w:tc>
        <w:tc>
          <w:tcPr>
            <w:tcW w:w="17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pPr>
            <w:r>
              <w:rPr>
                <w:rFonts w:hint="eastAsia"/>
              </w:rPr>
              <w:t>1715.68</w:t>
            </w:r>
          </w:p>
        </w:tc>
        <w:tc>
          <w:tcPr>
            <w:tcW w:w="24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pPr>
            <w:r>
              <w:rPr>
                <w:rFonts w:hint="eastAsia"/>
              </w:rPr>
              <w:t>1637.32</w:t>
            </w:r>
          </w:p>
        </w:tc>
        <w:tc>
          <w:tcPr>
            <w:tcW w:w="22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78.36</w:t>
            </w:r>
          </w:p>
        </w:tc>
      </w:tr>
      <w:tr>
        <w:tblPrEx>
          <w:tblCellMar>
            <w:top w:w="0" w:type="dxa"/>
            <w:left w:w="0" w:type="dxa"/>
            <w:bottom w:w="0" w:type="dxa"/>
            <w:right w:w="0" w:type="dxa"/>
          </w:tblCellMar>
        </w:tblPrEx>
        <w:trPr>
          <w:trHeight w:val="450" w:hRule="atLeast"/>
        </w:trPr>
        <w:tc>
          <w:tcPr>
            <w:tcW w:w="97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2040601</w:t>
            </w:r>
          </w:p>
        </w:tc>
        <w:tc>
          <w:tcPr>
            <w:tcW w:w="228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行政运行</w:t>
            </w:r>
          </w:p>
        </w:tc>
        <w:tc>
          <w:tcPr>
            <w:tcW w:w="17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1423.21</w:t>
            </w:r>
          </w:p>
        </w:tc>
        <w:tc>
          <w:tcPr>
            <w:tcW w:w="24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1344.85</w:t>
            </w:r>
          </w:p>
        </w:tc>
        <w:tc>
          <w:tcPr>
            <w:tcW w:w="22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78.36</w:t>
            </w:r>
          </w:p>
        </w:tc>
      </w:tr>
      <w:tr>
        <w:tblPrEx>
          <w:tblCellMar>
            <w:top w:w="0" w:type="dxa"/>
            <w:left w:w="0" w:type="dxa"/>
            <w:bottom w:w="0" w:type="dxa"/>
            <w:right w:w="0" w:type="dxa"/>
          </w:tblCellMar>
        </w:tblPrEx>
        <w:trPr>
          <w:trHeight w:val="450" w:hRule="atLeast"/>
        </w:trPr>
        <w:tc>
          <w:tcPr>
            <w:tcW w:w="97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2040602</w:t>
            </w:r>
          </w:p>
        </w:tc>
        <w:tc>
          <w:tcPr>
            <w:tcW w:w="228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一般行政管理事务</w:t>
            </w:r>
          </w:p>
        </w:tc>
        <w:tc>
          <w:tcPr>
            <w:tcW w:w="17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55.41</w:t>
            </w:r>
          </w:p>
        </w:tc>
        <w:tc>
          <w:tcPr>
            <w:tcW w:w="24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55.41</w:t>
            </w:r>
          </w:p>
        </w:tc>
        <w:tc>
          <w:tcPr>
            <w:tcW w:w="22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97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pPr>
            <w:r>
              <w:rPr>
                <w:rFonts w:hint="eastAsia"/>
              </w:rPr>
              <w:t>2040603</w:t>
            </w:r>
          </w:p>
        </w:tc>
        <w:tc>
          <w:tcPr>
            <w:tcW w:w="228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pPr>
            <w:r>
              <w:rPr>
                <w:rFonts w:hint="eastAsia"/>
              </w:rPr>
              <w:t>机关服务</w:t>
            </w:r>
          </w:p>
        </w:tc>
        <w:tc>
          <w:tcPr>
            <w:tcW w:w="17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pPr>
            <w:r>
              <w:rPr>
                <w:rFonts w:hint="eastAsia"/>
              </w:rPr>
              <w:t>18.65</w:t>
            </w:r>
          </w:p>
        </w:tc>
        <w:tc>
          <w:tcPr>
            <w:tcW w:w="24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pPr>
            <w:r>
              <w:rPr>
                <w:rFonts w:hint="eastAsia"/>
              </w:rPr>
              <w:t>18.65</w:t>
            </w:r>
          </w:p>
        </w:tc>
        <w:tc>
          <w:tcPr>
            <w:tcW w:w="22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8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4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6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97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2040604</w:t>
            </w:r>
          </w:p>
        </w:tc>
        <w:tc>
          <w:tcPr>
            <w:tcW w:w="228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基层司法业务</w:t>
            </w:r>
          </w:p>
        </w:tc>
        <w:tc>
          <w:tcPr>
            <w:tcW w:w="17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46.79</w:t>
            </w:r>
          </w:p>
        </w:tc>
        <w:tc>
          <w:tcPr>
            <w:tcW w:w="24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46.79</w:t>
            </w:r>
          </w:p>
        </w:tc>
        <w:tc>
          <w:tcPr>
            <w:tcW w:w="22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97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2040605</w:t>
            </w:r>
          </w:p>
        </w:tc>
        <w:tc>
          <w:tcPr>
            <w:tcW w:w="228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普法宣传</w:t>
            </w:r>
          </w:p>
        </w:tc>
        <w:tc>
          <w:tcPr>
            <w:tcW w:w="17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pPr>
            <w:r>
              <w:rPr>
                <w:rFonts w:hint="eastAsia"/>
              </w:rPr>
              <w:t>32.04</w:t>
            </w:r>
          </w:p>
        </w:tc>
        <w:tc>
          <w:tcPr>
            <w:tcW w:w="24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32.04</w:t>
            </w:r>
          </w:p>
        </w:tc>
        <w:tc>
          <w:tcPr>
            <w:tcW w:w="22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97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pPr>
            <w:r>
              <w:rPr>
                <w:rFonts w:hint="eastAsia"/>
              </w:rPr>
              <w:t>2040607</w:t>
            </w:r>
          </w:p>
        </w:tc>
        <w:tc>
          <w:tcPr>
            <w:tcW w:w="228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pPr>
            <w:r>
              <w:rPr>
                <w:rFonts w:hint="eastAsia"/>
              </w:rPr>
              <w:t>公共法律服务</w:t>
            </w:r>
          </w:p>
        </w:tc>
        <w:tc>
          <w:tcPr>
            <w:tcW w:w="17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pPr>
            <w:r>
              <w:rPr>
                <w:rFonts w:hint="eastAsia"/>
              </w:rPr>
              <w:t>41.34</w:t>
            </w:r>
          </w:p>
        </w:tc>
        <w:tc>
          <w:tcPr>
            <w:tcW w:w="24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pPr>
            <w:r>
              <w:rPr>
                <w:rFonts w:hint="eastAsia"/>
              </w:rPr>
              <w:t>41.34</w:t>
            </w:r>
          </w:p>
        </w:tc>
        <w:tc>
          <w:tcPr>
            <w:tcW w:w="22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8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4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6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97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pPr>
            <w:r>
              <w:rPr>
                <w:rFonts w:hint="eastAsia"/>
              </w:rPr>
              <w:t>2040610</w:t>
            </w:r>
          </w:p>
        </w:tc>
        <w:tc>
          <w:tcPr>
            <w:tcW w:w="228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pPr>
            <w:r>
              <w:rPr>
                <w:rFonts w:hint="eastAsia"/>
              </w:rPr>
              <w:t>社区矫正</w:t>
            </w:r>
          </w:p>
        </w:tc>
        <w:tc>
          <w:tcPr>
            <w:tcW w:w="17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pPr>
            <w:r>
              <w:rPr>
                <w:rFonts w:hint="eastAsia"/>
              </w:rPr>
              <w:t>53.53</w:t>
            </w:r>
          </w:p>
        </w:tc>
        <w:tc>
          <w:tcPr>
            <w:tcW w:w="24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pPr>
            <w:r>
              <w:rPr>
                <w:rFonts w:hint="eastAsia"/>
              </w:rPr>
              <w:t>53.53</w:t>
            </w:r>
          </w:p>
        </w:tc>
        <w:tc>
          <w:tcPr>
            <w:tcW w:w="22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8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4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6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97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pPr>
            <w:r>
              <w:rPr>
                <w:rFonts w:hint="eastAsia"/>
              </w:rPr>
              <w:t>2040612</w:t>
            </w:r>
          </w:p>
        </w:tc>
        <w:tc>
          <w:tcPr>
            <w:tcW w:w="228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pPr>
            <w:r>
              <w:rPr>
                <w:rFonts w:hint="eastAsia"/>
              </w:rPr>
              <w:t>法制建设</w:t>
            </w:r>
          </w:p>
        </w:tc>
        <w:tc>
          <w:tcPr>
            <w:tcW w:w="17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pPr>
            <w:r>
              <w:rPr>
                <w:rFonts w:hint="eastAsia"/>
              </w:rPr>
              <w:t>39.29</w:t>
            </w:r>
          </w:p>
        </w:tc>
        <w:tc>
          <w:tcPr>
            <w:tcW w:w="24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pPr>
            <w:r>
              <w:rPr>
                <w:rFonts w:hint="eastAsia"/>
              </w:rPr>
              <w:t>39.29</w:t>
            </w:r>
          </w:p>
        </w:tc>
        <w:tc>
          <w:tcPr>
            <w:tcW w:w="22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8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4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6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97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pPr>
            <w:r>
              <w:rPr>
                <w:rFonts w:hint="eastAsia"/>
              </w:rPr>
              <w:t>2040699</w:t>
            </w:r>
          </w:p>
        </w:tc>
        <w:tc>
          <w:tcPr>
            <w:tcW w:w="228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pPr>
            <w:r>
              <w:rPr>
                <w:rFonts w:hint="eastAsia"/>
              </w:rPr>
              <w:t>其他司法支出</w:t>
            </w:r>
          </w:p>
        </w:tc>
        <w:tc>
          <w:tcPr>
            <w:tcW w:w="175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pPr>
            <w:r>
              <w:rPr>
                <w:rFonts w:hint="eastAsia"/>
              </w:rPr>
              <w:t>5.42</w:t>
            </w:r>
          </w:p>
        </w:tc>
        <w:tc>
          <w:tcPr>
            <w:tcW w:w="24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pPr>
            <w:r>
              <w:rPr>
                <w:rFonts w:hint="eastAsia"/>
              </w:rPr>
              <w:t>5.42</w:t>
            </w:r>
          </w:p>
        </w:tc>
        <w:tc>
          <w:tcPr>
            <w:tcW w:w="22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8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4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6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615" w:hRule="atLeast"/>
        </w:trPr>
        <w:tc>
          <w:tcPr>
            <w:tcW w:w="15697"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6"/>
        <w:tblW w:w="13387" w:type="dxa"/>
        <w:tblInd w:w="93" w:type="dxa"/>
        <w:tblLayout w:type="fixed"/>
        <w:tblCellMar>
          <w:top w:w="0" w:type="dxa"/>
          <w:left w:w="108" w:type="dxa"/>
          <w:bottom w:w="0" w:type="dxa"/>
          <w:right w:w="108" w:type="dxa"/>
        </w:tblCellMar>
      </w:tblPr>
      <w:tblGrid>
        <w:gridCol w:w="1042"/>
        <w:gridCol w:w="426"/>
        <w:gridCol w:w="1249"/>
        <w:gridCol w:w="1646"/>
        <w:gridCol w:w="1679"/>
        <w:gridCol w:w="1679"/>
        <w:gridCol w:w="1679"/>
        <w:gridCol w:w="1679"/>
        <w:gridCol w:w="2308"/>
      </w:tblGrid>
      <w:tr>
        <w:tblPrEx>
          <w:tblCellMar>
            <w:top w:w="0" w:type="dxa"/>
            <w:left w:w="108" w:type="dxa"/>
            <w:bottom w:w="0" w:type="dxa"/>
            <w:right w:w="108" w:type="dxa"/>
          </w:tblCellMar>
        </w:tblPrEx>
        <w:trPr>
          <w:trHeight w:val="435" w:hRule="atLeast"/>
        </w:trPr>
        <w:tc>
          <w:tcPr>
            <w:tcW w:w="13387"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部门支出决算表</w:t>
            </w:r>
          </w:p>
        </w:tc>
      </w:tr>
      <w:tr>
        <w:tblPrEx>
          <w:tblCellMar>
            <w:top w:w="0" w:type="dxa"/>
            <w:left w:w="108" w:type="dxa"/>
            <w:bottom w:w="0" w:type="dxa"/>
            <w:right w:w="108" w:type="dxa"/>
          </w:tblCellMar>
        </w:tblPrEx>
        <w:trPr>
          <w:trHeight w:val="322" w:hRule="atLeast"/>
        </w:trPr>
        <w:tc>
          <w:tcPr>
            <w:tcW w:w="104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2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4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4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322" w:hRule="atLeast"/>
        </w:trPr>
        <w:tc>
          <w:tcPr>
            <w:tcW w:w="104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426" w:type="dxa"/>
            <w:tcBorders>
              <w:top w:val="nil"/>
              <w:left w:val="nil"/>
              <w:bottom w:val="nil"/>
              <w:right w:val="nil"/>
            </w:tcBorders>
            <w:shd w:val="clear" w:color="000000" w:fill="FFFFFF"/>
            <w:noWrap/>
            <w:vAlign w:val="center"/>
          </w:tcPr>
          <w:p>
            <w:pPr>
              <w:widowControl/>
              <w:rPr>
                <w:rFonts w:ascii="宋体" w:hAnsi="宋体" w:eastAsia="宋体" w:cs="宋体"/>
                <w:kern w:val="0"/>
                <w:sz w:val="24"/>
                <w:szCs w:val="24"/>
              </w:rPr>
            </w:pPr>
          </w:p>
        </w:tc>
        <w:tc>
          <w:tcPr>
            <w:tcW w:w="1249" w:type="dxa"/>
            <w:tcBorders>
              <w:top w:val="nil"/>
              <w:left w:val="nil"/>
              <w:bottom w:val="nil"/>
              <w:right w:val="nil"/>
            </w:tcBorders>
            <w:shd w:val="clear" w:color="000000" w:fill="FFFFFF"/>
            <w:noWrap/>
            <w:vAlign w:val="center"/>
          </w:tcPr>
          <w:p>
            <w:pPr>
              <w:rPr>
                <w:rFonts w:ascii="宋体" w:hAnsi="宋体" w:eastAsia="宋体" w:cs="宋体"/>
                <w:color w:val="000000"/>
                <w:sz w:val="20"/>
                <w:szCs w:val="20"/>
              </w:rPr>
            </w:pPr>
            <w:r>
              <w:rPr>
                <w:rFonts w:hint="eastAsia"/>
                <w:color w:val="000000"/>
                <w:sz w:val="20"/>
                <w:szCs w:val="20"/>
              </w:rPr>
              <w:t>部门：</w:t>
            </w:r>
          </w:p>
        </w:tc>
        <w:tc>
          <w:tcPr>
            <w:tcW w:w="1646" w:type="dxa"/>
            <w:tcBorders>
              <w:top w:val="nil"/>
              <w:left w:val="nil"/>
              <w:bottom w:val="nil"/>
              <w:right w:val="nil"/>
            </w:tcBorders>
            <w:shd w:val="clear" w:color="000000" w:fill="FFFFFF"/>
            <w:noWrap/>
            <w:vAlign w:val="center"/>
          </w:tcPr>
          <w:p>
            <w:pPr>
              <w:rPr>
                <w:rFonts w:ascii="宋体" w:hAnsi="宋体" w:eastAsia="宋体" w:cs="宋体"/>
                <w:sz w:val="24"/>
                <w:szCs w:val="24"/>
              </w:rPr>
            </w:pPr>
            <w:r>
              <w:rPr>
                <w:rFonts w:hint="eastAsia"/>
              </w:rPr>
              <w:t>湘潭县司法局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2308" w:type="dxa"/>
            <w:tcBorders>
              <w:top w:val="nil"/>
              <w:left w:val="nil"/>
              <w:bottom w:val="nil"/>
              <w:right w:val="nil"/>
            </w:tcBorders>
            <w:shd w:val="clear" w:color="000000" w:fill="FFFFFF"/>
            <w:noWrap/>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108" w:type="dxa"/>
            <w:bottom w:w="0" w:type="dxa"/>
            <w:right w:w="108" w:type="dxa"/>
          </w:tblCellMar>
        </w:tblPrEx>
        <w:trPr>
          <w:trHeight w:val="450" w:hRule="atLeast"/>
        </w:trPr>
        <w:tc>
          <w:tcPr>
            <w:tcW w:w="2717"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64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30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468"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1249"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64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3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4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4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4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3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271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64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30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450" w:hRule="atLeast"/>
        </w:trPr>
        <w:tc>
          <w:tcPr>
            <w:tcW w:w="271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rPr>
              <w:t>1715.68</w:t>
            </w:r>
          </w:p>
        </w:tc>
        <w:tc>
          <w:tcPr>
            <w:tcW w:w="167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rPr>
              <w:t>1417.7</w:t>
            </w:r>
          </w:p>
        </w:tc>
        <w:tc>
          <w:tcPr>
            <w:tcW w:w="167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rPr>
              <w:t>297.98</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46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ascii="宋体" w:hAnsi="宋体" w:eastAsia="宋体" w:cs="宋体"/>
                <w:sz w:val="24"/>
                <w:szCs w:val="24"/>
              </w:rPr>
            </w:pPr>
            <w:r>
              <w:rPr>
                <w:rFonts w:hint="eastAsia"/>
              </w:rPr>
              <w:t>204</w:t>
            </w:r>
          </w:p>
        </w:tc>
        <w:tc>
          <w:tcPr>
            <w:tcW w:w="1249" w:type="dxa"/>
            <w:tcBorders>
              <w:top w:val="nil"/>
              <w:left w:val="nil"/>
              <w:bottom w:val="single" w:color="auto" w:sz="4" w:space="0"/>
              <w:right w:val="single" w:color="auto" w:sz="4" w:space="0"/>
            </w:tcBorders>
            <w:shd w:val="clear" w:color="000000" w:fill="FFFFFF"/>
            <w:noWrap/>
            <w:vAlign w:val="center"/>
          </w:tcPr>
          <w:p>
            <w:pPr>
              <w:jc w:val="center"/>
              <w:rPr>
                <w:rFonts w:ascii="宋体" w:hAnsi="宋体" w:eastAsia="宋体" w:cs="宋体"/>
                <w:sz w:val="24"/>
                <w:szCs w:val="24"/>
              </w:rPr>
            </w:pPr>
            <w:r>
              <w:rPr>
                <w:rFonts w:hint="eastAsia"/>
              </w:rPr>
              <w:t>公共安全支出</w:t>
            </w:r>
          </w:p>
        </w:tc>
        <w:tc>
          <w:tcPr>
            <w:tcW w:w="1646" w:type="dxa"/>
            <w:tcBorders>
              <w:top w:val="nil"/>
              <w:left w:val="nil"/>
              <w:bottom w:val="single" w:color="auto" w:sz="4" w:space="0"/>
              <w:right w:val="single" w:color="auto" w:sz="4" w:space="0"/>
            </w:tcBorders>
            <w:shd w:val="clear" w:color="auto" w:fill="auto"/>
            <w:noWrap/>
            <w:vAlign w:val="center"/>
          </w:tcPr>
          <w:p>
            <w:pPr>
              <w:jc w:val="center"/>
            </w:pPr>
            <w:r>
              <w:rPr>
                <w:rFonts w:hint="eastAsia"/>
              </w:rPr>
              <w:t>1715.68</w:t>
            </w:r>
          </w:p>
        </w:tc>
        <w:tc>
          <w:tcPr>
            <w:tcW w:w="1679" w:type="dxa"/>
            <w:tcBorders>
              <w:top w:val="nil"/>
              <w:left w:val="nil"/>
              <w:bottom w:val="single" w:color="auto" w:sz="4" w:space="0"/>
              <w:right w:val="single" w:color="auto" w:sz="4" w:space="0"/>
            </w:tcBorders>
            <w:shd w:val="clear" w:color="auto" w:fill="auto"/>
            <w:noWrap/>
            <w:vAlign w:val="center"/>
          </w:tcPr>
          <w:p>
            <w:pPr>
              <w:jc w:val="center"/>
            </w:pPr>
            <w:r>
              <w:rPr>
                <w:rFonts w:hint="eastAsia"/>
              </w:rPr>
              <w:t>1417.7</w:t>
            </w:r>
          </w:p>
        </w:tc>
        <w:tc>
          <w:tcPr>
            <w:tcW w:w="1679" w:type="dxa"/>
            <w:tcBorders>
              <w:top w:val="nil"/>
              <w:left w:val="nil"/>
              <w:bottom w:val="single" w:color="auto" w:sz="4" w:space="0"/>
              <w:right w:val="single" w:color="auto" w:sz="4" w:space="0"/>
            </w:tcBorders>
            <w:shd w:val="clear" w:color="auto" w:fill="auto"/>
            <w:noWrap/>
            <w:vAlign w:val="center"/>
          </w:tcPr>
          <w:p>
            <w:pPr>
              <w:jc w:val="center"/>
            </w:pPr>
            <w:r>
              <w:rPr>
                <w:rFonts w:hint="eastAsia"/>
              </w:rPr>
              <w:t>297.98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46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ascii="宋体" w:hAnsi="宋体" w:eastAsia="宋体" w:cs="宋体"/>
                <w:sz w:val="24"/>
                <w:szCs w:val="24"/>
              </w:rPr>
            </w:pPr>
            <w:r>
              <w:rPr>
                <w:rFonts w:hint="eastAsia"/>
              </w:rPr>
              <w:t>20406</w:t>
            </w:r>
          </w:p>
        </w:tc>
        <w:tc>
          <w:tcPr>
            <w:tcW w:w="1249" w:type="dxa"/>
            <w:tcBorders>
              <w:top w:val="nil"/>
              <w:left w:val="nil"/>
              <w:bottom w:val="single" w:color="auto" w:sz="4" w:space="0"/>
              <w:right w:val="single" w:color="auto" w:sz="4" w:space="0"/>
            </w:tcBorders>
            <w:shd w:val="clear" w:color="000000" w:fill="FFFFFF"/>
            <w:noWrap/>
            <w:vAlign w:val="center"/>
          </w:tcPr>
          <w:p>
            <w:pPr>
              <w:jc w:val="center"/>
              <w:rPr>
                <w:rFonts w:ascii="宋体" w:hAnsi="宋体" w:eastAsia="宋体" w:cs="宋体"/>
                <w:sz w:val="24"/>
                <w:szCs w:val="24"/>
              </w:rPr>
            </w:pPr>
            <w:r>
              <w:rPr>
                <w:rFonts w:hint="eastAsia"/>
              </w:rPr>
              <w:t>司法</w:t>
            </w:r>
          </w:p>
        </w:tc>
        <w:tc>
          <w:tcPr>
            <w:tcW w:w="1646" w:type="dxa"/>
            <w:tcBorders>
              <w:top w:val="nil"/>
              <w:left w:val="nil"/>
              <w:bottom w:val="single" w:color="auto" w:sz="4" w:space="0"/>
              <w:right w:val="single" w:color="auto" w:sz="4" w:space="0"/>
            </w:tcBorders>
            <w:shd w:val="clear" w:color="auto" w:fill="auto"/>
            <w:noWrap/>
            <w:vAlign w:val="center"/>
          </w:tcPr>
          <w:p>
            <w:pPr>
              <w:jc w:val="center"/>
            </w:pPr>
            <w:r>
              <w:rPr>
                <w:rFonts w:hint="eastAsia"/>
              </w:rPr>
              <w:t>1715.68</w:t>
            </w:r>
          </w:p>
        </w:tc>
        <w:tc>
          <w:tcPr>
            <w:tcW w:w="1679" w:type="dxa"/>
            <w:tcBorders>
              <w:top w:val="nil"/>
              <w:left w:val="nil"/>
              <w:bottom w:val="single" w:color="auto" w:sz="4" w:space="0"/>
              <w:right w:val="single" w:color="auto" w:sz="4" w:space="0"/>
            </w:tcBorders>
            <w:shd w:val="clear" w:color="auto" w:fill="auto"/>
            <w:noWrap/>
            <w:vAlign w:val="center"/>
          </w:tcPr>
          <w:p>
            <w:pPr>
              <w:jc w:val="center"/>
            </w:pPr>
            <w:r>
              <w:rPr>
                <w:rFonts w:hint="eastAsia"/>
              </w:rPr>
              <w:t>1417.7</w:t>
            </w:r>
          </w:p>
        </w:tc>
        <w:tc>
          <w:tcPr>
            <w:tcW w:w="1679" w:type="dxa"/>
            <w:tcBorders>
              <w:top w:val="nil"/>
              <w:left w:val="nil"/>
              <w:bottom w:val="single" w:color="auto" w:sz="4" w:space="0"/>
              <w:right w:val="single" w:color="auto" w:sz="4" w:space="0"/>
            </w:tcBorders>
            <w:shd w:val="clear" w:color="auto" w:fill="auto"/>
            <w:noWrap/>
            <w:vAlign w:val="center"/>
          </w:tcPr>
          <w:p>
            <w:pPr>
              <w:jc w:val="center"/>
            </w:pPr>
            <w:r>
              <w:rPr>
                <w:rFonts w:hint="eastAsia"/>
              </w:rPr>
              <w:t>297.98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46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ascii="宋体" w:hAnsi="宋体" w:eastAsia="宋体" w:cs="宋体"/>
                <w:sz w:val="24"/>
                <w:szCs w:val="24"/>
              </w:rPr>
            </w:pPr>
            <w:r>
              <w:rPr>
                <w:rFonts w:hint="eastAsia"/>
              </w:rPr>
              <w:t>2040601</w:t>
            </w:r>
          </w:p>
        </w:tc>
        <w:tc>
          <w:tcPr>
            <w:tcW w:w="1249" w:type="dxa"/>
            <w:tcBorders>
              <w:top w:val="nil"/>
              <w:left w:val="nil"/>
              <w:bottom w:val="single" w:color="auto" w:sz="4" w:space="0"/>
              <w:right w:val="single" w:color="auto" w:sz="4" w:space="0"/>
            </w:tcBorders>
            <w:shd w:val="clear" w:color="000000" w:fill="FFFFFF"/>
            <w:noWrap/>
            <w:vAlign w:val="center"/>
          </w:tcPr>
          <w:p>
            <w:pPr>
              <w:jc w:val="center"/>
              <w:rPr>
                <w:rFonts w:ascii="宋体" w:hAnsi="宋体" w:eastAsia="宋体" w:cs="宋体"/>
                <w:sz w:val="24"/>
                <w:szCs w:val="24"/>
              </w:rPr>
            </w:pPr>
            <w:r>
              <w:rPr>
                <w:rFonts w:hint="eastAsia"/>
              </w:rPr>
              <w:t>行政运行</w:t>
            </w:r>
          </w:p>
        </w:tc>
        <w:tc>
          <w:tcPr>
            <w:tcW w:w="1646"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sz w:val="24"/>
                <w:szCs w:val="24"/>
              </w:rPr>
            </w:pPr>
            <w:r>
              <w:rPr>
                <w:rFonts w:hint="eastAsia"/>
              </w:rPr>
              <w:t>1423.21</w:t>
            </w:r>
          </w:p>
        </w:tc>
        <w:tc>
          <w:tcPr>
            <w:tcW w:w="1679"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sz w:val="24"/>
                <w:szCs w:val="24"/>
              </w:rPr>
            </w:pPr>
            <w:r>
              <w:rPr>
                <w:rFonts w:hint="eastAsia"/>
              </w:rPr>
              <w:t>1417.7</w:t>
            </w:r>
          </w:p>
        </w:tc>
        <w:tc>
          <w:tcPr>
            <w:tcW w:w="1679" w:type="dxa"/>
            <w:tcBorders>
              <w:top w:val="nil"/>
              <w:left w:val="nil"/>
              <w:bottom w:val="single" w:color="auto" w:sz="4" w:space="0"/>
              <w:right w:val="single" w:color="auto" w:sz="4" w:space="0"/>
            </w:tcBorders>
            <w:shd w:val="clear" w:color="auto" w:fill="auto"/>
            <w:noWrap/>
            <w:vAlign w:val="center"/>
          </w:tcPr>
          <w:p>
            <w:pPr>
              <w:jc w:val="center"/>
            </w:pPr>
            <w:r>
              <w:rPr>
                <w:rFonts w:hint="eastAsia"/>
              </w:rPr>
              <w:t>5.51</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90" w:hRule="atLeast"/>
        </w:trPr>
        <w:tc>
          <w:tcPr>
            <w:tcW w:w="146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ascii="宋体" w:hAnsi="宋体" w:eastAsia="宋体" w:cs="宋体"/>
                <w:sz w:val="24"/>
                <w:szCs w:val="24"/>
              </w:rPr>
            </w:pPr>
            <w:r>
              <w:rPr>
                <w:rFonts w:hint="eastAsia"/>
              </w:rPr>
              <w:t>2040602</w:t>
            </w:r>
          </w:p>
        </w:tc>
        <w:tc>
          <w:tcPr>
            <w:tcW w:w="1249" w:type="dxa"/>
            <w:tcBorders>
              <w:top w:val="nil"/>
              <w:left w:val="nil"/>
              <w:bottom w:val="single" w:color="auto" w:sz="4" w:space="0"/>
              <w:right w:val="single" w:color="auto" w:sz="4" w:space="0"/>
            </w:tcBorders>
            <w:shd w:val="clear" w:color="000000" w:fill="FFFFFF"/>
            <w:noWrap/>
            <w:vAlign w:val="center"/>
          </w:tcPr>
          <w:p>
            <w:pPr>
              <w:jc w:val="center"/>
              <w:rPr>
                <w:rFonts w:ascii="宋体" w:hAnsi="宋体" w:eastAsia="宋体" w:cs="宋体"/>
                <w:sz w:val="24"/>
                <w:szCs w:val="24"/>
              </w:rPr>
            </w:pPr>
            <w:r>
              <w:rPr>
                <w:rFonts w:hint="eastAsia"/>
              </w:rPr>
              <w:t>一般行政管理事务</w:t>
            </w:r>
          </w:p>
        </w:tc>
        <w:tc>
          <w:tcPr>
            <w:tcW w:w="1646" w:type="dxa"/>
            <w:tcBorders>
              <w:top w:val="nil"/>
              <w:left w:val="nil"/>
              <w:bottom w:val="single" w:color="auto" w:sz="4" w:space="0"/>
              <w:right w:val="single" w:color="auto" w:sz="4" w:space="0"/>
            </w:tcBorders>
            <w:shd w:val="clear" w:color="auto" w:fill="auto"/>
            <w:noWrap/>
            <w:vAlign w:val="center"/>
          </w:tcPr>
          <w:p>
            <w:pPr>
              <w:jc w:val="center"/>
              <w:rPr>
                <w:rFonts w:ascii="宋体" w:hAnsi="宋体" w:cs="宋体"/>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jc w:val="center"/>
              <w:rPr>
                <w:rFonts w:ascii="宋体" w:hAnsi="宋体" w:cs="宋体"/>
                <w:sz w:val="24"/>
                <w:szCs w:val="24"/>
              </w:rPr>
            </w:pPr>
            <w:r>
              <w:rPr>
                <w:rFonts w:hint="eastAsia"/>
              </w:rPr>
              <w:t>55.41</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46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pPr>
            <w:r>
              <w:rPr>
                <w:rFonts w:hint="eastAsia"/>
              </w:rPr>
              <w:t>2040603</w:t>
            </w:r>
          </w:p>
        </w:tc>
        <w:tc>
          <w:tcPr>
            <w:tcW w:w="1249" w:type="dxa"/>
            <w:tcBorders>
              <w:top w:val="nil"/>
              <w:left w:val="nil"/>
              <w:bottom w:val="single" w:color="auto" w:sz="4" w:space="0"/>
              <w:right w:val="single" w:color="auto" w:sz="4" w:space="0"/>
            </w:tcBorders>
            <w:shd w:val="clear" w:color="000000" w:fill="FFFFFF"/>
            <w:noWrap/>
            <w:vAlign w:val="center"/>
          </w:tcPr>
          <w:p>
            <w:pPr>
              <w:jc w:val="center"/>
            </w:pPr>
            <w:r>
              <w:rPr>
                <w:rFonts w:hint="eastAsia"/>
              </w:rPr>
              <w:t>机关服务</w:t>
            </w:r>
          </w:p>
        </w:tc>
        <w:tc>
          <w:tcPr>
            <w:tcW w:w="1646" w:type="dxa"/>
            <w:tcBorders>
              <w:top w:val="nil"/>
              <w:left w:val="nil"/>
              <w:bottom w:val="single" w:color="auto" w:sz="4" w:space="0"/>
              <w:right w:val="single" w:color="auto" w:sz="4" w:space="0"/>
            </w:tcBorders>
            <w:shd w:val="clear" w:color="auto" w:fill="auto"/>
            <w:noWrap/>
            <w:vAlign w:val="center"/>
          </w:tcPr>
          <w:p>
            <w:pPr>
              <w:jc w:val="center"/>
            </w:pPr>
          </w:p>
        </w:tc>
        <w:tc>
          <w:tcPr>
            <w:tcW w:w="1679"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jc w:val="center"/>
            </w:pPr>
            <w:r>
              <w:rPr>
                <w:rFonts w:hint="eastAsia"/>
              </w:rPr>
              <w:t>18.65</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46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ascii="宋体" w:hAnsi="宋体" w:eastAsia="宋体" w:cs="宋体"/>
                <w:sz w:val="24"/>
                <w:szCs w:val="24"/>
              </w:rPr>
            </w:pPr>
            <w:r>
              <w:rPr>
                <w:rFonts w:hint="eastAsia"/>
              </w:rPr>
              <w:t>2040604</w:t>
            </w:r>
          </w:p>
        </w:tc>
        <w:tc>
          <w:tcPr>
            <w:tcW w:w="1249" w:type="dxa"/>
            <w:tcBorders>
              <w:top w:val="nil"/>
              <w:left w:val="nil"/>
              <w:bottom w:val="single" w:color="auto" w:sz="4" w:space="0"/>
              <w:right w:val="single" w:color="auto" w:sz="4" w:space="0"/>
            </w:tcBorders>
            <w:shd w:val="clear" w:color="000000" w:fill="FFFFFF"/>
            <w:noWrap/>
            <w:vAlign w:val="center"/>
          </w:tcPr>
          <w:p>
            <w:pPr>
              <w:jc w:val="center"/>
              <w:rPr>
                <w:rFonts w:ascii="宋体" w:hAnsi="宋体" w:eastAsia="宋体" w:cs="宋体"/>
                <w:sz w:val="24"/>
                <w:szCs w:val="24"/>
              </w:rPr>
            </w:pPr>
            <w:r>
              <w:rPr>
                <w:rFonts w:hint="eastAsia"/>
              </w:rPr>
              <w:t>基层司法业务</w:t>
            </w:r>
          </w:p>
        </w:tc>
        <w:tc>
          <w:tcPr>
            <w:tcW w:w="1646"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sz w:val="24"/>
                <w:szCs w:val="24"/>
              </w:rPr>
            </w:pPr>
            <w:r>
              <w:rPr>
                <w:rFonts w:hint="eastAsia"/>
              </w:rPr>
              <w:t>46.79</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46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ascii="宋体" w:hAnsi="宋体" w:eastAsia="宋体" w:cs="宋体"/>
                <w:sz w:val="24"/>
                <w:szCs w:val="24"/>
              </w:rPr>
            </w:pPr>
            <w:r>
              <w:rPr>
                <w:rFonts w:hint="eastAsia"/>
              </w:rPr>
              <w:t>2040605</w:t>
            </w:r>
          </w:p>
        </w:tc>
        <w:tc>
          <w:tcPr>
            <w:tcW w:w="1249" w:type="dxa"/>
            <w:tcBorders>
              <w:top w:val="nil"/>
              <w:left w:val="nil"/>
              <w:bottom w:val="single" w:color="auto" w:sz="4" w:space="0"/>
              <w:right w:val="single" w:color="auto" w:sz="4" w:space="0"/>
            </w:tcBorders>
            <w:shd w:val="clear" w:color="000000" w:fill="FFFFFF"/>
            <w:noWrap/>
            <w:vAlign w:val="center"/>
          </w:tcPr>
          <w:p>
            <w:pPr>
              <w:jc w:val="center"/>
              <w:rPr>
                <w:rFonts w:ascii="宋体" w:hAnsi="宋体" w:eastAsia="宋体" w:cs="宋体"/>
                <w:sz w:val="24"/>
                <w:szCs w:val="24"/>
              </w:rPr>
            </w:pPr>
            <w:r>
              <w:rPr>
                <w:rFonts w:hint="eastAsia"/>
              </w:rPr>
              <w:t>普法宣传</w:t>
            </w:r>
          </w:p>
        </w:tc>
        <w:tc>
          <w:tcPr>
            <w:tcW w:w="1646"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sz w:val="24"/>
                <w:szCs w:val="24"/>
              </w:rPr>
            </w:pPr>
            <w:r>
              <w:rPr>
                <w:rFonts w:hint="eastAsia"/>
              </w:rPr>
              <w:t>32.04</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46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pPr>
            <w:r>
              <w:rPr>
                <w:rFonts w:hint="eastAsia"/>
              </w:rPr>
              <w:t>2040607</w:t>
            </w:r>
          </w:p>
        </w:tc>
        <w:tc>
          <w:tcPr>
            <w:tcW w:w="1249" w:type="dxa"/>
            <w:tcBorders>
              <w:top w:val="nil"/>
              <w:left w:val="nil"/>
              <w:bottom w:val="single" w:color="auto" w:sz="4" w:space="0"/>
              <w:right w:val="single" w:color="auto" w:sz="4" w:space="0"/>
            </w:tcBorders>
            <w:shd w:val="clear" w:color="000000" w:fill="FFFFFF"/>
            <w:noWrap/>
            <w:vAlign w:val="center"/>
          </w:tcPr>
          <w:p>
            <w:r>
              <w:rPr>
                <w:rFonts w:hint="eastAsia"/>
              </w:rPr>
              <w:t>公共法律服务</w:t>
            </w:r>
          </w:p>
        </w:tc>
        <w:tc>
          <w:tcPr>
            <w:tcW w:w="1646" w:type="dxa"/>
            <w:tcBorders>
              <w:top w:val="nil"/>
              <w:left w:val="nil"/>
              <w:bottom w:val="single" w:color="auto" w:sz="4" w:space="0"/>
              <w:right w:val="single" w:color="auto" w:sz="4" w:space="0"/>
            </w:tcBorders>
            <w:shd w:val="clear" w:color="auto" w:fill="auto"/>
            <w:noWrap/>
            <w:vAlign w:val="center"/>
          </w:tcPr>
          <w:p>
            <w:pPr>
              <w:jc w:val="center"/>
            </w:pPr>
          </w:p>
        </w:tc>
        <w:tc>
          <w:tcPr>
            <w:tcW w:w="1679" w:type="dxa"/>
            <w:tcBorders>
              <w:top w:val="nil"/>
              <w:left w:val="nil"/>
              <w:bottom w:val="single" w:color="auto" w:sz="4" w:space="0"/>
              <w:right w:val="single" w:color="auto" w:sz="4" w:space="0"/>
            </w:tcBorders>
            <w:shd w:val="clear" w:color="auto" w:fill="auto"/>
            <w:noWrap/>
            <w:vAlign w:val="center"/>
          </w:tcPr>
          <w:p>
            <w:pPr>
              <w:jc w:val="center"/>
            </w:pPr>
          </w:p>
        </w:tc>
        <w:tc>
          <w:tcPr>
            <w:tcW w:w="1679" w:type="dxa"/>
            <w:tcBorders>
              <w:top w:val="nil"/>
              <w:left w:val="nil"/>
              <w:bottom w:val="single" w:color="auto" w:sz="4" w:space="0"/>
              <w:right w:val="single" w:color="auto" w:sz="4" w:space="0"/>
            </w:tcBorders>
            <w:shd w:val="clear" w:color="auto" w:fill="auto"/>
            <w:noWrap/>
            <w:vAlign w:val="center"/>
          </w:tcPr>
          <w:p>
            <w:pPr>
              <w:jc w:val="center"/>
            </w:pPr>
            <w:r>
              <w:rPr>
                <w:rFonts w:hint="eastAsia"/>
              </w:rPr>
              <w:t>41.34</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46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pPr>
            <w:r>
              <w:rPr>
                <w:rFonts w:hint="eastAsia"/>
              </w:rPr>
              <w:t>2040610</w:t>
            </w:r>
          </w:p>
        </w:tc>
        <w:tc>
          <w:tcPr>
            <w:tcW w:w="1249" w:type="dxa"/>
            <w:tcBorders>
              <w:top w:val="nil"/>
              <w:left w:val="nil"/>
              <w:bottom w:val="single" w:color="auto" w:sz="4" w:space="0"/>
              <w:right w:val="single" w:color="auto" w:sz="4" w:space="0"/>
            </w:tcBorders>
            <w:shd w:val="clear" w:color="000000" w:fill="FFFFFF"/>
            <w:noWrap/>
            <w:vAlign w:val="center"/>
          </w:tcPr>
          <w:p>
            <w:pPr>
              <w:jc w:val="center"/>
            </w:pPr>
            <w:r>
              <w:rPr>
                <w:rFonts w:hint="eastAsia"/>
              </w:rPr>
              <w:t>社区矫正</w:t>
            </w:r>
          </w:p>
        </w:tc>
        <w:tc>
          <w:tcPr>
            <w:tcW w:w="1646" w:type="dxa"/>
            <w:tcBorders>
              <w:top w:val="nil"/>
              <w:left w:val="nil"/>
              <w:bottom w:val="single" w:color="auto" w:sz="4" w:space="0"/>
              <w:right w:val="single" w:color="auto" w:sz="4" w:space="0"/>
            </w:tcBorders>
            <w:shd w:val="clear" w:color="auto" w:fill="auto"/>
            <w:noWrap/>
            <w:vAlign w:val="center"/>
          </w:tcPr>
          <w:p>
            <w:pPr>
              <w:jc w:val="center"/>
            </w:pPr>
          </w:p>
        </w:tc>
        <w:tc>
          <w:tcPr>
            <w:tcW w:w="1679" w:type="dxa"/>
            <w:tcBorders>
              <w:top w:val="nil"/>
              <w:left w:val="nil"/>
              <w:bottom w:val="single" w:color="auto" w:sz="4" w:space="0"/>
              <w:right w:val="single" w:color="auto" w:sz="4" w:space="0"/>
            </w:tcBorders>
            <w:shd w:val="clear" w:color="auto" w:fill="auto"/>
            <w:noWrap/>
            <w:vAlign w:val="center"/>
          </w:tcPr>
          <w:p>
            <w:pPr>
              <w:jc w:val="center"/>
            </w:pPr>
          </w:p>
        </w:tc>
        <w:tc>
          <w:tcPr>
            <w:tcW w:w="1679" w:type="dxa"/>
            <w:tcBorders>
              <w:top w:val="nil"/>
              <w:left w:val="nil"/>
              <w:bottom w:val="single" w:color="auto" w:sz="4" w:space="0"/>
              <w:right w:val="single" w:color="auto" w:sz="4" w:space="0"/>
            </w:tcBorders>
            <w:shd w:val="clear" w:color="auto" w:fill="auto"/>
            <w:noWrap/>
            <w:vAlign w:val="center"/>
          </w:tcPr>
          <w:p>
            <w:pPr>
              <w:jc w:val="center"/>
            </w:pPr>
            <w:r>
              <w:rPr>
                <w:rFonts w:hint="eastAsia"/>
              </w:rPr>
              <w:t>53.53</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46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pPr>
            <w:r>
              <w:rPr>
                <w:rFonts w:hint="eastAsia"/>
              </w:rPr>
              <w:t>2040612</w:t>
            </w:r>
          </w:p>
        </w:tc>
        <w:tc>
          <w:tcPr>
            <w:tcW w:w="1249" w:type="dxa"/>
            <w:tcBorders>
              <w:top w:val="nil"/>
              <w:left w:val="nil"/>
              <w:bottom w:val="single" w:color="auto" w:sz="4" w:space="0"/>
              <w:right w:val="single" w:color="auto" w:sz="4" w:space="0"/>
            </w:tcBorders>
            <w:shd w:val="clear" w:color="000000" w:fill="FFFFFF"/>
            <w:noWrap/>
            <w:vAlign w:val="center"/>
          </w:tcPr>
          <w:p>
            <w:pPr>
              <w:jc w:val="center"/>
            </w:pPr>
            <w:r>
              <w:rPr>
                <w:rFonts w:hint="eastAsia"/>
              </w:rPr>
              <w:t>法制建设</w:t>
            </w:r>
          </w:p>
        </w:tc>
        <w:tc>
          <w:tcPr>
            <w:tcW w:w="1646" w:type="dxa"/>
            <w:tcBorders>
              <w:top w:val="nil"/>
              <w:left w:val="nil"/>
              <w:bottom w:val="single" w:color="auto" w:sz="4" w:space="0"/>
              <w:right w:val="single" w:color="auto" w:sz="4" w:space="0"/>
            </w:tcBorders>
            <w:shd w:val="clear" w:color="auto" w:fill="auto"/>
            <w:noWrap/>
            <w:vAlign w:val="center"/>
          </w:tcPr>
          <w:p>
            <w:pPr>
              <w:jc w:val="center"/>
            </w:pPr>
          </w:p>
        </w:tc>
        <w:tc>
          <w:tcPr>
            <w:tcW w:w="1679" w:type="dxa"/>
            <w:tcBorders>
              <w:top w:val="nil"/>
              <w:left w:val="nil"/>
              <w:bottom w:val="single" w:color="auto" w:sz="4" w:space="0"/>
              <w:right w:val="single" w:color="auto" w:sz="4" w:space="0"/>
            </w:tcBorders>
            <w:shd w:val="clear" w:color="auto" w:fill="auto"/>
            <w:noWrap/>
            <w:vAlign w:val="center"/>
          </w:tcPr>
          <w:p>
            <w:pPr>
              <w:jc w:val="center"/>
            </w:pPr>
          </w:p>
        </w:tc>
        <w:tc>
          <w:tcPr>
            <w:tcW w:w="1679" w:type="dxa"/>
            <w:tcBorders>
              <w:top w:val="nil"/>
              <w:left w:val="nil"/>
              <w:bottom w:val="single" w:color="auto" w:sz="4" w:space="0"/>
              <w:right w:val="single" w:color="auto" w:sz="4" w:space="0"/>
            </w:tcBorders>
            <w:shd w:val="clear" w:color="auto" w:fill="auto"/>
            <w:noWrap/>
            <w:vAlign w:val="center"/>
          </w:tcPr>
          <w:p>
            <w:pPr>
              <w:jc w:val="center"/>
            </w:pPr>
            <w:r>
              <w:rPr>
                <w:rFonts w:hint="eastAsia"/>
              </w:rPr>
              <w:t>39.29</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46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pPr>
            <w:r>
              <w:rPr>
                <w:rFonts w:hint="eastAsia"/>
              </w:rPr>
              <w:t>2040699</w:t>
            </w:r>
          </w:p>
        </w:tc>
        <w:tc>
          <w:tcPr>
            <w:tcW w:w="1249" w:type="dxa"/>
            <w:tcBorders>
              <w:top w:val="nil"/>
              <w:left w:val="nil"/>
              <w:bottom w:val="single" w:color="auto" w:sz="4" w:space="0"/>
              <w:right w:val="single" w:color="auto" w:sz="4" w:space="0"/>
            </w:tcBorders>
            <w:shd w:val="clear" w:color="000000" w:fill="FFFFFF"/>
            <w:noWrap/>
            <w:vAlign w:val="center"/>
          </w:tcPr>
          <w:p>
            <w:pPr>
              <w:jc w:val="center"/>
            </w:pPr>
            <w:r>
              <w:rPr>
                <w:rFonts w:hint="eastAsia"/>
              </w:rPr>
              <w:t>其他司法支出</w:t>
            </w:r>
          </w:p>
        </w:tc>
        <w:tc>
          <w:tcPr>
            <w:tcW w:w="1646" w:type="dxa"/>
            <w:tcBorders>
              <w:top w:val="nil"/>
              <w:left w:val="nil"/>
              <w:bottom w:val="single" w:color="auto" w:sz="4" w:space="0"/>
              <w:right w:val="single" w:color="auto" w:sz="4" w:space="0"/>
            </w:tcBorders>
            <w:shd w:val="clear" w:color="auto" w:fill="auto"/>
            <w:noWrap/>
            <w:vAlign w:val="center"/>
          </w:tcPr>
          <w:p>
            <w:pPr>
              <w:jc w:val="center"/>
            </w:pPr>
          </w:p>
        </w:tc>
        <w:tc>
          <w:tcPr>
            <w:tcW w:w="1679" w:type="dxa"/>
            <w:tcBorders>
              <w:top w:val="nil"/>
              <w:left w:val="nil"/>
              <w:bottom w:val="single" w:color="auto" w:sz="4" w:space="0"/>
              <w:right w:val="single" w:color="auto" w:sz="4" w:space="0"/>
            </w:tcBorders>
            <w:shd w:val="clear" w:color="auto" w:fill="auto"/>
            <w:noWrap/>
            <w:vAlign w:val="center"/>
          </w:tcPr>
          <w:p>
            <w:pPr>
              <w:jc w:val="center"/>
            </w:pPr>
          </w:p>
        </w:tc>
        <w:tc>
          <w:tcPr>
            <w:tcW w:w="1679" w:type="dxa"/>
            <w:tcBorders>
              <w:top w:val="nil"/>
              <w:left w:val="nil"/>
              <w:bottom w:val="single" w:color="auto" w:sz="4" w:space="0"/>
              <w:right w:val="single" w:color="auto" w:sz="4" w:space="0"/>
            </w:tcBorders>
            <w:shd w:val="clear" w:color="auto" w:fill="auto"/>
            <w:noWrap/>
            <w:vAlign w:val="center"/>
          </w:tcPr>
          <w:p>
            <w:pPr>
              <w:jc w:val="center"/>
            </w:pPr>
            <w:r>
              <w:rPr>
                <w:rFonts w:hint="eastAsia"/>
              </w:rPr>
              <w:t>5.42</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630" w:hRule="atLeast"/>
        </w:trPr>
        <w:tc>
          <w:tcPr>
            <w:tcW w:w="13387" w:type="dxa"/>
            <w:gridSpan w:val="9"/>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rPr>
          <w:rFonts w:ascii="Times New Roman" w:hAnsi="Times New Roman" w:eastAsia="方正小标宋_GBK" w:cs="Times New Roman"/>
          <w:color w:val="000000"/>
          <w:kern w:val="0"/>
          <w:sz w:val="36"/>
          <w:szCs w:val="21"/>
        </w:rPr>
      </w:pPr>
    </w:p>
    <w:tbl>
      <w:tblPr>
        <w:tblStyle w:val="6"/>
        <w:tblW w:w="15521" w:type="dxa"/>
        <w:tblInd w:w="93" w:type="dxa"/>
        <w:tblLayout w:type="fixed"/>
        <w:tblCellMar>
          <w:top w:w="0" w:type="dxa"/>
          <w:left w:w="108" w:type="dxa"/>
          <w:bottom w:w="0" w:type="dxa"/>
          <w:right w:w="108" w:type="dxa"/>
        </w:tblCellMar>
      </w:tblPr>
      <w:tblGrid>
        <w:gridCol w:w="3595"/>
        <w:gridCol w:w="436"/>
        <w:gridCol w:w="1078"/>
        <w:gridCol w:w="3411"/>
        <w:gridCol w:w="632"/>
        <w:gridCol w:w="435"/>
        <w:gridCol w:w="1573"/>
        <w:gridCol w:w="1394"/>
        <w:gridCol w:w="1394"/>
        <w:gridCol w:w="1573"/>
      </w:tblGrid>
      <w:tr>
        <w:tblPrEx>
          <w:tblCellMar>
            <w:top w:w="0" w:type="dxa"/>
            <w:left w:w="108" w:type="dxa"/>
            <w:bottom w:w="0" w:type="dxa"/>
            <w:right w:w="108" w:type="dxa"/>
          </w:tblCellMar>
        </w:tblPrEx>
        <w:trPr>
          <w:trHeight w:val="360" w:hRule="atLeast"/>
        </w:trPr>
        <w:tc>
          <w:tcPr>
            <w:tcW w:w="15521" w:type="dxa"/>
            <w:gridSpan w:val="10"/>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bookmarkStart w:id="0" w:name="RANGE!A1:I22"/>
            <w:bookmarkEnd w:id="0"/>
            <w:bookmarkStart w:id="1" w:name="RANGE!A1:F16"/>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部门：湘潭县司法局</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1637.32　</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1637.32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1637.32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1637.32　</w:t>
            </w: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1637.32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1637.32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1637.32　</w:t>
            </w:r>
          </w:p>
        </w:tc>
        <w:tc>
          <w:tcPr>
            <w:tcW w:w="341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1637.32　</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1637.32　</w:t>
            </w: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585" w:hRule="atLeast"/>
        </w:trPr>
        <w:tc>
          <w:tcPr>
            <w:tcW w:w="15521" w:type="dxa"/>
            <w:gridSpan w:val="10"/>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Lines="50"/>
        <w:ind w:firstLine="945" w:firstLineChars="45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 xml:space="preserve"> 湘潭县司法局                                                                                                  </w:t>
      </w:r>
      <w:r>
        <w:rPr>
          <w:rFonts w:ascii="Times New Roman" w:hAnsi="Times New Roman" w:eastAsia="仿宋_GB2312" w:cs="Times New Roman"/>
          <w:color w:val="000000"/>
          <w:kern w:val="0"/>
          <w:szCs w:val="21"/>
        </w:rPr>
        <w:t>公开05表</w:t>
      </w:r>
    </w:p>
    <w:p>
      <w:pPr>
        <w:widowControl/>
        <w:ind w:firstLine="13230" w:firstLineChars="6300"/>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单位：万元</w:t>
      </w:r>
    </w:p>
    <w:tbl>
      <w:tblPr>
        <w:tblStyle w:val="6"/>
        <w:tblW w:w="15511" w:type="dxa"/>
        <w:jc w:val="center"/>
        <w:tblLayout w:type="fixed"/>
        <w:tblCellMar>
          <w:top w:w="0" w:type="dxa"/>
          <w:left w:w="108" w:type="dxa"/>
          <w:bottom w:w="0" w:type="dxa"/>
          <w:right w:w="108" w:type="dxa"/>
        </w:tblCellMar>
      </w:tblPr>
      <w:tblGrid>
        <w:gridCol w:w="171"/>
        <w:gridCol w:w="1294"/>
        <w:gridCol w:w="3805"/>
        <w:gridCol w:w="3237"/>
        <w:gridCol w:w="3767"/>
        <w:gridCol w:w="3237"/>
      </w:tblGrid>
      <w:tr>
        <w:tblPrEx>
          <w:tblCellMar>
            <w:top w:w="0" w:type="dxa"/>
            <w:left w:w="108" w:type="dxa"/>
            <w:bottom w:w="0" w:type="dxa"/>
            <w:right w:w="108" w:type="dxa"/>
          </w:tblCellMar>
        </w:tblPrEx>
        <w:trPr>
          <w:gridBefore w:val="1"/>
          <w:wBefore w:w="171" w:type="dxa"/>
          <w:trHeight w:val="405" w:hRule="atLeast"/>
          <w:jc w:val="center"/>
        </w:trPr>
        <w:tc>
          <w:tcPr>
            <w:tcW w:w="5099"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w:t>
            </w:r>
          </w:p>
        </w:tc>
        <w:tc>
          <w:tcPr>
            <w:tcW w:w="10241"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gridBefore w:val="1"/>
          <w:wBefore w:w="171" w:type="dxa"/>
          <w:trHeight w:val="495" w:hRule="atLeast"/>
          <w:jc w:val="center"/>
        </w:trPr>
        <w:tc>
          <w:tcPr>
            <w:tcW w:w="1294"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805"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23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76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237"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gridBefore w:val="1"/>
          <w:wBefore w:w="171" w:type="dxa"/>
          <w:trHeight w:val="360" w:hRule="atLeast"/>
          <w:jc w:val="center"/>
        </w:trPr>
        <w:tc>
          <w:tcPr>
            <w:tcW w:w="1294"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80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237"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767"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237"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gridBefore w:val="1"/>
          <w:wBefore w:w="171" w:type="dxa"/>
          <w:trHeight w:val="450" w:hRule="atLeast"/>
          <w:jc w:val="center"/>
        </w:trPr>
        <w:tc>
          <w:tcPr>
            <w:tcW w:w="1294"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80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237"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767"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237"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gridBefore w:val="1"/>
          <w:wBefore w:w="171" w:type="dxa"/>
          <w:trHeight w:val="450" w:hRule="atLeast"/>
          <w:jc w:val="center"/>
        </w:trPr>
        <w:tc>
          <w:tcPr>
            <w:tcW w:w="5099"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23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76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237"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gridBefore w:val="1"/>
          <w:wBefore w:w="171" w:type="dxa"/>
          <w:trHeight w:val="450" w:hRule="atLeast"/>
          <w:jc w:val="center"/>
        </w:trPr>
        <w:tc>
          <w:tcPr>
            <w:tcW w:w="5099"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23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rPr>
              <w:t>1637.32</w:t>
            </w:r>
          </w:p>
        </w:tc>
        <w:tc>
          <w:tcPr>
            <w:tcW w:w="376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rPr>
              <w:t>1339.34</w:t>
            </w:r>
            <w:r>
              <w:rPr>
                <w:rFonts w:ascii="Times New Roman" w:hAnsi="Times New Roman" w:eastAsia="仿宋_GB2312" w:cs="Times New Roman"/>
                <w:kern w:val="0"/>
                <w:szCs w:val="21"/>
              </w:rPr>
              <w:t>　</w:t>
            </w:r>
          </w:p>
        </w:tc>
        <w:tc>
          <w:tcPr>
            <w:tcW w:w="3237"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297.98</w:t>
            </w:r>
          </w:p>
        </w:tc>
      </w:tr>
      <w:tr>
        <w:tblPrEx>
          <w:tblCellMar>
            <w:top w:w="0" w:type="dxa"/>
            <w:left w:w="108" w:type="dxa"/>
            <w:bottom w:w="0" w:type="dxa"/>
            <w:right w:w="108" w:type="dxa"/>
          </w:tblCellMar>
        </w:tblPrEx>
        <w:trPr>
          <w:gridBefore w:val="1"/>
          <w:wBefore w:w="171" w:type="dxa"/>
          <w:trHeight w:val="450" w:hRule="atLeast"/>
          <w:jc w:val="center"/>
        </w:trPr>
        <w:tc>
          <w:tcPr>
            <w:tcW w:w="1294" w:type="dxa"/>
            <w:tcBorders>
              <w:top w:val="single" w:color="auto" w:sz="4" w:space="0"/>
              <w:left w:val="single" w:color="auto" w:sz="8" w:space="0"/>
              <w:bottom w:val="single" w:color="auto" w:sz="4" w:space="0"/>
              <w:right w:val="single" w:color="auto" w:sz="4" w:space="0"/>
            </w:tcBorders>
            <w:shd w:val="clear" w:color="auto" w:fill="auto"/>
            <w:vAlign w:val="center"/>
          </w:tcPr>
          <w:p>
            <w:pPr>
              <w:jc w:val="center"/>
              <w:rPr>
                <w:rFonts w:ascii="宋体" w:hAnsi="宋体" w:eastAsia="宋体" w:cs="宋体"/>
                <w:sz w:val="24"/>
                <w:szCs w:val="24"/>
              </w:rPr>
            </w:pPr>
            <w:r>
              <w:rPr>
                <w:rFonts w:hint="eastAsia"/>
              </w:rPr>
              <w:t>204</w:t>
            </w:r>
          </w:p>
        </w:tc>
        <w:tc>
          <w:tcPr>
            <w:tcW w:w="3805"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sz w:val="24"/>
                <w:szCs w:val="24"/>
              </w:rPr>
            </w:pPr>
            <w:r>
              <w:rPr>
                <w:rFonts w:hint="eastAsia"/>
              </w:rPr>
              <w:t>公共安全支出</w:t>
            </w:r>
          </w:p>
        </w:tc>
        <w:tc>
          <w:tcPr>
            <w:tcW w:w="3237" w:type="dxa"/>
            <w:tcBorders>
              <w:top w:val="nil"/>
              <w:left w:val="nil"/>
              <w:bottom w:val="single" w:color="auto" w:sz="4" w:space="0"/>
              <w:right w:val="single" w:color="auto" w:sz="4" w:space="0"/>
            </w:tcBorders>
            <w:shd w:val="clear" w:color="auto" w:fill="auto"/>
            <w:vAlign w:val="center"/>
          </w:tcPr>
          <w:p>
            <w:pPr>
              <w:jc w:val="center"/>
            </w:pPr>
            <w:r>
              <w:rPr>
                <w:rFonts w:hint="eastAsia"/>
              </w:rPr>
              <w:t>1637.32</w:t>
            </w:r>
          </w:p>
        </w:tc>
        <w:tc>
          <w:tcPr>
            <w:tcW w:w="3767" w:type="dxa"/>
            <w:tcBorders>
              <w:top w:val="nil"/>
              <w:left w:val="nil"/>
              <w:bottom w:val="single" w:color="auto" w:sz="4" w:space="0"/>
              <w:right w:val="single" w:color="auto" w:sz="4" w:space="0"/>
            </w:tcBorders>
            <w:shd w:val="clear" w:color="auto" w:fill="auto"/>
            <w:vAlign w:val="center"/>
          </w:tcPr>
          <w:p>
            <w:pPr>
              <w:jc w:val="center"/>
            </w:pPr>
            <w:r>
              <w:rPr>
                <w:rFonts w:hint="eastAsia"/>
              </w:rPr>
              <w:t>1339.34</w:t>
            </w:r>
          </w:p>
        </w:tc>
        <w:tc>
          <w:tcPr>
            <w:tcW w:w="3237"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297.98</w:t>
            </w:r>
          </w:p>
        </w:tc>
      </w:tr>
      <w:tr>
        <w:tblPrEx>
          <w:tblCellMar>
            <w:top w:w="0" w:type="dxa"/>
            <w:left w:w="108" w:type="dxa"/>
            <w:bottom w:w="0" w:type="dxa"/>
            <w:right w:w="108" w:type="dxa"/>
          </w:tblCellMar>
        </w:tblPrEx>
        <w:trPr>
          <w:gridBefore w:val="1"/>
          <w:wBefore w:w="171" w:type="dxa"/>
          <w:trHeight w:val="450" w:hRule="atLeast"/>
          <w:jc w:val="center"/>
        </w:trPr>
        <w:tc>
          <w:tcPr>
            <w:tcW w:w="1294" w:type="dxa"/>
            <w:tcBorders>
              <w:top w:val="single" w:color="auto" w:sz="4" w:space="0"/>
              <w:left w:val="single" w:color="auto" w:sz="8" w:space="0"/>
              <w:bottom w:val="single" w:color="auto" w:sz="4" w:space="0"/>
              <w:right w:val="single" w:color="auto" w:sz="4" w:space="0"/>
            </w:tcBorders>
            <w:shd w:val="clear" w:color="auto" w:fill="auto"/>
            <w:vAlign w:val="center"/>
          </w:tcPr>
          <w:p>
            <w:pPr>
              <w:jc w:val="center"/>
              <w:rPr>
                <w:rFonts w:ascii="宋体" w:hAnsi="宋体" w:eastAsia="宋体" w:cs="宋体"/>
                <w:sz w:val="24"/>
                <w:szCs w:val="24"/>
              </w:rPr>
            </w:pPr>
            <w:r>
              <w:rPr>
                <w:rFonts w:hint="eastAsia"/>
              </w:rPr>
              <w:t>20406</w:t>
            </w:r>
          </w:p>
        </w:tc>
        <w:tc>
          <w:tcPr>
            <w:tcW w:w="3805"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sz w:val="24"/>
                <w:szCs w:val="24"/>
              </w:rPr>
            </w:pPr>
            <w:r>
              <w:rPr>
                <w:rFonts w:hint="eastAsia"/>
              </w:rPr>
              <w:t>司法</w:t>
            </w:r>
          </w:p>
        </w:tc>
        <w:tc>
          <w:tcPr>
            <w:tcW w:w="3237" w:type="dxa"/>
            <w:tcBorders>
              <w:top w:val="nil"/>
              <w:left w:val="nil"/>
              <w:bottom w:val="single" w:color="auto" w:sz="4" w:space="0"/>
              <w:right w:val="single" w:color="auto" w:sz="4" w:space="0"/>
            </w:tcBorders>
            <w:shd w:val="clear" w:color="auto" w:fill="auto"/>
            <w:vAlign w:val="center"/>
          </w:tcPr>
          <w:p>
            <w:pPr>
              <w:jc w:val="center"/>
            </w:pPr>
            <w:r>
              <w:rPr>
                <w:rFonts w:hint="eastAsia"/>
              </w:rPr>
              <w:t>1637.32</w:t>
            </w:r>
          </w:p>
        </w:tc>
        <w:tc>
          <w:tcPr>
            <w:tcW w:w="3767" w:type="dxa"/>
            <w:tcBorders>
              <w:top w:val="nil"/>
              <w:left w:val="nil"/>
              <w:bottom w:val="single" w:color="auto" w:sz="4" w:space="0"/>
              <w:right w:val="single" w:color="auto" w:sz="4" w:space="0"/>
            </w:tcBorders>
            <w:shd w:val="clear" w:color="auto" w:fill="auto"/>
            <w:vAlign w:val="center"/>
          </w:tcPr>
          <w:p>
            <w:pPr>
              <w:jc w:val="center"/>
            </w:pPr>
            <w:r>
              <w:rPr>
                <w:rFonts w:hint="eastAsia"/>
              </w:rPr>
              <w:t>133934</w:t>
            </w:r>
          </w:p>
        </w:tc>
        <w:tc>
          <w:tcPr>
            <w:tcW w:w="3237"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297.98</w:t>
            </w:r>
          </w:p>
        </w:tc>
      </w:tr>
      <w:tr>
        <w:tblPrEx>
          <w:tblCellMar>
            <w:top w:w="0" w:type="dxa"/>
            <w:left w:w="108" w:type="dxa"/>
            <w:bottom w:w="0" w:type="dxa"/>
            <w:right w:w="108" w:type="dxa"/>
          </w:tblCellMar>
        </w:tblPrEx>
        <w:trPr>
          <w:gridBefore w:val="1"/>
          <w:wBefore w:w="171" w:type="dxa"/>
          <w:trHeight w:val="450" w:hRule="atLeast"/>
          <w:jc w:val="center"/>
        </w:trPr>
        <w:tc>
          <w:tcPr>
            <w:tcW w:w="1294" w:type="dxa"/>
            <w:tcBorders>
              <w:top w:val="single" w:color="auto" w:sz="4" w:space="0"/>
              <w:left w:val="single" w:color="auto" w:sz="8" w:space="0"/>
              <w:bottom w:val="single" w:color="auto" w:sz="4" w:space="0"/>
              <w:right w:val="single" w:color="auto" w:sz="4" w:space="0"/>
            </w:tcBorders>
            <w:shd w:val="clear" w:color="auto" w:fill="auto"/>
            <w:vAlign w:val="center"/>
          </w:tcPr>
          <w:p>
            <w:pPr>
              <w:jc w:val="center"/>
              <w:rPr>
                <w:rFonts w:ascii="宋体" w:hAnsi="宋体" w:eastAsia="宋体" w:cs="宋体"/>
                <w:sz w:val="24"/>
                <w:szCs w:val="24"/>
              </w:rPr>
            </w:pPr>
            <w:r>
              <w:rPr>
                <w:rFonts w:hint="eastAsia"/>
              </w:rPr>
              <w:t>2040601</w:t>
            </w:r>
          </w:p>
        </w:tc>
        <w:tc>
          <w:tcPr>
            <w:tcW w:w="3805"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sz w:val="24"/>
                <w:szCs w:val="24"/>
              </w:rPr>
            </w:pPr>
            <w:r>
              <w:rPr>
                <w:rFonts w:hint="eastAsia"/>
              </w:rPr>
              <w:t>行政运行</w:t>
            </w:r>
          </w:p>
        </w:tc>
        <w:tc>
          <w:tcPr>
            <w:tcW w:w="3237"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sz w:val="24"/>
                <w:szCs w:val="24"/>
              </w:rPr>
            </w:pPr>
            <w:r>
              <w:rPr>
                <w:rFonts w:hint="eastAsia"/>
              </w:rPr>
              <w:t>1344.85</w:t>
            </w:r>
          </w:p>
        </w:tc>
        <w:tc>
          <w:tcPr>
            <w:tcW w:w="3767"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sz w:val="24"/>
                <w:szCs w:val="24"/>
              </w:rPr>
            </w:pPr>
            <w:r>
              <w:rPr>
                <w:rFonts w:hint="eastAsia"/>
              </w:rPr>
              <w:t>1339.34</w:t>
            </w:r>
          </w:p>
        </w:tc>
        <w:tc>
          <w:tcPr>
            <w:tcW w:w="3237"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5.51</w:t>
            </w:r>
          </w:p>
        </w:tc>
      </w:tr>
      <w:tr>
        <w:tblPrEx>
          <w:tblCellMar>
            <w:top w:w="0" w:type="dxa"/>
            <w:left w:w="108" w:type="dxa"/>
            <w:bottom w:w="0" w:type="dxa"/>
            <w:right w:w="108" w:type="dxa"/>
          </w:tblCellMar>
        </w:tblPrEx>
        <w:trPr>
          <w:gridBefore w:val="1"/>
          <w:wBefore w:w="171" w:type="dxa"/>
          <w:trHeight w:val="450" w:hRule="atLeast"/>
          <w:jc w:val="center"/>
        </w:trPr>
        <w:tc>
          <w:tcPr>
            <w:tcW w:w="1294" w:type="dxa"/>
            <w:tcBorders>
              <w:top w:val="single" w:color="auto" w:sz="4" w:space="0"/>
              <w:left w:val="single" w:color="auto" w:sz="8" w:space="0"/>
              <w:bottom w:val="single" w:color="auto" w:sz="4" w:space="0"/>
              <w:right w:val="single" w:color="auto" w:sz="4" w:space="0"/>
            </w:tcBorders>
            <w:shd w:val="clear" w:color="auto" w:fill="auto"/>
            <w:vAlign w:val="center"/>
          </w:tcPr>
          <w:p>
            <w:pPr>
              <w:jc w:val="center"/>
              <w:rPr>
                <w:rFonts w:ascii="宋体" w:hAnsi="宋体" w:eastAsia="宋体" w:cs="宋体"/>
                <w:sz w:val="24"/>
                <w:szCs w:val="24"/>
              </w:rPr>
            </w:pPr>
            <w:r>
              <w:rPr>
                <w:rFonts w:hint="eastAsia"/>
              </w:rPr>
              <w:t>2040602</w:t>
            </w:r>
          </w:p>
        </w:tc>
        <w:tc>
          <w:tcPr>
            <w:tcW w:w="3805"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sz w:val="24"/>
                <w:szCs w:val="24"/>
              </w:rPr>
            </w:pPr>
            <w:r>
              <w:rPr>
                <w:rFonts w:hint="eastAsia"/>
              </w:rPr>
              <w:t>一般行政管理事务</w:t>
            </w:r>
          </w:p>
        </w:tc>
        <w:tc>
          <w:tcPr>
            <w:tcW w:w="3237"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sz w:val="24"/>
                <w:szCs w:val="24"/>
              </w:rPr>
            </w:pPr>
            <w:r>
              <w:rPr>
                <w:rFonts w:hint="eastAsia"/>
              </w:rPr>
              <w:t>55.41</w:t>
            </w:r>
          </w:p>
        </w:tc>
        <w:tc>
          <w:tcPr>
            <w:tcW w:w="3767"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sz w:val="24"/>
                <w:szCs w:val="24"/>
              </w:rPr>
            </w:pPr>
          </w:p>
        </w:tc>
        <w:tc>
          <w:tcPr>
            <w:tcW w:w="3237"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rPr>
              <w:t>55.41</w:t>
            </w:r>
          </w:p>
        </w:tc>
      </w:tr>
      <w:tr>
        <w:tblPrEx>
          <w:tblCellMar>
            <w:top w:w="0" w:type="dxa"/>
            <w:left w:w="108" w:type="dxa"/>
            <w:bottom w:w="0" w:type="dxa"/>
            <w:right w:w="108" w:type="dxa"/>
          </w:tblCellMar>
        </w:tblPrEx>
        <w:trPr>
          <w:gridBefore w:val="1"/>
          <w:wBefore w:w="171" w:type="dxa"/>
          <w:trHeight w:val="450" w:hRule="atLeast"/>
          <w:jc w:val="center"/>
        </w:trPr>
        <w:tc>
          <w:tcPr>
            <w:tcW w:w="1294" w:type="dxa"/>
            <w:tcBorders>
              <w:top w:val="single" w:color="auto" w:sz="4" w:space="0"/>
              <w:left w:val="single" w:color="auto" w:sz="8" w:space="0"/>
              <w:bottom w:val="single" w:color="auto" w:sz="4" w:space="0"/>
              <w:right w:val="single" w:color="auto" w:sz="4" w:space="0"/>
            </w:tcBorders>
            <w:shd w:val="clear" w:color="auto" w:fill="auto"/>
            <w:vAlign w:val="center"/>
          </w:tcPr>
          <w:p>
            <w:pPr>
              <w:jc w:val="center"/>
            </w:pPr>
            <w:r>
              <w:rPr>
                <w:rFonts w:hint="eastAsia"/>
              </w:rPr>
              <w:t>2040603</w:t>
            </w:r>
          </w:p>
        </w:tc>
        <w:tc>
          <w:tcPr>
            <w:tcW w:w="3805" w:type="dxa"/>
            <w:tcBorders>
              <w:top w:val="nil"/>
              <w:left w:val="nil"/>
              <w:bottom w:val="single" w:color="auto" w:sz="4" w:space="0"/>
              <w:right w:val="single" w:color="auto" w:sz="4" w:space="0"/>
            </w:tcBorders>
            <w:shd w:val="clear" w:color="auto" w:fill="auto"/>
            <w:vAlign w:val="center"/>
          </w:tcPr>
          <w:p>
            <w:pPr>
              <w:jc w:val="center"/>
            </w:pPr>
            <w:r>
              <w:rPr>
                <w:rFonts w:hint="eastAsia"/>
              </w:rPr>
              <w:t>机关服务</w:t>
            </w:r>
          </w:p>
        </w:tc>
        <w:tc>
          <w:tcPr>
            <w:tcW w:w="3237" w:type="dxa"/>
            <w:tcBorders>
              <w:top w:val="nil"/>
              <w:left w:val="nil"/>
              <w:bottom w:val="single" w:color="auto" w:sz="4" w:space="0"/>
              <w:right w:val="single" w:color="auto" w:sz="4" w:space="0"/>
            </w:tcBorders>
            <w:shd w:val="clear" w:color="auto" w:fill="auto"/>
            <w:vAlign w:val="center"/>
          </w:tcPr>
          <w:p>
            <w:pPr>
              <w:jc w:val="center"/>
            </w:pPr>
            <w:r>
              <w:rPr>
                <w:rFonts w:hint="eastAsia"/>
              </w:rPr>
              <w:t>18.65</w:t>
            </w:r>
          </w:p>
        </w:tc>
        <w:tc>
          <w:tcPr>
            <w:tcW w:w="3767"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sz w:val="24"/>
                <w:szCs w:val="24"/>
              </w:rPr>
            </w:pPr>
          </w:p>
        </w:tc>
        <w:tc>
          <w:tcPr>
            <w:tcW w:w="3237" w:type="dxa"/>
            <w:tcBorders>
              <w:top w:val="nil"/>
              <w:left w:val="nil"/>
              <w:bottom w:val="single" w:color="auto" w:sz="4" w:space="0"/>
              <w:right w:val="single" w:color="auto" w:sz="8" w:space="0"/>
            </w:tcBorders>
            <w:shd w:val="clear" w:color="auto" w:fill="auto"/>
            <w:vAlign w:val="center"/>
          </w:tcPr>
          <w:p>
            <w:pPr>
              <w:jc w:val="center"/>
            </w:pPr>
            <w:r>
              <w:rPr>
                <w:rFonts w:hint="eastAsia"/>
              </w:rPr>
              <w:t>18.65</w:t>
            </w:r>
          </w:p>
        </w:tc>
      </w:tr>
      <w:tr>
        <w:tblPrEx>
          <w:tblCellMar>
            <w:top w:w="0" w:type="dxa"/>
            <w:left w:w="108" w:type="dxa"/>
            <w:bottom w:w="0" w:type="dxa"/>
            <w:right w:w="108" w:type="dxa"/>
          </w:tblCellMar>
        </w:tblPrEx>
        <w:trPr>
          <w:gridBefore w:val="1"/>
          <w:wBefore w:w="171" w:type="dxa"/>
          <w:trHeight w:val="450" w:hRule="atLeast"/>
          <w:jc w:val="center"/>
        </w:trPr>
        <w:tc>
          <w:tcPr>
            <w:tcW w:w="1294" w:type="dxa"/>
            <w:tcBorders>
              <w:top w:val="single" w:color="auto" w:sz="4" w:space="0"/>
              <w:left w:val="single" w:color="auto" w:sz="8" w:space="0"/>
              <w:bottom w:val="single" w:color="auto" w:sz="4" w:space="0"/>
              <w:right w:val="single" w:color="auto" w:sz="4" w:space="0"/>
            </w:tcBorders>
            <w:shd w:val="clear" w:color="auto" w:fill="auto"/>
            <w:vAlign w:val="center"/>
          </w:tcPr>
          <w:p>
            <w:pPr>
              <w:jc w:val="center"/>
              <w:rPr>
                <w:rFonts w:ascii="宋体" w:hAnsi="宋体" w:eastAsia="宋体" w:cs="宋体"/>
                <w:sz w:val="24"/>
                <w:szCs w:val="24"/>
              </w:rPr>
            </w:pPr>
            <w:r>
              <w:rPr>
                <w:rFonts w:hint="eastAsia"/>
              </w:rPr>
              <w:t>2040604</w:t>
            </w:r>
          </w:p>
        </w:tc>
        <w:tc>
          <w:tcPr>
            <w:tcW w:w="3805"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sz w:val="24"/>
                <w:szCs w:val="24"/>
              </w:rPr>
            </w:pPr>
            <w:r>
              <w:rPr>
                <w:rFonts w:hint="eastAsia"/>
              </w:rPr>
              <w:t>基层司法业务</w:t>
            </w:r>
          </w:p>
        </w:tc>
        <w:tc>
          <w:tcPr>
            <w:tcW w:w="3237"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sz w:val="24"/>
                <w:szCs w:val="24"/>
              </w:rPr>
            </w:pPr>
            <w:r>
              <w:rPr>
                <w:rFonts w:hint="eastAsia"/>
              </w:rPr>
              <w:t>46.79</w:t>
            </w:r>
          </w:p>
        </w:tc>
        <w:tc>
          <w:tcPr>
            <w:tcW w:w="3767"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sz w:val="24"/>
                <w:szCs w:val="24"/>
              </w:rPr>
            </w:pPr>
          </w:p>
        </w:tc>
        <w:tc>
          <w:tcPr>
            <w:tcW w:w="3237" w:type="dxa"/>
            <w:tcBorders>
              <w:top w:val="nil"/>
              <w:left w:val="nil"/>
              <w:bottom w:val="single" w:color="auto" w:sz="4" w:space="0"/>
              <w:right w:val="single" w:color="auto" w:sz="8" w:space="0"/>
            </w:tcBorders>
            <w:shd w:val="clear" w:color="auto" w:fill="auto"/>
            <w:vAlign w:val="center"/>
          </w:tcPr>
          <w:p>
            <w:pPr>
              <w:jc w:val="center"/>
              <w:rPr>
                <w:rFonts w:ascii="宋体" w:hAnsi="宋体" w:eastAsia="宋体" w:cs="宋体"/>
                <w:sz w:val="24"/>
                <w:szCs w:val="24"/>
              </w:rPr>
            </w:pPr>
            <w:r>
              <w:rPr>
                <w:rFonts w:hint="eastAsia"/>
              </w:rPr>
              <w:t>46.79</w:t>
            </w:r>
          </w:p>
        </w:tc>
      </w:tr>
      <w:tr>
        <w:tblPrEx>
          <w:tblCellMar>
            <w:top w:w="0" w:type="dxa"/>
            <w:left w:w="108" w:type="dxa"/>
            <w:bottom w:w="0" w:type="dxa"/>
            <w:right w:w="108" w:type="dxa"/>
          </w:tblCellMar>
        </w:tblPrEx>
        <w:trPr>
          <w:gridBefore w:val="1"/>
          <w:wBefore w:w="171" w:type="dxa"/>
          <w:trHeight w:val="450" w:hRule="atLeast"/>
          <w:jc w:val="center"/>
        </w:trPr>
        <w:tc>
          <w:tcPr>
            <w:tcW w:w="1294" w:type="dxa"/>
            <w:tcBorders>
              <w:top w:val="single" w:color="auto" w:sz="4" w:space="0"/>
              <w:left w:val="single" w:color="auto" w:sz="8" w:space="0"/>
              <w:bottom w:val="single" w:color="auto" w:sz="4" w:space="0"/>
              <w:right w:val="single" w:color="auto" w:sz="4" w:space="0"/>
            </w:tcBorders>
            <w:shd w:val="clear" w:color="auto" w:fill="auto"/>
            <w:vAlign w:val="center"/>
          </w:tcPr>
          <w:p>
            <w:pPr>
              <w:jc w:val="center"/>
              <w:rPr>
                <w:rFonts w:ascii="宋体" w:hAnsi="宋体" w:eastAsia="宋体" w:cs="宋体"/>
                <w:sz w:val="24"/>
                <w:szCs w:val="24"/>
              </w:rPr>
            </w:pPr>
            <w:r>
              <w:rPr>
                <w:rFonts w:hint="eastAsia"/>
              </w:rPr>
              <w:t>2040605</w:t>
            </w:r>
          </w:p>
        </w:tc>
        <w:tc>
          <w:tcPr>
            <w:tcW w:w="3805"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sz w:val="24"/>
                <w:szCs w:val="24"/>
              </w:rPr>
            </w:pPr>
            <w:r>
              <w:rPr>
                <w:rFonts w:hint="eastAsia"/>
              </w:rPr>
              <w:t>普法宣传</w:t>
            </w:r>
          </w:p>
        </w:tc>
        <w:tc>
          <w:tcPr>
            <w:tcW w:w="3237"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sz w:val="24"/>
                <w:szCs w:val="24"/>
              </w:rPr>
            </w:pPr>
            <w:r>
              <w:rPr>
                <w:rFonts w:hint="eastAsia"/>
              </w:rPr>
              <w:t>32.04</w:t>
            </w:r>
          </w:p>
        </w:tc>
        <w:tc>
          <w:tcPr>
            <w:tcW w:w="3767"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sz w:val="24"/>
                <w:szCs w:val="24"/>
              </w:rPr>
            </w:pPr>
          </w:p>
        </w:tc>
        <w:tc>
          <w:tcPr>
            <w:tcW w:w="3237" w:type="dxa"/>
            <w:tcBorders>
              <w:top w:val="nil"/>
              <w:left w:val="nil"/>
              <w:bottom w:val="single" w:color="auto" w:sz="4" w:space="0"/>
              <w:right w:val="single" w:color="auto" w:sz="8" w:space="0"/>
            </w:tcBorders>
            <w:shd w:val="clear" w:color="auto" w:fill="auto"/>
            <w:vAlign w:val="center"/>
          </w:tcPr>
          <w:p>
            <w:pPr>
              <w:jc w:val="center"/>
              <w:rPr>
                <w:rFonts w:ascii="宋体" w:hAnsi="宋体" w:eastAsia="宋体" w:cs="宋体"/>
                <w:sz w:val="24"/>
                <w:szCs w:val="24"/>
              </w:rPr>
            </w:pPr>
            <w:r>
              <w:rPr>
                <w:rFonts w:hint="eastAsia"/>
              </w:rPr>
              <w:t>32.04</w:t>
            </w:r>
          </w:p>
        </w:tc>
      </w:tr>
      <w:tr>
        <w:tblPrEx>
          <w:tblCellMar>
            <w:top w:w="0" w:type="dxa"/>
            <w:left w:w="108" w:type="dxa"/>
            <w:bottom w:w="0" w:type="dxa"/>
            <w:right w:w="108" w:type="dxa"/>
          </w:tblCellMar>
        </w:tblPrEx>
        <w:trPr>
          <w:gridBefore w:val="1"/>
          <w:wBefore w:w="171" w:type="dxa"/>
          <w:trHeight w:val="450" w:hRule="atLeast"/>
          <w:jc w:val="center"/>
        </w:trPr>
        <w:tc>
          <w:tcPr>
            <w:tcW w:w="1294" w:type="dxa"/>
            <w:tcBorders>
              <w:top w:val="single" w:color="auto" w:sz="4" w:space="0"/>
              <w:left w:val="single" w:color="auto" w:sz="8" w:space="0"/>
              <w:bottom w:val="single" w:color="auto" w:sz="4" w:space="0"/>
              <w:right w:val="single" w:color="auto" w:sz="4" w:space="0"/>
            </w:tcBorders>
            <w:shd w:val="clear" w:color="auto" w:fill="auto"/>
            <w:vAlign w:val="center"/>
          </w:tcPr>
          <w:p>
            <w:pPr>
              <w:jc w:val="center"/>
            </w:pPr>
            <w:r>
              <w:rPr>
                <w:rFonts w:hint="eastAsia"/>
              </w:rPr>
              <w:t>2040607</w:t>
            </w:r>
          </w:p>
        </w:tc>
        <w:tc>
          <w:tcPr>
            <w:tcW w:w="3805" w:type="dxa"/>
            <w:tcBorders>
              <w:top w:val="nil"/>
              <w:left w:val="nil"/>
              <w:bottom w:val="single" w:color="auto" w:sz="4" w:space="0"/>
              <w:right w:val="single" w:color="auto" w:sz="4" w:space="0"/>
            </w:tcBorders>
            <w:shd w:val="clear" w:color="auto" w:fill="auto"/>
            <w:vAlign w:val="center"/>
          </w:tcPr>
          <w:p>
            <w:pPr>
              <w:jc w:val="center"/>
            </w:pPr>
            <w:r>
              <w:rPr>
                <w:rFonts w:hint="eastAsia"/>
              </w:rPr>
              <w:t>公共法律服务</w:t>
            </w:r>
          </w:p>
        </w:tc>
        <w:tc>
          <w:tcPr>
            <w:tcW w:w="3237" w:type="dxa"/>
            <w:tcBorders>
              <w:top w:val="nil"/>
              <w:left w:val="nil"/>
              <w:bottom w:val="single" w:color="auto" w:sz="4" w:space="0"/>
              <w:right w:val="single" w:color="auto" w:sz="4" w:space="0"/>
            </w:tcBorders>
            <w:shd w:val="clear" w:color="auto" w:fill="auto"/>
            <w:vAlign w:val="center"/>
          </w:tcPr>
          <w:p>
            <w:pPr>
              <w:jc w:val="center"/>
            </w:pPr>
            <w:r>
              <w:rPr>
                <w:rFonts w:hint="eastAsia"/>
              </w:rPr>
              <w:t>41.34</w:t>
            </w:r>
          </w:p>
        </w:tc>
        <w:tc>
          <w:tcPr>
            <w:tcW w:w="3767" w:type="dxa"/>
            <w:tcBorders>
              <w:top w:val="nil"/>
              <w:left w:val="nil"/>
              <w:bottom w:val="single" w:color="auto" w:sz="4" w:space="0"/>
              <w:right w:val="single" w:color="auto" w:sz="4" w:space="0"/>
            </w:tcBorders>
            <w:shd w:val="clear" w:color="auto" w:fill="auto"/>
            <w:vAlign w:val="center"/>
          </w:tcPr>
          <w:p>
            <w:pPr>
              <w:jc w:val="center"/>
            </w:pPr>
          </w:p>
        </w:tc>
        <w:tc>
          <w:tcPr>
            <w:tcW w:w="3237" w:type="dxa"/>
            <w:tcBorders>
              <w:top w:val="nil"/>
              <w:left w:val="nil"/>
              <w:bottom w:val="single" w:color="auto" w:sz="4" w:space="0"/>
              <w:right w:val="single" w:color="auto" w:sz="8" w:space="0"/>
            </w:tcBorders>
            <w:shd w:val="clear" w:color="auto" w:fill="auto"/>
            <w:vAlign w:val="center"/>
          </w:tcPr>
          <w:p>
            <w:pPr>
              <w:jc w:val="center"/>
            </w:pPr>
            <w:r>
              <w:rPr>
                <w:rFonts w:hint="eastAsia"/>
              </w:rPr>
              <w:t>41.34</w:t>
            </w:r>
          </w:p>
        </w:tc>
      </w:tr>
      <w:tr>
        <w:tblPrEx>
          <w:tblCellMar>
            <w:top w:w="0" w:type="dxa"/>
            <w:left w:w="108" w:type="dxa"/>
            <w:bottom w:w="0" w:type="dxa"/>
            <w:right w:w="108" w:type="dxa"/>
          </w:tblCellMar>
        </w:tblPrEx>
        <w:trPr>
          <w:gridBefore w:val="1"/>
          <w:wBefore w:w="171" w:type="dxa"/>
          <w:trHeight w:val="450" w:hRule="atLeast"/>
          <w:jc w:val="center"/>
        </w:trPr>
        <w:tc>
          <w:tcPr>
            <w:tcW w:w="1294" w:type="dxa"/>
            <w:tcBorders>
              <w:top w:val="single" w:color="auto" w:sz="4" w:space="0"/>
              <w:left w:val="single" w:color="auto" w:sz="8" w:space="0"/>
              <w:bottom w:val="single" w:color="auto" w:sz="4" w:space="0"/>
              <w:right w:val="single" w:color="auto" w:sz="4" w:space="0"/>
            </w:tcBorders>
            <w:shd w:val="clear" w:color="auto" w:fill="auto"/>
            <w:vAlign w:val="center"/>
          </w:tcPr>
          <w:p>
            <w:pPr>
              <w:jc w:val="center"/>
            </w:pPr>
            <w:r>
              <w:rPr>
                <w:rFonts w:hint="eastAsia"/>
              </w:rPr>
              <w:t>2040610</w:t>
            </w:r>
          </w:p>
        </w:tc>
        <w:tc>
          <w:tcPr>
            <w:tcW w:w="3805" w:type="dxa"/>
            <w:tcBorders>
              <w:top w:val="nil"/>
              <w:left w:val="nil"/>
              <w:bottom w:val="single" w:color="auto" w:sz="4" w:space="0"/>
              <w:right w:val="single" w:color="auto" w:sz="4" w:space="0"/>
            </w:tcBorders>
            <w:shd w:val="clear" w:color="auto" w:fill="auto"/>
            <w:vAlign w:val="center"/>
          </w:tcPr>
          <w:p>
            <w:pPr>
              <w:jc w:val="center"/>
            </w:pPr>
            <w:r>
              <w:rPr>
                <w:rFonts w:hint="eastAsia"/>
              </w:rPr>
              <w:t>社区矫正</w:t>
            </w:r>
          </w:p>
        </w:tc>
        <w:tc>
          <w:tcPr>
            <w:tcW w:w="3237" w:type="dxa"/>
            <w:tcBorders>
              <w:top w:val="nil"/>
              <w:left w:val="nil"/>
              <w:bottom w:val="single" w:color="auto" w:sz="4" w:space="0"/>
              <w:right w:val="single" w:color="auto" w:sz="4" w:space="0"/>
            </w:tcBorders>
            <w:shd w:val="clear" w:color="auto" w:fill="auto"/>
            <w:vAlign w:val="center"/>
          </w:tcPr>
          <w:p>
            <w:pPr>
              <w:jc w:val="center"/>
            </w:pPr>
            <w:r>
              <w:rPr>
                <w:rFonts w:hint="eastAsia"/>
              </w:rPr>
              <w:t>53.53</w:t>
            </w:r>
          </w:p>
        </w:tc>
        <w:tc>
          <w:tcPr>
            <w:tcW w:w="3767" w:type="dxa"/>
            <w:tcBorders>
              <w:top w:val="nil"/>
              <w:left w:val="nil"/>
              <w:bottom w:val="single" w:color="auto" w:sz="4" w:space="0"/>
              <w:right w:val="single" w:color="auto" w:sz="4" w:space="0"/>
            </w:tcBorders>
            <w:shd w:val="clear" w:color="auto" w:fill="auto"/>
            <w:vAlign w:val="center"/>
          </w:tcPr>
          <w:p>
            <w:pPr>
              <w:jc w:val="center"/>
            </w:pPr>
          </w:p>
        </w:tc>
        <w:tc>
          <w:tcPr>
            <w:tcW w:w="3237" w:type="dxa"/>
            <w:tcBorders>
              <w:top w:val="nil"/>
              <w:left w:val="nil"/>
              <w:bottom w:val="single" w:color="auto" w:sz="4" w:space="0"/>
              <w:right w:val="single" w:color="auto" w:sz="8" w:space="0"/>
            </w:tcBorders>
            <w:shd w:val="clear" w:color="auto" w:fill="auto"/>
            <w:vAlign w:val="center"/>
          </w:tcPr>
          <w:p>
            <w:pPr>
              <w:jc w:val="center"/>
            </w:pPr>
            <w:r>
              <w:rPr>
                <w:rFonts w:hint="eastAsia"/>
              </w:rPr>
              <w:t>53.53</w:t>
            </w:r>
          </w:p>
        </w:tc>
      </w:tr>
      <w:tr>
        <w:tblPrEx>
          <w:tblCellMar>
            <w:top w:w="0" w:type="dxa"/>
            <w:left w:w="108" w:type="dxa"/>
            <w:bottom w:w="0" w:type="dxa"/>
            <w:right w:w="108" w:type="dxa"/>
          </w:tblCellMar>
        </w:tblPrEx>
        <w:trPr>
          <w:gridBefore w:val="1"/>
          <w:wBefore w:w="171" w:type="dxa"/>
          <w:trHeight w:val="450" w:hRule="atLeast"/>
          <w:jc w:val="center"/>
        </w:trPr>
        <w:tc>
          <w:tcPr>
            <w:tcW w:w="1294" w:type="dxa"/>
            <w:tcBorders>
              <w:top w:val="single" w:color="auto" w:sz="4" w:space="0"/>
              <w:left w:val="single" w:color="auto" w:sz="8" w:space="0"/>
              <w:bottom w:val="single" w:color="auto" w:sz="8" w:space="0"/>
              <w:right w:val="single" w:color="auto" w:sz="4" w:space="0"/>
            </w:tcBorders>
            <w:shd w:val="clear" w:color="auto" w:fill="auto"/>
            <w:vAlign w:val="center"/>
          </w:tcPr>
          <w:p>
            <w:pPr>
              <w:jc w:val="center"/>
            </w:pPr>
            <w:r>
              <w:rPr>
                <w:rFonts w:hint="eastAsia"/>
              </w:rPr>
              <w:t>2040612</w:t>
            </w:r>
          </w:p>
        </w:tc>
        <w:tc>
          <w:tcPr>
            <w:tcW w:w="3805" w:type="dxa"/>
            <w:tcBorders>
              <w:top w:val="nil"/>
              <w:left w:val="nil"/>
              <w:bottom w:val="single" w:color="auto" w:sz="8" w:space="0"/>
              <w:right w:val="single" w:color="auto" w:sz="4" w:space="0"/>
            </w:tcBorders>
            <w:shd w:val="clear" w:color="auto" w:fill="auto"/>
            <w:vAlign w:val="center"/>
          </w:tcPr>
          <w:p>
            <w:pPr>
              <w:jc w:val="center"/>
            </w:pPr>
            <w:r>
              <w:rPr>
                <w:rFonts w:hint="eastAsia"/>
              </w:rPr>
              <w:t xml:space="preserve">法制建设 </w:t>
            </w:r>
          </w:p>
        </w:tc>
        <w:tc>
          <w:tcPr>
            <w:tcW w:w="3237" w:type="dxa"/>
            <w:tcBorders>
              <w:top w:val="nil"/>
              <w:left w:val="nil"/>
              <w:bottom w:val="single" w:color="auto" w:sz="8" w:space="0"/>
              <w:right w:val="single" w:color="auto" w:sz="4" w:space="0"/>
            </w:tcBorders>
            <w:shd w:val="clear" w:color="auto" w:fill="auto"/>
            <w:vAlign w:val="center"/>
          </w:tcPr>
          <w:p>
            <w:pPr>
              <w:jc w:val="center"/>
            </w:pPr>
            <w:r>
              <w:rPr>
                <w:rFonts w:hint="eastAsia"/>
              </w:rPr>
              <w:t>39.29</w:t>
            </w:r>
          </w:p>
        </w:tc>
        <w:tc>
          <w:tcPr>
            <w:tcW w:w="3767" w:type="dxa"/>
            <w:tcBorders>
              <w:top w:val="nil"/>
              <w:left w:val="nil"/>
              <w:bottom w:val="single" w:color="auto" w:sz="8" w:space="0"/>
              <w:right w:val="single" w:color="auto" w:sz="4" w:space="0"/>
            </w:tcBorders>
            <w:shd w:val="clear" w:color="auto" w:fill="auto"/>
            <w:vAlign w:val="center"/>
          </w:tcPr>
          <w:p>
            <w:pPr>
              <w:jc w:val="center"/>
            </w:pPr>
          </w:p>
        </w:tc>
        <w:tc>
          <w:tcPr>
            <w:tcW w:w="3237" w:type="dxa"/>
            <w:tcBorders>
              <w:top w:val="nil"/>
              <w:left w:val="nil"/>
              <w:bottom w:val="single" w:color="auto" w:sz="8" w:space="0"/>
              <w:right w:val="single" w:color="auto" w:sz="8" w:space="0"/>
            </w:tcBorders>
            <w:shd w:val="clear" w:color="auto" w:fill="auto"/>
            <w:vAlign w:val="center"/>
          </w:tcPr>
          <w:p>
            <w:pPr>
              <w:jc w:val="center"/>
            </w:pPr>
            <w:r>
              <w:rPr>
                <w:rFonts w:hint="eastAsia"/>
              </w:rPr>
              <w:t>39.29</w:t>
            </w:r>
          </w:p>
        </w:tc>
      </w:tr>
      <w:tr>
        <w:tblPrEx>
          <w:tblCellMar>
            <w:top w:w="0" w:type="dxa"/>
            <w:left w:w="108" w:type="dxa"/>
            <w:bottom w:w="0" w:type="dxa"/>
            <w:right w:w="108" w:type="dxa"/>
          </w:tblCellMar>
        </w:tblPrEx>
        <w:trPr>
          <w:gridBefore w:val="1"/>
          <w:wBefore w:w="171" w:type="dxa"/>
          <w:trHeight w:val="450" w:hRule="atLeast"/>
          <w:jc w:val="center"/>
        </w:trPr>
        <w:tc>
          <w:tcPr>
            <w:tcW w:w="1294" w:type="dxa"/>
            <w:tcBorders>
              <w:top w:val="single" w:color="auto" w:sz="4" w:space="0"/>
              <w:left w:val="single" w:color="auto" w:sz="8" w:space="0"/>
              <w:bottom w:val="single" w:color="auto" w:sz="8" w:space="0"/>
              <w:right w:val="single" w:color="auto" w:sz="4" w:space="0"/>
            </w:tcBorders>
            <w:shd w:val="clear" w:color="auto" w:fill="auto"/>
            <w:vAlign w:val="center"/>
          </w:tcPr>
          <w:p>
            <w:pPr>
              <w:jc w:val="center"/>
            </w:pPr>
            <w:r>
              <w:rPr>
                <w:rFonts w:hint="eastAsia"/>
              </w:rPr>
              <w:t>2040699</w:t>
            </w:r>
          </w:p>
        </w:tc>
        <w:tc>
          <w:tcPr>
            <w:tcW w:w="3805" w:type="dxa"/>
            <w:tcBorders>
              <w:top w:val="nil"/>
              <w:left w:val="nil"/>
              <w:bottom w:val="single" w:color="auto" w:sz="8" w:space="0"/>
              <w:right w:val="single" w:color="auto" w:sz="4" w:space="0"/>
            </w:tcBorders>
            <w:shd w:val="clear" w:color="auto" w:fill="auto"/>
            <w:vAlign w:val="center"/>
          </w:tcPr>
          <w:p>
            <w:pPr>
              <w:jc w:val="center"/>
            </w:pPr>
            <w:r>
              <w:rPr>
                <w:rFonts w:hint="eastAsia"/>
              </w:rPr>
              <w:t>其他司法支出</w:t>
            </w:r>
          </w:p>
        </w:tc>
        <w:tc>
          <w:tcPr>
            <w:tcW w:w="3237" w:type="dxa"/>
            <w:tcBorders>
              <w:top w:val="nil"/>
              <w:left w:val="nil"/>
              <w:bottom w:val="single" w:color="auto" w:sz="8" w:space="0"/>
              <w:right w:val="single" w:color="auto" w:sz="4" w:space="0"/>
            </w:tcBorders>
            <w:shd w:val="clear" w:color="auto" w:fill="auto"/>
            <w:vAlign w:val="center"/>
          </w:tcPr>
          <w:p>
            <w:pPr>
              <w:jc w:val="center"/>
            </w:pPr>
            <w:r>
              <w:rPr>
                <w:rFonts w:hint="eastAsia"/>
              </w:rPr>
              <w:t>5.42</w:t>
            </w:r>
          </w:p>
        </w:tc>
        <w:tc>
          <w:tcPr>
            <w:tcW w:w="3767" w:type="dxa"/>
            <w:tcBorders>
              <w:top w:val="nil"/>
              <w:left w:val="nil"/>
              <w:bottom w:val="single" w:color="auto" w:sz="8" w:space="0"/>
              <w:right w:val="single" w:color="auto" w:sz="4" w:space="0"/>
            </w:tcBorders>
            <w:shd w:val="clear" w:color="auto" w:fill="auto"/>
            <w:vAlign w:val="center"/>
          </w:tcPr>
          <w:p>
            <w:pPr>
              <w:jc w:val="center"/>
            </w:pPr>
          </w:p>
        </w:tc>
        <w:tc>
          <w:tcPr>
            <w:tcW w:w="3237" w:type="dxa"/>
            <w:tcBorders>
              <w:top w:val="nil"/>
              <w:left w:val="nil"/>
              <w:bottom w:val="single" w:color="auto" w:sz="8" w:space="0"/>
              <w:right w:val="single" w:color="auto" w:sz="8" w:space="0"/>
            </w:tcBorders>
            <w:shd w:val="clear" w:color="auto" w:fill="auto"/>
            <w:vAlign w:val="center"/>
          </w:tcPr>
          <w:p>
            <w:pPr>
              <w:jc w:val="center"/>
            </w:pPr>
            <w:r>
              <w:rPr>
                <w:rFonts w:hint="eastAsia"/>
              </w:rPr>
              <w:t>5.42</w:t>
            </w:r>
          </w:p>
        </w:tc>
      </w:tr>
      <w:tr>
        <w:tblPrEx>
          <w:tblCellMar>
            <w:top w:w="0" w:type="dxa"/>
            <w:left w:w="108" w:type="dxa"/>
            <w:bottom w:w="0" w:type="dxa"/>
            <w:right w:w="108" w:type="dxa"/>
          </w:tblCellMar>
        </w:tblPrEx>
        <w:trPr>
          <w:trHeight w:val="645" w:hRule="atLeast"/>
          <w:jc w:val="center"/>
        </w:trPr>
        <w:tc>
          <w:tcPr>
            <w:tcW w:w="15511" w:type="dxa"/>
            <w:gridSpan w:val="6"/>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tbl>
      <w:tblPr>
        <w:tblStyle w:val="6"/>
        <w:tblpPr w:leftFromText="180" w:rightFromText="180" w:vertAnchor="text" w:horzAnchor="margin" w:tblpY="92"/>
        <w:tblW w:w="15340" w:type="dxa"/>
        <w:tblInd w:w="0" w:type="dxa"/>
        <w:tblLayout w:type="fixed"/>
        <w:tblCellMar>
          <w:top w:w="0" w:type="dxa"/>
          <w:left w:w="108" w:type="dxa"/>
          <w:bottom w:w="0" w:type="dxa"/>
          <w:right w:w="108" w:type="dxa"/>
        </w:tblCellMar>
      </w:tblPr>
      <w:tblGrid>
        <w:gridCol w:w="1314"/>
        <w:gridCol w:w="2905"/>
        <w:gridCol w:w="1120"/>
        <w:gridCol w:w="1191"/>
        <w:gridCol w:w="2316"/>
        <w:gridCol w:w="1185"/>
        <w:gridCol w:w="1417"/>
        <w:gridCol w:w="2977"/>
        <w:gridCol w:w="915"/>
      </w:tblGrid>
      <w:tr>
        <w:tblPrEx>
          <w:tblCellMar>
            <w:top w:w="0" w:type="dxa"/>
            <w:left w:w="108" w:type="dxa"/>
            <w:bottom w:w="0" w:type="dxa"/>
            <w:right w:w="108" w:type="dxa"/>
          </w:tblCellMar>
        </w:tblPrEx>
        <w:trPr>
          <w:trHeight w:val="744" w:hRule="atLeast"/>
        </w:trPr>
        <w:tc>
          <w:tcPr>
            <w:tcW w:w="15340"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b/>
                <w:color w:val="000000"/>
                <w:kern w:val="0"/>
                <w:sz w:val="20"/>
                <w:szCs w:val="32"/>
              </w:rPr>
            </w:pPr>
            <w:bookmarkStart w:id="2" w:name="RANGE!A1:I34"/>
            <w:r>
              <w:rPr>
                <w:rFonts w:hint="eastAsia" w:ascii="华文中宋" w:hAnsi="华文中宋" w:eastAsia="华文中宋" w:cs="宋体"/>
                <w:b/>
                <w:color w:val="000000"/>
                <w:kern w:val="0"/>
                <w:sz w:val="20"/>
                <w:szCs w:val="32"/>
              </w:rPr>
              <w:t>一般公共预算财政拨款基本支出决算表</w:t>
            </w:r>
            <w:bookmarkEnd w:id="2"/>
          </w:p>
          <w:p>
            <w:pPr>
              <w:widowControl/>
              <w:jc w:val="left"/>
              <w:rPr>
                <w:rFonts w:ascii="Times New Roman" w:hAnsi="Times New Roman" w:eastAsia="仿宋_GB2312" w:cs="Times New Roman"/>
                <w:b/>
                <w:color w:val="000000"/>
                <w:kern w:val="0"/>
                <w:szCs w:val="21"/>
              </w:rPr>
            </w:pPr>
            <w:r>
              <w:rPr>
                <w:rFonts w:ascii="Times New Roman" w:hAnsi="Times New Roman" w:eastAsia="仿宋_GB2312" w:cs="Times New Roman"/>
                <w:b/>
                <w:color w:val="000000"/>
                <w:kern w:val="0"/>
                <w:szCs w:val="21"/>
              </w:rPr>
              <w:t>部门：</w:t>
            </w:r>
            <w:r>
              <w:rPr>
                <w:rFonts w:hint="eastAsia" w:ascii="Times New Roman" w:hAnsi="Times New Roman" w:eastAsia="仿宋_GB2312" w:cs="Times New Roman"/>
                <w:b/>
                <w:color w:val="000000"/>
                <w:kern w:val="0"/>
                <w:szCs w:val="21"/>
              </w:rPr>
              <w:t xml:space="preserve">  湘潭县司法局                                                                                                                  公开06表</w:t>
            </w:r>
          </w:p>
          <w:p>
            <w:pPr>
              <w:widowControl/>
              <w:jc w:val="right"/>
              <w:rPr>
                <w:rFonts w:ascii="华文中宋" w:hAnsi="华文中宋" w:eastAsia="华文中宋" w:cs="宋体"/>
                <w:b/>
                <w:color w:val="000000"/>
                <w:kern w:val="0"/>
                <w:szCs w:val="32"/>
              </w:rPr>
            </w:pPr>
            <w:r>
              <w:rPr>
                <w:rFonts w:hint="eastAsia" w:ascii="Times New Roman" w:hAnsi="Times New Roman" w:eastAsia="仿宋_GB2312" w:cs="Times New Roman"/>
                <w:b/>
                <w:color w:val="000000"/>
                <w:kern w:val="0"/>
                <w:szCs w:val="21"/>
              </w:rPr>
              <w:t>单位：万元</w:t>
            </w:r>
          </w:p>
        </w:tc>
      </w:tr>
      <w:tr>
        <w:tblPrEx>
          <w:tblCellMar>
            <w:top w:w="0" w:type="dxa"/>
            <w:left w:w="108" w:type="dxa"/>
            <w:bottom w:w="0" w:type="dxa"/>
            <w:right w:w="108" w:type="dxa"/>
          </w:tblCellMar>
        </w:tblPrEx>
        <w:trPr>
          <w:trHeight w:val="110" w:hRule="atLeast"/>
        </w:trPr>
        <w:tc>
          <w:tcPr>
            <w:tcW w:w="131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290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1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9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31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18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41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1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29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1122.31</w:t>
            </w:r>
          </w:p>
        </w:tc>
        <w:tc>
          <w:tcPr>
            <w:tcW w:w="11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211.18</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9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29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120" w:type="dxa"/>
            <w:tcBorders>
              <w:top w:val="nil"/>
              <w:left w:val="nil"/>
              <w:bottom w:val="single" w:color="auto" w:sz="4" w:space="0"/>
              <w:right w:val="single" w:color="auto" w:sz="4" w:space="0"/>
            </w:tcBorders>
            <w:shd w:val="clear" w:color="auto" w:fill="auto"/>
            <w:noWrap/>
            <w:vAlign w:val="center"/>
          </w:tcPr>
          <w:p>
            <w:pPr>
              <w:widowControl/>
              <w:ind w:firstLine="105" w:firstLineChars="50"/>
              <w:rPr>
                <w:rFonts w:ascii="宋体" w:hAnsi="宋体" w:eastAsia="宋体" w:cs="宋体"/>
                <w:color w:val="000000"/>
                <w:kern w:val="0"/>
                <w:szCs w:val="20"/>
              </w:rPr>
            </w:pPr>
            <w:r>
              <w:rPr>
                <w:rFonts w:hint="eastAsia" w:ascii="宋体" w:hAnsi="宋体" w:eastAsia="宋体" w:cs="宋体"/>
                <w:color w:val="000000"/>
                <w:kern w:val="0"/>
                <w:szCs w:val="20"/>
              </w:rPr>
              <w:t>189.18</w:t>
            </w:r>
          </w:p>
        </w:tc>
        <w:tc>
          <w:tcPr>
            <w:tcW w:w="11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15.85</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9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29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136.8</w:t>
            </w:r>
          </w:p>
        </w:tc>
        <w:tc>
          <w:tcPr>
            <w:tcW w:w="11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11.98</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9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29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106.93</w:t>
            </w:r>
          </w:p>
        </w:tc>
        <w:tc>
          <w:tcPr>
            <w:tcW w:w="11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9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29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46.69</w:t>
            </w:r>
          </w:p>
        </w:tc>
        <w:tc>
          <w:tcPr>
            <w:tcW w:w="11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9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29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绩效工资</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174.3</w:t>
            </w:r>
          </w:p>
        </w:tc>
        <w:tc>
          <w:tcPr>
            <w:tcW w:w="11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30205</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水费</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0.53</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9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29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机关事业单位基本养老保险缴费</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115.73</w:t>
            </w:r>
          </w:p>
        </w:tc>
        <w:tc>
          <w:tcPr>
            <w:tcW w:w="11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30206</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电费</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6.53</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9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29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职业年金缴费</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32.31</w:t>
            </w:r>
          </w:p>
        </w:tc>
        <w:tc>
          <w:tcPr>
            <w:tcW w:w="11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30207</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邮电费</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1.68</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9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29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职工基本医疗保险缴费</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60.6</w:t>
            </w:r>
          </w:p>
        </w:tc>
        <w:tc>
          <w:tcPr>
            <w:tcW w:w="11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30208</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取暖费</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9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29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公务员医疗补助缴费</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14.93</w:t>
            </w:r>
          </w:p>
        </w:tc>
        <w:tc>
          <w:tcPr>
            <w:tcW w:w="11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30209</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物业管理费</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9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29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其他社会保障缴费</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35.4</w:t>
            </w:r>
          </w:p>
        </w:tc>
        <w:tc>
          <w:tcPr>
            <w:tcW w:w="11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30211</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差旅费</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9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29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住房公积金</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209.44</w:t>
            </w:r>
          </w:p>
        </w:tc>
        <w:tc>
          <w:tcPr>
            <w:tcW w:w="11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30212</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因公出国（境）费用</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9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29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医疗费</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30213</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维修（护）费</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12.62</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9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29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其他工资福利支出</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30214</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租赁费</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9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29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对个人和家庭的补助</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5.85</w:t>
            </w:r>
          </w:p>
        </w:tc>
        <w:tc>
          <w:tcPr>
            <w:tcW w:w="11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30215</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会议费</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0.16</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9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29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离休费</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30216</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培训费</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1.18</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9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29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退休费</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30217</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公务接待费</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0.40</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9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29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退职（役）费</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30218</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专用材料费</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9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29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抚恤金</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3.35</w:t>
            </w:r>
          </w:p>
        </w:tc>
        <w:tc>
          <w:tcPr>
            <w:tcW w:w="11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30224</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被装购置费</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9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29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生活补助</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2.50</w:t>
            </w:r>
          </w:p>
        </w:tc>
        <w:tc>
          <w:tcPr>
            <w:tcW w:w="11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30225</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专用燃料费</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9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29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救济费</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30226</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劳务费</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0.34</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9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29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医疗费补助</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30227</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委托业务费</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4.35</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9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29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助学金</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30228</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工会经费</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87.10</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9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29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奖励金</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30229</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福利费</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2.40</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9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29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个人农业生产补贴</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30231</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公务用车运行维护费</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5.34</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9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29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代缴社会保险费</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30239</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其他交通费用</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60.72</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18"/>
              </w:rPr>
            </w:pP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29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其他对个人和家庭的补助</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r>
              <w:rPr>
                <w:rFonts w:hint="eastAsia" w:ascii="宋体" w:hAnsi="宋体" w:eastAsia="宋体" w:cs="宋体"/>
                <w:kern w:val="0"/>
                <w:szCs w:val="20"/>
              </w:rPr>
              <w:t>30240</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Cs w:val="20"/>
              </w:rPr>
            </w:pPr>
            <w:r>
              <w:rPr>
                <w:rFonts w:hint="eastAsia" w:ascii="宋体" w:hAnsi="宋体" w:eastAsia="宋体" w:cs="宋体"/>
                <w:kern w:val="0"/>
                <w:szCs w:val="20"/>
              </w:rPr>
              <w:t xml:space="preserve">  税金及附加费用</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29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3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2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76" w:hRule="exact"/>
        </w:trPr>
        <w:tc>
          <w:tcPr>
            <w:tcW w:w="421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1128.16</w:t>
            </w:r>
          </w:p>
        </w:tc>
        <w:tc>
          <w:tcPr>
            <w:tcW w:w="9086"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9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211.18　</w:t>
            </w:r>
          </w:p>
        </w:tc>
      </w:tr>
      <w:tr>
        <w:tblPrEx>
          <w:tblCellMar>
            <w:top w:w="0" w:type="dxa"/>
            <w:left w:w="108" w:type="dxa"/>
            <w:bottom w:w="0" w:type="dxa"/>
            <w:right w:w="108" w:type="dxa"/>
          </w:tblCellMar>
        </w:tblPrEx>
        <w:trPr>
          <w:trHeight w:val="276" w:hRule="exact"/>
        </w:trPr>
        <w:tc>
          <w:tcPr>
            <w:tcW w:w="15340" w:type="dxa"/>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left"/>
        <w:rPr>
          <w:rFonts w:ascii="Times New Roman" w:hAnsi="Times New Roman" w:eastAsia="仿宋_GB2312" w:cs="Times New Roman"/>
          <w:bCs/>
          <w:kern w:val="0"/>
          <w:szCs w:val="21"/>
        </w:rPr>
      </w:pPr>
    </w:p>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ind w:firstLine="630" w:firstLineChars="30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 xml:space="preserve"> 湘潭县司法局                                                                                                            </w:t>
      </w:r>
      <w:r>
        <w:rPr>
          <w:rFonts w:ascii="Times New Roman" w:hAnsi="Times New Roman" w:eastAsia="仿宋_GB2312" w:cs="Times New Roman"/>
          <w:color w:val="000000"/>
          <w:kern w:val="0"/>
          <w:szCs w:val="21"/>
        </w:rPr>
        <w:t>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640" w:type="dxa"/>
        <w:jc w:val="center"/>
        <w:tblLayout w:type="fixed"/>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6.04</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5.35</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5.35</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0.69</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6.04</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5.35</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nil"/>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5.35</w:t>
            </w: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0.69</w:t>
            </w: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 xml:space="preserve">湘潭县司法局                                                                                                            </w:t>
      </w:r>
      <w:r>
        <w:rPr>
          <w:rFonts w:ascii="Times New Roman" w:hAnsi="Times New Roman" w:eastAsia="仿宋_GB2312" w:cs="Times New Roman"/>
          <w:color w:val="000000"/>
          <w:kern w:val="0"/>
          <w:szCs w:val="21"/>
        </w:rPr>
        <w:t>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20"/>
        <w:gridCol w:w="2229"/>
        <w:gridCol w:w="1275"/>
        <w:gridCol w:w="1816"/>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3349"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w:t>
            </w:r>
          </w:p>
        </w:tc>
        <w:tc>
          <w:tcPr>
            <w:tcW w:w="1275"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1816"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2229"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1275" w:type="dxa"/>
            <w:vMerge w:val="continue"/>
            <w:vAlign w:val="center"/>
          </w:tcPr>
          <w:p>
            <w:pPr>
              <w:widowControl/>
              <w:jc w:val="left"/>
              <w:rPr>
                <w:rFonts w:ascii="Times New Roman" w:hAnsi="Times New Roman" w:eastAsia="仿宋_GB2312" w:cs="Times New Roman"/>
                <w:b/>
                <w:kern w:val="0"/>
                <w:szCs w:val="21"/>
              </w:rPr>
            </w:pPr>
          </w:p>
        </w:tc>
        <w:tc>
          <w:tcPr>
            <w:tcW w:w="1816"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2229" w:type="dxa"/>
            <w:vMerge w:val="continue"/>
            <w:vAlign w:val="center"/>
          </w:tcPr>
          <w:p>
            <w:pPr>
              <w:widowControl/>
              <w:jc w:val="left"/>
              <w:rPr>
                <w:rFonts w:ascii="Times New Roman" w:hAnsi="Times New Roman" w:eastAsia="仿宋_GB2312" w:cs="Times New Roman"/>
                <w:kern w:val="0"/>
                <w:szCs w:val="21"/>
              </w:rPr>
            </w:pPr>
          </w:p>
        </w:tc>
        <w:tc>
          <w:tcPr>
            <w:tcW w:w="1275" w:type="dxa"/>
            <w:vMerge w:val="continue"/>
            <w:vAlign w:val="center"/>
          </w:tcPr>
          <w:p>
            <w:pPr>
              <w:widowControl/>
              <w:jc w:val="left"/>
              <w:rPr>
                <w:rFonts w:ascii="Times New Roman" w:hAnsi="Times New Roman" w:eastAsia="仿宋_GB2312" w:cs="Times New Roman"/>
                <w:kern w:val="0"/>
                <w:szCs w:val="21"/>
              </w:rPr>
            </w:pPr>
          </w:p>
        </w:tc>
        <w:tc>
          <w:tcPr>
            <w:tcW w:w="1816"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2229" w:type="dxa"/>
            <w:vMerge w:val="continue"/>
            <w:vAlign w:val="center"/>
          </w:tcPr>
          <w:p>
            <w:pPr>
              <w:widowControl/>
              <w:jc w:val="left"/>
              <w:rPr>
                <w:rFonts w:ascii="Times New Roman" w:hAnsi="Times New Roman" w:eastAsia="仿宋_GB2312" w:cs="Times New Roman"/>
                <w:kern w:val="0"/>
                <w:szCs w:val="21"/>
              </w:rPr>
            </w:pPr>
          </w:p>
        </w:tc>
        <w:tc>
          <w:tcPr>
            <w:tcW w:w="1275" w:type="dxa"/>
            <w:vMerge w:val="continue"/>
            <w:vAlign w:val="center"/>
          </w:tcPr>
          <w:p>
            <w:pPr>
              <w:widowControl/>
              <w:jc w:val="left"/>
              <w:rPr>
                <w:rFonts w:ascii="Times New Roman" w:hAnsi="Times New Roman" w:eastAsia="仿宋_GB2312" w:cs="Times New Roman"/>
                <w:kern w:val="0"/>
                <w:szCs w:val="21"/>
              </w:rPr>
            </w:pPr>
          </w:p>
        </w:tc>
        <w:tc>
          <w:tcPr>
            <w:tcW w:w="1816"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3349"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1275"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816"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3349"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75" w:type="dxa"/>
            <w:shd w:val="clear" w:color="auto" w:fill="auto"/>
            <w:vAlign w:val="center"/>
          </w:tcPr>
          <w:p>
            <w:pPr>
              <w:widowControl/>
              <w:jc w:val="left"/>
              <w:rPr>
                <w:rFonts w:ascii="Times New Roman" w:hAnsi="Times New Roman" w:eastAsia="仿宋_GB2312" w:cs="Times New Roman"/>
                <w:kern w:val="0"/>
                <w:szCs w:val="21"/>
              </w:rPr>
            </w:pPr>
          </w:p>
        </w:tc>
        <w:tc>
          <w:tcPr>
            <w:tcW w:w="1816"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229"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本单位无此项指标</w:t>
            </w:r>
          </w:p>
        </w:tc>
        <w:tc>
          <w:tcPr>
            <w:tcW w:w="127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16"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229"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7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16"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229"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7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16"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229"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7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16"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229"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7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16"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229"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7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16"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6"/>
        <w:tblW w:w="14190" w:type="dxa"/>
        <w:tblInd w:w="93" w:type="dxa"/>
        <w:tblLayout w:type="fixed"/>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ascii="宋体" w:hAnsi="宋体" w:eastAsia="宋体" w:cs="宋体"/>
                <w:color w:val="000000"/>
                <w:kern w:val="0"/>
                <w:sz w:val="20"/>
                <w:szCs w:val="20"/>
              </w:rPr>
              <w:t xml:space="preserve"> </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rPr>
                <w:rFonts w:ascii="宋体" w:hAnsi="宋体" w:eastAsia="宋体" w:cs="宋体"/>
                <w:kern w:val="0"/>
                <w:sz w:val="20"/>
                <w:szCs w:val="20"/>
              </w:rPr>
            </w:pPr>
            <w:r>
              <w:rPr>
                <w:rFonts w:hint="eastAsia" w:ascii="宋体" w:hAnsi="宋体" w:eastAsia="宋体" w:cs="宋体"/>
                <w:color w:val="000000"/>
                <w:kern w:val="0"/>
                <w:sz w:val="20"/>
                <w:szCs w:val="20"/>
              </w:rPr>
              <w:t>湘潭县司法局</w:t>
            </w:r>
            <w:r>
              <w:rPr>
                <w:rFonts w:hint="eastAsia" w:ascii="宋体" w:hAnsi="宋体" w:eastAsia="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516"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本单位无此项指标</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10"/>
        <w:rPr>
          <w:sz w:val="72"/>
          <w:szCs w:val="72"/>
        </w:rPr>
        <w:sectPr>
          <w:pgSz w:w="16838" w:h="11906" w:orient="landscape"/>
          <w:pgMar w:top="720" w:right="720" w:bottom="720" w:left="720" w:header="851" w:footer="992" w:gutter="0"/>
          <w:cols w:space="425" w:num="1"/>
          <w:docGrid w:type="lines" w:linePitch="312" w:charSpace="0"/>
        </w:sectPr>
      </w:pPr>
    </w:p>
    <w:p>
      <w:pPr>
        <w:pStyle w:val="10"/>
        <w:rPr>
          <w:sz w:val="72"/>
          <w:szCs w:val="72"/>
        </w:rPr>
      </w:pPr>
    </w:p>
    <w:p>
      <w:pPr>
        <w:pStyle w:val="10"/>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第三部分</w:t>
      </w:r>
    </w:p>
    <w:p>
      <w:pPr>
        <w:pStyle w:val="10"/>
        <w:jc w:val="center"/>
        <w:rPr>
          <w:sz w:val="70"/>
          <w:szCs w:val="70"/>
        </w:rPr>
      </w:pPr>
    </w:p>
    <w:p>
      <w:pPr>
        <w:pStyle w:val="10"/>
        <w:jc w:val="center"/>
        <w:rPr>
          <w:sz w:val="70"/>
          <w:szCs w:val="70"/>
        </w:rPr>
      </w:pPr>
      <w:r>
        <w:rPr>
          <w:sz w:val="70"/>
          <w:szCs w:val="70"/>
        </w:rPr>
        <w:t>20</w:t>
      </w:r>
      <w:r>
        <w:rPr>
          <w:rFonts w:hint="eastAsia"/>
          <w:sz w:val="70"/>
          <w:szCs w:val="70"/>
        </w:rPr>
        <w:t>21年度部门决算情况说明</w:t>
      </w:r>
    </w:p>
    <w:p>
      <w:pPr>
        <w:widowControl/>
        <w:jc w:val="left"/>
        <w:rPr>
          <w:rFonts w:ascii="黑体" w:eastAsia="黑体" w:cs="黑体"/>
          <w:color w:val="000000"/>
          <w:kern w:val="0"/>
          <w:sz w:val="70"/>
          <w:szCs w:val="70"/>
        </w:rPr>
      </w:pPr>
      <w:r>
        <w:rPr>
          <w:sz w:val="70"/>
          <w:szCs w:val="70"/>
        </w:rPr>
        <w:br w:type="page"/>
      </w:r>
    </w:p>
    <w:p>
      <w:pPr>
        <w:pStyle w:val="10"/>
        <w:rPr>
          <w:rFonts w:asciiTheme="minorEastAsia" w:hAnsiTheme="minorEastAsia" w:eastAsiaTheme="minorEastAsia"/>
          <w:sz w:val="32"/>
          <w:szCs w:val="32"/>
        </w:rPr>
      </w:pPr>
    </w:p>
    <w:p>
      <w:pPr>
        <w:pStyle w:val="10"/>
        <w:rPr>
          <w:rFonts w:hAnsi="黑体"/>
          <w:b/>
          <w:sz w:val="32"/>
          <w:szCs w:val="32"/>
        </w:rPr>
      </w:pPr>
      <w:r>
        <w:rPr>
          <w:rFonts w:hint="eastAsia" w:hAnsi="黑体"/>
          <w:b/>
          <w:sz w:val="32"/>
          <w:szCs w:val="32"/>
        </w:rPr>
        <w:t>一、收入支出决算总体情况说明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color w:val="auto"/>
          <w:sz w:val="32"/>
          <w:szCs w:val="32"/>
        </w:rPr>
        <w:t>2021年度收、支总计1808.74万元。</w:t>
      </w:r>
      <w:r>
        <w:rPr>
          <w:rFonts w:hint="eastAsia" w:asciiTheme="minorEastAsia" w:hAnsiTheme="minorEastAsia" w:eastAsiaTheme="minorEastAsia"/>
          <w:color w:val="FF0000"/>
          <w:sz w:val="32"/>
          <w:szCs w:val="32"/>
        </w:rPr>
        <w:t>2020年2063.70万元</w:t>
      </w:r>
      <w:r>
        <w:rPr>
          <w:rFonts w:hint="eastAsia" w:asciiTheme="minorEastAsia" w:hAnsiTheme="minorEastAsia" w:eastAsiaTheme="minorEastAsia"/>
          <w:sz w:val="32"/>
          <w:szCs w:val="32"/>
        </w:rPr>
        <w:t>，与上年相比，减少254.96万元，降低12.35%，主要是因为财政实拨资金难以到位，一部分本年度应付未付资金没有支出。</w:t>
      </w:r>
    </w:p>
    <w:p>
      <w:pPr>
        <w:pStyle w:val="10"/>
        <w:rPr>
          <w:rFonts w:hAnsi="黑体"/>
          <w:b/>
          <w:sz w:val="32"/>
          <w:szCs w:val="32"/>
        </w:rPr>
      </w:pPr>
      <w:r>
        <w:rPr>
          <w:rFonts w:hint="eastAsia" w:hAnsi="黑体"/>
          <w:b/>
          <w:sz w:val="32"/>
          <w:szCs w:val="32"/>
        </w:rPr>
        <w:t>二、收入决算情况说明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本年收入合计1715.68万元，其中：财政拨款收入1637.32万元，占95.43%；上级补助收入0万元，占0%；事业收入0万元，占0%；经营收入0万元，占0%；附属单位上缴收入0万元，占0%；其他收入78.36万元，占4.570%。</w:t>
      </w:r>
    </w:p>
    <w:p>
      <w:pPr>
        <w:pStyle w:val="10"/>
        <w:rPr>
          <w:rFonts w:hAnsi="黑体"/>
          <w:b/>
          <w:sz w:val="32"/>
          <w:szCs w:val="32"/>
        </w:rPr>
      </w:pPr>
      <w:r>
        <w:rPr>
          <w:rFonts w:hint="eastAsia" w:hAnsi="黑体"/>
          <w:b/>
          <w:sz w:val="32"/>
          <w:szCs w:val="32"/>
        </w:rPr>
        <w:t>三、支出决算情况说明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本年支出合计1715.68万元，其中：基本支出1417.7万元，占82.63%；项目支出297.98万元，占17.37%；上缴上级支出0万元，占0%；经营支出0万元，占0%；对附属单位补助支出0万元，占0%。</w:t>
      </w:r>
    </w:p>
    <w:p>
      <w:pPr>
        <w:pStyle w:val="10"/>
        <w:rPr>
          <w:rFonts w:hAnsi="黑体"/>
          <w:b/>
          <w:sz w:val="32"/>
          <w:szCs w:val="32"/>
        </w:rPr>
      </w:pPr>
      <w:r>
        <w:rPr>
          <w:rFonts w:hint="eastAsia" w:hAnsi="黑体"/>
          <w:b/>
          <w:sz w:val="32"/>
          <w:szCs w:val="32"/>
        </w:rPr>
        <w:t>四、财政拨款收入支出决算总体情况说明</w:t>
      </w:r>
    </w:p>
    <w:p>
      <w:pPr>
        <w:pStyle w:val="10"/>
        <w:ind w:firstLine="63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2021年度财政拨款收、支总计1637.32万元，2020年1882.5万元，与上年相比，减少245.18万元,降低13.02%，主要因为财政国库实拨资金难以到位，一部分资金停留在预算指标结余状态。</w:t>
      </w:r>
    </w:p>
    <w:p>
      <w:pPr>
        <w:pStyle w:val="10"/>
        <w:rPr>
          <w:rFonts w:hAnsi="黑体"/>
          <w:b/>
          <w:sz w:val="32"/>
          <w:szCs w:val="32"/>
        </w:rPr>
      </w:pPr>
      <w:r>
        <w:rPr>
          <w:rFonts w:hint="eastAsia" w:hAnsi="黑体"/>
          <w:b/>
          <w:sz w:val="32"/>
          <w:szCs w:val="32"/>
        </w:rPr>
        <w:t>五、一般公共预算财政拨款支出决算情况说明</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0"/>
        <w:ind w:firstLine="63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2021年度财政拨款支出1637.32万元，占本年支出合计的95.43%，2020年1882.5万元，与上年相比，财政拨款支出减少245.18万元，减少13.02%，主要因为财政国库实拨资金难以到位，一部分资金停留在预算指标结余状态。</w:t>
      </w:r>
    </w:p>
    <w:p>
      <w:pPr>
        <w:pStyle w:val="10"/>
        <w:ind w:firstLine="800" w:firstLineChars="250"/>
        <w:rPr>
          <w:rFonts w:asciiTheme="minorEastAsia" w:hAnsiTheme="minorEastAsia" w:eastAsiaTheme="minorEastAsia"/>
          <w:sz w:val="32"/>
          <w:szCs w:val="32"/>
        </w:rPr>
      </w:pPr>
    </w:p>
    <w:p>
      <w:pPr>
        <w:pStyle w:val="10"/>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0"/>
        <w:ind w:firstLine="640" w:firstLineChars="200"/>
        <w:rPr>
          <w:rFonts w:asciiTheme="minorEastAsia" w:hAnsiTheme="minorEastAsia" w:eastAsiaTheme="minorEastAsia"/>
          <w:color w:val="FF0000"/>
          <w:sz w:val="32"/>
          <w:szCs w:val="32"/>
        </w:rPr>
      </w:pPr>
      <w:r>
        <w:rPr>
          <w:rFonts w:hint="eastAsia" w:asciiTheme="minorEastAsia" w:hAnsiTheme="minorEastAsia" w:eastAsiaTheme="minorEastAsia"/>
          <w:sz w:val="32"/>
          <w:szCs w:val="32"/>
        </w:rPr>
        <w:t>2021年度财政拨款支出1637.32万元，主要用于以下方面：公共安全支出（类）支出1637.32万元，占100%；</w:t>
      </w:r>
      <w:r>
        <w:rPr>
          <w:rFonts w:hint="eastAsia" w:asciiTheme="minorEastAsia" w:hAnsiTheme="minorEastAsia" w:eastAsiaTheme="minorEastAsia"/>
          <w:color w:val="FF0000"/>
          <w:sz w:val="32"/>
          <w:szCs w:val="32"/>
        </w:rPr>
        <w:t>其中：行政运行1344.85万元；一般行政管理事务55.41万元；机关服务18.65万元；基层司法业务46.79万元；普法宣传32.04万元；公共法律服务41.34万元；</w:t>
      </w:r>
      <w:r>
        <w:rPr>
          <w:rFonts w:hint="eastAsia" w:cs="宋体" w:asciiTheme="minorEastAsia" w:hAnsiTheme="minorEastAsia" w:eastAsiaTheme="minorEastAsia"/>
          <w:color w:val="FF0000"/>
          <w:sz w:val="32"/>
          <w:szCs w:val="32"/>
        </w:rPr>
        <w:t>社区矫正</w:t>
      </w:r>
      <w:r>
        <w:rPr>
          <w:rFonts w:hint="eastAsia" w:asciiTheme="minorEastAsia" w:hAnsiTheme="minorEastAsia" w:eastAsiaTheme="minorEastAsia"/>
          <w:color w:val="FF0000"/>
          <w:sz w:val="32"/>
          <w:szCs w:val="32"/>
        </w:rPr>
        <w:t>53.53万元；法制建设39.29万元；其他司法支出5.42万元。</w:t>
      </w:r>
    </w:p>
    <w:p>
      <w:pPr>
        <w:pStyle w:val="10"/>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0"/>
        <w:ind w:firstLine="800" w:firstLineChars="250"/>
        <w:rPr>
          <w:rFonts w:asciiTheme="minorEastAsia" w:hAnsiTheme="minorEastAsia" w:eastAsiaTheme="minorEastAsia"/>
          <w:color w:val="FF0000"/>
          <w:sz w:val="32"/>
          <w:szCs w:val="32"/>
        </w:rPr>
      </w:pPr>
      <w:r>
        <w:rPr>
          <w:rFonts w:hint="eastAsia" w:asciiTheme="minorEastAsia" w:hAnsiTheme="minorEastAsia" w:eastAsiaTheme="minorEastAsia"/>
          <w:color w:val="FF0000"/>
          <w:sz w:val="32"/>
          <w:szCs w:val="32"/>
        </w:rPr>
        <w:t>2021年度财政拨款支出年初预算数为1507.56万元，支出决算数为1637.32万元，完成年初预算的108.61%，其中：</w:t>
      </w:r>
    </w:p>
    <w:p>
      <w:pPr>
        <w:pStyle w:val="10"/>
        <w:numPr>
          <w:ilvl w:val="0"/>
          <w:numId w:val="2"/>
        </w:numPr>
        <w:rPr>
          <w:rFonts w:asciiTheme="minorEastAsia" w:hAnsiTheme="minorEastAsia" w:eastAsiaTheme="minorEastAsia"/>
          <w:color w:val="FF0000"/>
          <w:sz w:val="32"/>
          <w:szCs w:val="32"/>
        </w:rPr>
      </w:pPr>
      <w:r>
        <w:rPr>
          <w:rFonts w:hint="eastAsia" w:asciiTheme="minorEastAsia" w:hAnsiTheme="minorEastAsia" w:eastAsiaTheme="minorEastAsia"/>
          <w:color w:val="FF0000"/>
          <w:sz w:val="32"/>
          <w:szCs w:val="32"/>
        </w:rPr>
        <w:t>公共安全支出（类）司法（款）行政运行（项）。</w:t>
      </w:r>
    </w:p>
    <w:p>
      <w:pPr>
        <w:pStyle w:val="10"/>
        <w:ind w:firstLine="640" w:firstLineChars="200"/>
        <w:rPr>
          <w:rFonts w:asciiTheme="minorEastAsia" w:hAnsiTheme="minorEastAsia" w:eastAsiaTheme="minorEastAsia"/>
          <w:color w:val="FF0000"/>
          <w:sz w:val="32"/>
          <w:szCs w:val="32"/>
        </w:rPr>
      </w:pPr>
      <w:r>
        <w:rPr>
          <w:rFonts w:hint="eastAsia" w:asciiTheme="minorEastAsia" w:hAnsiTheme="minorEastAsia" w:eastAsiaTheme="minorEastAsia"/>
          <w:color w:val="FF0000"/>
          <w:sz w:val="32"/>
          <w:szCs w:val="32"/>
        </w:rPr>
        <w:t xml:space="preserve">     年初预算为1381.56万元，支出决算为1344.85万元，完成年初预算的97.34%，决算数小于年初预算数的主要原因是：主要是因为财政实拨资金难以到位，一部分本年度应付未付资金没有支出。</w:t>
      </w:r>
    </w:p>
    <w:p>
      <w:pPr>
        <w:pStyle w:val="10"/>
        <w:ind w:firstLine="800" w:firstLineChars="250"/>
        <w:rPr>
          <w:rFonts w:asciiTheme="minorEastAsia" w:hAnsiTheme="minorEastAsia" w:eastAsiaTheme="minorEastAsia"/>
          <w:color w:val="FF0000"/>
          <w:sz w:val="32"/>
          <w:szCs w:val="32"/>
        </w:rPr>
      </w:pPr>
      <w:r>
        <w:rPr>
          <w:rFonts w:hint="eastAsia" w:asciiTheme="minorEastAsia" w:hAnsiTheme="minorEastAsia" w:eastAsiaTheme="minorEastAsia"/>
          <w:color w:val="FF0000"/>
          <w:sz w:val="32"/>
          <w:szCs w:val="32"/>
        </w:rPr>
        <w:t>2、公共安全支出（类）司法（款）一般行政管理事务（项）。</w:t>
      </w:r>
    </w:p>
    <w:p>
      <w:pPr>
        <w:pStyle w:val="10"/>
        <w:ind w:firstLine="800" w:firstLineChars="250"/>
        <w:rPr>
          <w:rFonts w:asciiTheme="minorEastAsia" w:hAnsiTheme="minorEastAsia" w:eastAsiaTheme="minorEastAsia"/>
          <w:color w:val="FF0000"/>
          <w:sz w:val="32"/>
          <w:szCs w:val="32"/>
        </w:rPr>
      </w:pPr>
      <w:r>
        <w:rPr>
          <w:rFonts w:hint="eastAsia" w:asciiTheme="minorEastAsia" w:hAnsiTheme="minorEastAsia" w:eastAsiaTheme="minorEastAsia"/>
          <w:color w:val="FF0000"/>
          <w:sz w:val="32"/>
          <w:szCs w:val="32"/>
        </w:rPr>
        <w:t>年初预算为0万元，支出决算为55.41万元，决算数大于年初预算数的主要原因是：部门之间资金划拨（预算指标划拨）指标的调整，同时，政法转移支付资金的拨付也弥补了一部分预算资金的不足。</w:t>
      </w:r>
    </w:p>
    <w:p>
      <w:pPr>
        <w:pStyle w:val="10"/>
        <w:numPr>
          <w:ilvl w:val="0"/>
          <w:numId w:val="3"/>
        </w:numPr>
        <w:rPr>
          <w:rFonts w:asciiTheme="minorEastAsia" w:hAnsiTheme="minorEastAsia" w:eastAsiaTheme="minorEastAsia"/>
          <w:color w:val="FF0000"/>
          <w:sz w:val="32"/>
          <w:szCs w:val="32"/>
        </w:rPr>
      </w:pPr>
      <w:r>
        <w:rPr>
          <w:rFonts w:hint="eastAsia" w:asciiTheme="minorEastAsia" w:hAnsiTheme="minorEastAsia" w:eastAsiaTheme="minorEastAsia"/>
          <w:color w:val="FF0000"/>
          <w:sz w:val="32"/>
          <w:szCs w:val="32"/>
        </w:rPr>
        <w:t>公共安全支出（类）司法（款）机关服务（项）</w:t>
      </w:r>
    </w:p>
    <w:p>
      <w:pPr>
        <w:pStyle w:val="10"/>
        <w:ind w:firstLine="480" w:firstLineChars="150"/>
        <w:rPr>
          <w:color w:val="FF0000"/>
          <w:shd w:val="clear" w:color="auto" w:fill="FFFFFF"/>
        </w:rPr>
      </w:pPr>
      <w:r>
        <w:rPr>
          <w:rFonts w:hint="eastAsia" w:asciiTheme="minorEastAsia" w:hAnsiTheme="minorEastAsia" w:eastAsiaTheme="minorEastAsia"/>
          <w:color w:val="FF0000"/>
          <w:sz w:val="32"/>
          <w:szCs w:val="32"/>
        </w:rPr>
        <w:t xml:space="preserve"> 年初预算为16万元，支出决算为18.65万元，完成年初预算116.56%，决算数大于年初预算数的主要原因是：劳务派遣人员费用增加超过年年初预算。</w:t>
      </w:r>
    </w:p>
    <w:p>
      <w:pPr>
        <w:pStyle w:val="10"/>
        <w:ind w:firstLine="707" w:firstLineChars="221"/>
        <w:rPr>
          <w:rFonts w:asciiTheme="minorEastAsia" w:hAnsiTheme="minorEastAsia" w:eastAsiaTheme="minorEastAsia"/>
          <w:color w:val="FF0000"/>
          <w:sz w:val="32"/>
          <w:szCs w:val="32"/>
        </w:rPr>
      </w:pPr>
      <w:r>
        <w:rPr>
          <w:rFonts w:hint="eastAsia" w:asciiTheme="minorEastAsia" w:hAnsiTheme="minorEastAsia" w:eastAsiaTheme="minorEastAsia"/>
          <w:color w:val="FF0000"/>
          <w:sz w:val="32"/>
          <w:szCs w:val="32"/>
        </w:rPr>
        <w:t>4、公共安全支出（类）司法（款）基层司法业务（项）。</w:t>
      </w:r>
    </w:p>
    <w:p>
      <w:pPr>
        <w:pStyle w:val="10"/>
        <w:ind w:firstLine="800" w:firstLineChars="250"/>
        <w:rPr>
          <w:rFonts w:asciiTheme="minorEastAsia" w:hAnsiTheme="minorEastAsia" w:eastAsiaTheme="minorEastAsia"/>
          <w:color w:val="FF0000"/>
          <w:sz w:val="32"/>
          <w:szCs w:val="32"/>
        </w:rPr>
      </w:pPr>
      <w:r>
        <w:rPr>
          <w:rFonts w:hint="eastAsia" w:asciiTheme="minorEastAsia" w:hAnsiTheme="minorEastAsia" w:eastAsiaTheme="minorEastAsia"/>
          <w:color w:val="FF0000"/>
          <w:sz w:val="32"/>
          <w:szCs w:val="32"/>
        </w:rPr>
        <w:t>年初预算为0万元，支出决算为46.79万元，决算数大于年初预算数的主要原因是：年中预算的追加及政法转移支付资金的拨付弥补了一部分预算资金的不足。</w:t>
      </w:r>
    </w:p>
    <w:p>
      <w:pPr>
        <w:pStyle w:val="10"/>
        <w:ind w:firstLine="800" w:firstLineChars="250"/>
        <w:rPr>
          <w:rFonts w:asciiTheme="minorEastAsia" w:hAnsiTheme="minorEastAsia" w:eastAsiaTheme="minorEastAsia"/>
          <w:color w:val="FF0000"/>
          <w:sz w:val="32"/>
          <w:szCs w:val="32"/>
        </w:rPr>
      </w:pPr>
      <w:r>
        <w:rPr>
          <w:rFonts w:hint="eastAsia" w:asciiTheme="minorEastAsia" w:hAnsiTheme="minorEastAsia" w:eastAsiaTheme="minorEastAsia"/>
          <w:color w:val="FF0000"/>
          <w:sz w:val="32"/>
          <w:szCs w:val="32"/>
        </w:rPr>
        <w:t>5、公共安全支出（类）司法（款）法制办经费（项）。</w:t>
      </w:r>
    </w:p>
    <w:p>
      <w:pPr>
        <w:pStyle w:val="10"/>
        <w:ind w:firstLine="800" w:firstLineChars="250"/>
        <w:rPr>
          <w:rFonts w:asciiTheme="minorEastAsia" w:hAnsiTheme="minorEastAsia" w:eastAsiaTheme="minorEastAsia"/>
          <w:color w:val="FF0000"/>
          <w:sz w:val="32"/>
          <w:szCs w:val="32"/>
        </w:rPr>
      </w:pPr>
      <w:r>
        <w:rPr>
          <w:rFonts w:hint="eastAsia" w:asciiTheme="minorEastAsia" w:hAnsiTheme="minorEastAsia" w:eastAsiaTheme="minorEastAsia"/>
          <w:color w:val="FF0000"/>
          <w:sz w:val="32"/>
          <w:szCs w:val="32"/>
        </w:rPr>
        <w:t>年初预算为30万元，支出决算为39.29万元，完成年初预算的130.97%，决算数大于年初预算数的主要原因是：存在年初预算指标下达严重不足，无法满足正常工作需要。</w:t>
      </w:r>
    </w:p>
    <w:p>
      <w:pPr>
        <w:pStyle w:val="10"/>
        <w:ind w:firstLine="800" w:firstLineChars="250"/>
        <w:rPr>
          <w:rFonts w:asciiTheme="minorEastAsia" w:hAnsiTheme="minorEastAsia" w:eastAsiaTheme="minorEastAsia"/>
          <w:color w:val="FF0000"/>
          <w:sz w:val="32"/>
          <w:szCs w:val="32"/>
        </w:rPr>
      </w:pPr>
      <w:r>
        <w:rPr>
          <w:rFonts w:hint="eastAsia" w:asciiTheme="minorEastAsia" w:hAnsiTheme="minorEastAsia" w:eastAsiaTheme="minorEastAsia"/>
          <w:color w:val="FF0000"/>
          <w:sz w:val="32"/>
          <w:szCs w:val="32"/>
        </w:rPr>
        <w:t>6、公共安全支出（类）司法（款）普法宣传（项）。</w:t>
      </w:r>
    </w:p>
    <w:p>
      <w:pPr>
        <w:pStyle w:val="10"/>
        <w:ind w:firstLine="640" w:firstLineChars="200"/>
        <w:rPr>
          <w:rFonts w:asciiTheme="minorEastAsia" w:hAnsiTheme="minorEastAsia" w:eastAsiaTheme="minorEastAsia"/>
          <w:color w:val="FF0000"/>
          <w:sz w:val="32"/>
          <w:szCs w:val="32"/>
        </w:rPr>
      </w:pPr>
      <w:r>
        <w:rPr>
          <w:rFonts w:hint="eastAsia" w:asciiTheme="minorEastAsia" w:hAnsiTheme="minorEastAsia" w:eastAsiaTheme="minorEastAsia"/>
          <w:color w:val="FF0000"/>
          <w:sz w:val="32"/>
          <w:szCs w:val="32"/>
        </w:rPr>
        <w:t>年初预算为0万元，支出决算为32.04万元，决算数大于年初预算数的主要原因是：年中预算的追加。</w:t>
      </w:r>
    </w:p>
    <w:p>
      <w:pPr>
        <w:pStyle w:val="10"/>
        <w:ind w:firstLine="800" w:firstLineChars="250"/>
        <w:rPr>
          <w:rFonts w:asciiTheme="minorEastAsia" w:hAnsiTheme="minorEastAsia" w:eastAsiaTheme="minorEastAsia"/>
          <w:color w:val="FF0000"/>
          <w:sz w:val="32"/>
          <w:szCs w:val="32"/>
        </w:rPr>
      </w:pPr>
      <w:r>
        <w:rPr>
          <w:rFonts w:hint="eastAsia" w:asciiTheme="minorEastAsia" w:hAnsiTheme="minorEastAsia" w:eastAsiaTheme="minorEastAsia"/>
          <w:color w:val="FF0000"/>
          <w:sz w:val="32"/>
          <w:szCs w:val="32"/>
        </w:rPr>
        <w:t>7、公共安全支出（类）司法（款）公共法律服务（项）。</w:t>
      </w:r>
    </w:p>
    <w:p>
      <w:pPr>
        <w:pStyle w:val="10"/>
        <w:ind w:firstLine="800" w:firstLineChars="250"/>
        <w:rPr>
          <w:rFonts w:asciiTheme="minorEastAsia" w:hAnsiTheme="minorEastAsia" w:eastAsiaTheme="minorEastAsia"/>
          <w:color w:val="FF0000"/>
          <w:sz w:val="32"/>
          <w:szCs w:val="32"/>
        </w:rPr>
      </w:pPr>
      <w:r>
        <w:rPr>
          <w:rFonts w:hint="eastAsia" w:asciiTheme="minorEastAsia" w:hAnsiTheme="minorEastAsia" w:eastAsiaTheme="minorEastAsia"/>
          <w:color w:val="FF0000"/>
          <w:sz w:val="32"/>
          <w:szCs w:val="32"/>
        </w:rPr>
        <w:t>年初预算为40万元，支出决算为41.34万元，完成年初预算的103.35%，决算数大于年初预算数的主要原因是：部分法律援助案卷未归档，导致法律援助案件补贴到下一年度发放。</w:t>
      </w:r>
    </w:p>
    <w:p>
      <w:pPr>
        <w:pStyle w:val="10"/>
        <w:ind w:firstLine="800" w:firstLineChars="250"/>
        <w:rPr>
          <w:rFonts w:cs="宋体" w:asciiTheme="minorEastAsia" w:hAnsiTheme="minorEastAsia" w:eastAsiaTheme="minorEastAsia"/>
          <w:color w:val="FF0000"/>
          <w:sz w:val="32"/>
          <w:szCs w:val="32"/>
        </w:rPr>
      </w:pPr>
      <w:r>
        <w:rPr>
          <w:rFonts w:hint="eastAsia" w:asciiTheme="minorEastAsia" w:hAnsiTheme="minorEastAsia" w:eastAsiaTheme="minorEastAsia"/>
          <w:color w:val="FF0000"/>
          <w:sz w:val="32"/>
          <w:szCs w:val="32"/>
        </w:rPr>
        <w:t>8、公共安全支出（类）司法</w:t>
      </w:r>
      <w:r>
        <w:rPr>
          <w:rFonts w:hint="eastAsia" w:cs="宋体" w:asciiTheme="minorEastAsia" w:hAnsiTheme="minorEastAsia" w:eastAsiaTheme="minorEastAsia"/>
          <w:color w:val="FF0000"/>
          <w:sz w:val="32"/>
          <w:szCs w:val="32"/>
        </w:rPr>
        <w:t>（款）社区矫正（项）。</w:t>
      </w:r>
    </w:p>
    <w:p>
      <w:pPr>
        <w:pStyle w:val="10"/>
        <w:ind w:firstLine="800" w:firstLineChars="250"/>
        <w:rPr>
          <w:rFonts w:asciiTheme="minorEastAsia" w:hAnsiTheme="minorEastAsia" w:eastAsiaTheme="minorEastAsia"/>
          <w:color w:val="FF0000"/>
          <w:sz w:val="32"/>
          <w:szCs w:val="32"/>
        </w:rPr>
      </w:pPr>
      <w:r>
        <w:rPr>
          <w:rFonts w:hint="eastAsia" w:asciiTheme="minorEastAsia" w:hAnsiTheme="minorEastAsia" w:eastAsiaTheme="minorEastAsia"/>
          <w:color w:val="FF0000"/>
          <w:sz w:val="32"/>
          <w:szCs w:val="32"/>
        </w:rPr>
        <w:t>年初预算为40万元，支出决算为53.53万元，完成年初预算的133.83%，决算数大于年初预算数的主要原因是：存在年初预算指标下达严重不足，无法满足正常工作需要。</w:t>
      </w:r>
    </w:p>
    <w:p>
      <w:pPr>
        <w:pStyle w:val="10"/>
        <w:ind w:firstLine="800" w:firstLineChars="250"/>
        <w:rPr>
          <w:rFonts w:cs="宋体" w:asciiTheme="minorEastAsia" w:hAnsiTheme="minorEastAsia" w:eastAsiaTheme="minorEastAsia"/>
          <w:color w:val="FF0000"/>
          <w:sz w:val="32"/>
          <w:szCs w:val="32"/>
        </w:rPr>
      </w:pPr>
      <w:r>
        <w:rPr>
          <w:rFonts w:hint="eastAsia" w:asciiTheme="minorEastAsia" w:hAnsiTheme="minorEastAsia" w:eastAsiaTheme="minorEastAsia"/>
          <w:color w:val="FF0000"/>
          <w:sz w:val="32"/>
          <w:szCs w:val="32"/>
        </w:rPr>
        <w:t>9、公共安全支出（类）司法</w:t>
      </w:r>
      <w:r>
        <w:rPr>
          <w:rFonts w:hint="eastAsia" w:cs="宋体" w:asciiTheme="minorEastAsia" w:hAnsiTheme="minorEastAsia" w:eastAsiaTheme="minorEastAsia"/>
          <w:color w:val="FF0000"/>
          <w:sz w:val="32"/>
          <w:szCs w:val="32"/>
        </w:rPr>
        <w:t>（款）其他司法支出（项）。</w:t>
      </w:r>
    </w:p>
    <w:p>
      <w:pPr>
        <w:pStyle w:val="10"/>
        <w:ind w:firstLine="800" w:firstLineChars="250"/>
        <w:rPr>
          <w:rFonts w:asciiTheme="minorEastAsia" w:hAnsiTheme="minorEastAsia" w:eastAsiaTheme="minorEastAsia"/>
          <w:color w:val="FF0000"/>
          <w:sz w:val="32"/>
          <w:szCs w:val="32"/>
        </w:rPr>
      </w:pPr>
      <w:r>
        <w:rPr>
          <w:rFonts w:hint="eastAsia" w:asciiTheme="minorEastAsia" w:hAnsiTheme="minorEastAsia" w:eastAsiaTheme="minorEastAsia"/>
          <w:color w:val="FF0000"/>
          <w:sz w:val="32"/>
          <w:szCs w:val="32"/>
        </w:rPr>
        <w:t>年初预算为0万元，支出决算为5.42万元，决算数大于年初预算数的主要原因是：政法转移支付资金的拨付弥补了一部分预算资金的不足。</w:t>
      </w:r>
    </w:p>
    <w:p>
      <w:pPr>
        <w:pStyle w:val="10"/>
        <w:rPr>
          <w:rFonts w:hAnsi="黑体"/>
          <w:b/>
          <w:sz w:val="32"/>
          <w:szCs w:val="32"/>
        </w:rPr>
      </w:pPr>
      <w:r>
        <w:rPr>
          <w:rFonts w:hint="eastAsia" w:hAnsi="黑体"/>
          <w:b/>
          <w:sz w:val="32"/>
          <w:szCs w:val="32"/>
        </w:rPr>
        <w:t>六、一般公共预算财政拨款基本支出决算情况说明</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基本支出1339.34万元，其中：人员经费1128.16万元，占基本支出的84.23%,主要包括基本工资、津贴补贴、奖金、伙食补助费；公用经费211.18万元，占基本支出的15.77%，主要包括办公费、印刷费、咨询费、手续费。</w:t>
      </w:r>
    </w:p>
    <w:p>
      <w:pPr>
        <w:pStyle w:val="10"/>
        <w:rPr>
          <w:rFonts w:hAnsi="黑体"/>
          <w:b/>
          <w:sz w:val="32"/>
          <w:szCs w:val="32"/>
        </w:rPr>
      </w:pPr>
      <w:r>
        <w:rPr>
          <w:rFonts w:hint="eastAsia" w:hAnsi="黑体"/>
          <w:b/>
          <w:sz w:val="32"/>
          <w:szCs w:val="32"/>
        </w:rPr>
        <w:t>七、一般公共预算财政拨款三公经费支出决算情况说明</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“三公”经费财政拨款支出预算为6.04万元，支出决算为6.04万元，完成预算的100%，其中：</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因公出国（境）费支出预算为0万元，支出决算为0万元，完成预算的0%，决算数大于（小于）预算数的主要原因是无，与上年相比减少（增加）0万元，减少（增长）0%,减少（增长）的主要原因是无。</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公务接待费支出预算为0.69万元，支出决算为0.69万元，完成预算的100%，与上年相比减少增加0.58万元，</w:t>
      </w:r>
      <w:r>
        <w:rPr>
          <w:rFonts w:hint="eastAsia" w:asciiTheme="minorEastAsia" w:hAnsiTheme="minorEastAsia" w:eastAsiaTheme="minorEastAsia"/>
          <w:color w:val="auto"/>
          <w:sz w:val="32"/>
          <w:szCs w:val="32"/>
        </w:rPr>
        <w:t>增长</w:t>
      </w:r>
      <w:r>
        <w:rPr>
          <w:rFonts w:hint="eastAsia" w:asciiTheme="minorEastAsia" w:hAnsiTheme="minorEastAsia" w:eastAsiaTheme="minorEastAsia"/>
          <w:sz w:val="32"/>
          <w:szCs w:val="32"/>
        </w:rPr>
        <w:t>的主要原因是实际接待任务增加。</w:t>
      </w:r>
    </w:p>
    <w:p>
      <w:pPr>
        <w:widowControl/>
        <w:spacing w:line="502" w:lineRule="atLeast"/>
        <w:ind w:firstLine="640" w:firstLineChars="200"/>
        <w:jc w:val="left"/>
        <w:rPr>
          <w:rFonts w:asciiTheme="minorEastAsia" w:hAnsiTheme="minorEastAsia"/>
          <w:sz w:val="32"/>
          <w:szCs w:val="32"/>
        </w:rPr>
      </w:pPr>
      <w:r>
        <w:rPr>
          <w:rFonts w:hint="eastAsia" w:asciiTheme="minorEastAsia" w:hAnsiTheme="minorEastAsia"/>
          <w:sz w:val="32"/>
          <w:szCs w:val="32"/>
        </w:rPr>
        <w:t>公务用车购置费及运行维护费支出预算为5.35万元，支出决算为5.35万元，完成预算的100%，决算数小于预算数的主要原因是加强公务用车管理，严格遵照公务用车管理办法，坚持使用派车单，与上年相比减少3.55万元，减少39.89%,减少的主要原因是加强公务用车管理，严格遵照公务用车管理办法，坚持使用派车单。</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2021年度“三公”经费财政拨款支出决算中，公务接待费支出决算0.69万元，占11.42%,因公出国（境）费支出决算0万元，占0%,公务用车购置费及运行维护费支出决算5.35万元，占88.58%。其中：</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sz w:val="32"/>
          <w:szCs w:val="32"/>
        </w:rPr>
        <w:t>1、因公出国（境）费支出决算为0万元，全年安排因公出国（境）团组0个，累计0人次,开支内容无。</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2、公务接待费支出决算为0.69万元，全年共接待来访团组0个、来宾30人次，主要是上级司法部门工作调研、督查、兄弟单位考察交流工作经验发生的接待支出。</w:t>
      </w:r>
    </w:p>
    <w:p>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5.35万元，其中：公务用车购置费0万元，单位本级更新公务用车0辆。公务用车运行维护费5.35万元，主要是公车燃油、维修、保险费用支出，截止2021年12月31日，我单位开支财政拨款的公务用车保有量为3辆。</w:t>
      </w:r>
    </w:p>
    <w:p>
      <w:pPr>
        <w:pStyle w:val="10"/>
        <w:rPr>
          <w:rFonts w:hAnsi="黑体"/>
          <w:b/>
          <w:sz w:val="32"/>
          <w:szCs w:val="32"/>
        </w:rPr>
      </w:pPr>
      <w:r>
        <w:rPr>
          <w:rFonts w:hint="eastAsia" w:hAnsi="黑体"/>
          <w:b/>
          <w:sz w:val="32"/>
          <w:szCs w:val="32"/>
        </w:rPr>
        <w:t>八、政府性基金预算收入支出决算情况</w:t>
      </w:r>
    </w:p>
    <w:p>
      <w:pPr>
        <w:pStyle w:val="10"/>
        <w:rPr>
          <w:rFonts w:hAnsi="黑体"/>
          <w:b/>
          <w:sz w:val="32"/>
          <w:szCs w:val="32"/>
        </w:rPr>
      </w:pPr>
      <w:r>
        <w:rPr>
          <w:rFonts w:hint="eastAsia" w:asciiTheme="minorEastAsia" w:hAnsiTheme="minorEastAsia" w:eastAsiaTheme="minorEastAsia"/>
          <w:sz w:val="32"/>
          <w:szCs w:val="32"/>
        </w:rPr>
        <w:t xml:space="preserve">    </w:t>
      </w:r>
      <w:r>
        <w:rPr>
          <w:rFonts w:hint="eastAsia" w:asciiTheme="minorEastAsia" w:hAnsiTheme="minorEastAsia" w:eastAsiaTheme="minorEastAsia" w:cstheme="minorBidi"/>
          <w:color w:val="auto"/>
          <w:kern w:val="2"/>
          <w:sz w:val="32"/>
          <w:szCs w:val="32"/>
        </w:rPr>
        <w:t xml:space="preserve"> 本单位无政府性基金收支</w:t>
      </w:r>
    </w:p>
    <w:p>
      <w:pPr>
        <w:pStyle w:val="5"/>
        <w:widowControl w:val="0"/>
        <w:autoSpaceDE w:val="0"/>
        <w:autoSpaceDN w:val="0"/>
        <w:adjustRightInd w:val="0"/>
        <w:spacing w:before="0" w:beforeAutospacing="0" w:after="0" w:afterAutospacing="0" w:line="600" w:lineRule="exact"/>
        <w:outlineLvl w:val="1"/>
        <w:rPr>
          <w:rFonts w:ascii="黑体" w:hAnsi="黑体" w:eastAsia="黑体" w:cs="黑体"/>
          <w:b/>
          <w:color w:val="000000"/>
          <w:sz w:val="32"/>
          <w:szCs w:val="32"/>
        </w:rPr>
      </w:pPr>
      <w:r>
        <w:rPr>
          <w:rFonts w:hint="eastAsia" w:ascii="黑体" w:hAnsi="黑体" w:eastAsia="黑体" w:cs="黑体"/>
          <w:b/>
          <w:color w:val="000000"/>
          <w:sz w:val="32"/>
          <w:szCs w:val="32"/>
        </w:rPr>
        <w:t>九、国有资本经营预算财政拨款支出决算情况</w:t>
      </w:r>
    </w:p>
    <w:p>
      <w:pPr>
        <w:pStyle w:val="5"/>
        <w:widowControl w:val="0"/>
        <w:autoSpaceDE w:val="0"/>
        <w:autoSpaceDN w:val="0"/>
        <w:adjustRightInd w:val="0"/>
        <w:spacing w:before="0" w:beforeAutospacing="0" w:after="0" w:afterAutospacing="0" w:line="600" w:lineRule="exact"/>
        <w:ind w:firstLine="640" w:firstLineChars="200"/>
        <w:rPr>
          <w:rFonts w:asciiTheme="minorEastAsia" w:hAnsiTheme="minorEastAsia" w:eastAsiaTheme="minorEastAsia" w:cstheme="minorBidi"/>
          <w:kern w:val="2"/>
          <w:sz w:val="32"/>
          <w:szCs w:val="32"/>
        </w:rPr>
      </w:pPr>
      <w:r>
        <w:rPr>
          <w:rFonts w:hint="eastAsia" w:ascii="Times New Roman" w:hAnsi="Times New Roman" w:eastAsia="仿宋_GB2312" w:cs="Times New Roman"/>
          <w:sz w:val="32"/>
          <w:szCs w:val="32"/>
        </w:rPr>
        <w:t>本单位无国有资本经营预算支出</w:t>
      </w:r>
    </w:p>
    <w:p>
      <w:pPr>
        <w:pStyle w:val="5"/>
        <w:widowControl w:val="0"/>
        <w:autoSpaceDE w:val="0"/>
        <w:autoSpaceDN w:val="0"/>
        <w:adjustRightInd w:val="0"/>
        <w:spacing w:before="0" w:beforeAutospacing="0" w:after="0" w:afterAutospacing="0" w:line="600" w:lineRule="exact"/>
        <w:outlineLvl w:val="1"/>
        <w:rPr>
          <w:rFonts w:ascii="黑体" w:hAnsi="黑体" w:eastAsia="黑体" w:cs="黑体"/>
          <w:b/>
          <w:color w:val="000000"/>
          <w:sz w:val="32"/>
          <w:szCs w:val="32"/>
        </w:rPr>
      </w:pPr>
      <w:r>
        <w:rPr>
          <w:rFonts w:hint="eastAsia" w:ascii="黑体" w:hAnsi="黑体" w:eastAsia="黑体" w:cs="黑体"/>
          <w:b/>
          <w:color w:val="000000"/>
          <w:sz w:val="32"/>
          <w:szCs w:val="32"/>
        </w:rPr>
        <w:t>十、预算绩效情况说明</w:t>
      </w:r>
    </w:p>
    <w:p>
      <w:pPr>
        <w:spacing w:line="220" w:lineRule="atLeast"/>
        <w:ind w:firstLine="640" w:firstLineChars="200"/>
        <w:rPr>
          <w:rFonts w:cs="黑体" w:asciiTheme="minorEastAsia" w:hAnsiTheme="minorEastAsia"/>
          <w:color w:val="FF0000"/>
          <w:kern w:val="0"/>
          <w:sz w:val="32"/>
          <w:szCs w:val="32"/>
        </w:rPr>
      </w:pPr>
      <w:r>
        <w:rPr>
          <w:rFonts w:hint="eastAsia" w:cs="黑体" w:asciiTheme="minorEastAsia" w:hAnsiTheme="minorEastAsia"/>
          <w:color w:val="FF0000"/>
          <w:kern w:val="0"/>
          <w:sz w:val="32"/>
          <w:szCs w:val="32"/>
        </w:rPr>
        <w:t>本部门为一级预算单位，严格执行并积极开展预算管理及预算绩效评价工作。全年预算绩效评价部门整体支出绩效评价报告1个，已按财政绩效部门要求已公开（见第五部分附件）。根据财政管理制度的规定，本部门按照财政部门要求及时做好年初预算项目申报，积极开展整体支出和项目支出的自我评价工作，建立合理的评价指标体系，开展全方位的绩效评价工作，强化预算绩效管理目标，力求预算资金使用效果。</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color w:val="FF0000"/>
          <w:sz w:val="32"/>
          <w:szCs w:val="32"/>
        </w:rPr>
        <w:t>纳入2021年部门整体支出1715.68万元，本年度发生基本支出1417.7万元，及时足额支付人员工资、福利、五险一金，人员经费到位；项目支出297.98万元。湘潭县司法局实施部门预算绩效管理的单位范围包括：县司法局本级共1家单位。2021年本单位共1个预算项目纳入部门预算绩效管理和编制预算绩效目标。相关项目在年度预算执行完毕或项目完成后，于次年开展预算绩效自评或绩效评价，形成绩效报告报送财政部门备案。财政部门结合实际情况，选取部分项目或单位实施重点绩效评价。</w:t>
      </w:r>
    </w:p>
    <w:p>
      <w:pPr>
        <w:pStyle w:val="5"/>
        <w:widowControl w:val="0"/>
        <w:autoSpaceDE w:val="0"/>
        <w:autoSpaceDN w:val="0"/>
        <w:adjustRightInd w:val="0"/>
        <w:spacing w:before="0" w:beforeAutospacing="0" w:after="0" w:afterAutospacing="0" w:line="600" w:lineRule="exact"/>
        <w:outlineLvl w:val="1"/>
        <w:rPr>
          <w:rFonts w:ascii="黑体" w:hAnsi="黑体" w:eastAsia="黑体" w:cs="黑体"/>
          <w:b/>
          <w:color w:val="000000"/>
          <w:sz w:val="32"/>
          <w:szCs w:val="32"/>
        </w:rPr>
      </w:pPr>
      <w:r>
        <w:rPr>
          <w:rFonts w:hint="eastAsia" w:ascii="黑体" w:hAnsi="黑体" w:eastAsia="黑体" w:cs="黑体"/>
          <w:b/>
          <w:color w:val="000000"/>
          <w:sz w:val="32"/>
          <w:szCs w:val="32"/>
        </w:rPr>
        <w:t>十一、其他重要事项情况说明</w:t>
      </w:r>
    </w:p>
    <w:p>
      <w:pPr>
        <w:spacing w:line="600" w:lineRule="exact"/>
        <w:ind w:firstLine="640" w:firstLineChars="200"/>
        <w:outlineLvl w:val="2"/>
        <w:rPr>
          <w:rFonts w:ascii="楷体_GB2312" w:eastAsia="楷体_GB2312" w:cs="楷体_GB2312"/>
          <w:b/>
          <w:kern w:val="0"/>
          <w:sz w:val="32"/>
          <w:szCs w:val="32"/>
        </w:rPr>
      </w:pPr>
      <w:r>
        <w:rPr>
          <w:rFonts w:hint="eastAsia" w:ascii="楷体_GB2312" w:hAnsi="Times New Roman" w:eastAsia="楷体_GB2312" w:cs="楷体_GB2312"/>
          <w:b/>
          <w:kern w:val="0"/>
          <w:sz w:val="32"/>
          <w:szCs w:val="32"/>
        </w:rPr>
        <w:t>（一）机关运行经费支出情况</w:t>
      </w:r>
    </w:p>
    <w:p>
      <w:pPr>
        <w:ind w:firstLine="960" w:firstLineChars="3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本部门2021年度机关运行经费支出211.18万元（与部门决算中行政单位和参照公务员法管理事业单位一般公共预算财政拨款基本支出中公用经费之和保持衔接），比年初预</w:t>
      </w:r>
      <w:r>
        <w:rPr>
          <w:rFonts w:hint="eastAsia" w:cs="黑体" w:asciiTheme="minorEastAsia" w:hAnsiTheme="minorEastAsia"/>
          <w:color w:val="FF0000"/>
          <w:kern w:val="0"/>
          <w:sz w:val="32"/>
          <w:szCs w:val="32"/>
        </w:rPr>
        <w:t>算289.54万元数减少78.36万元，减少27.06</w:t>
      </w:r>
      <w:r>
        <w:rPr>
          <w:rFonts w:cs="黑体" w:asciiTheme="minorEastAsia" w:hAnsiTheme="minorEastAsia"/>
          <w:color w:val="FF0000"/>
          <w:kern w:val="0"/>
          <w:sz w:val="32"/>
          <w:szCs w:val="32"/>
        </w:rPr>
        <w:t xml:space="preserve"> %</w:t>
      </w:r>
      <w:r>
        <w:rPr>
          <w:rFonts w:hint="eastAsia" w:cs="黑体" w:asciiTheme="minorEastAsia" w:hAnsiTheme="minorEastAsia"/>
          <w:color w:val="000000"/>
          <w:kern w:val="0"/>
          <w:sz w:val="32"/>
          <w:szCs w:val="32"/>
        </w:rPr>
        <w:t>。主要原因是：</w:t>
      </w:r>
      <w:r>
        <w:rPr>
          <w:rFonts w:hint="eastAsia" w:asciiTheme="minorEastAsia" w:hAnsiTheme="minorEastAsia"/>
          <w:sz w:val="32"/>
          <w:szCs w:val="32"/>
        </w:rPr>
        <w:t>中央及省拨业务办案经费及业务装备经费中弥补了公用经费的不足</w:t>
      </w:r>
      <w:r>
        <w:rPr>
          <w:rFonts w:hint="eastAsia" w:cs="黑体" w:asciiTheme="minorEastAsia" w:hAnsiTheme="minorEastAsia"/>
          <w:kern w:val="0"/>
          <w:sz w:val="32"/>
          <w:szCs w:val="32"/>
        </w:rPr>
        <w:t>。（具体增减原因由部门根据实际情况</w:t>
      </w:r>
      <w:r>
        <w:rPr>
          <w:rFonts w:hint="eastAsia" w:cs="黑体" w:asciiTheme="minorEastAsia" w:hAnsiTheme="minorEastAsia"/>
          <w:color w:val="000000"/>
          <w:kern w:val="0"/>
          <w:sz w:val="32"/>
          <w:szCs w:val="32"/>
        </w:rPr>
        <w:t>填列</w:t>
      </w:r>
      <w:r>
        <w:rPr>
          <w:rFonts w:cs="黑体" w:asciiTheme="minorEastAsia" w:hAnsiTheme="minorEastAsia"/>
          <w:color w:val="000000"/>
          <w:kern w:val="0"/>
          <w:sz w:val="32"/>
          <w:szCs w:val="32"/>
        </w:rPr>
        <w:t>,</w:t>
      </w:r>
      <w:r>
        <w:rPr>
          <w:rFonts w:hint="eastAsia" w:cs="黑体" w:asciiTheme="minorEastAsia" w:hAnsiTheme="minorEastAsia"/>
          <w:color w:val="000000"/>
          <w:kern w:val="0"/>
          <w:sz w:val="32"/>
          <w:szCs w:val="32"/>
        </w:rPr>
        <w:t>机关运行经费支出口径应在专业名词解释中予以说明）</w:t>
      </w:r>
    </w:p>
    <w:p>
      <w:pPr>
        <w:spacing w:line="600" w:lineRule="exact"/>
        <w:ind w:firstLine="640" w:firstLineChars="200"/>
        <w:outlineLvl w:val="2"/>
        <w:rPr>
          <w:rFonts w:ascii="楷体_GB2312" w:eastAsia="楷体_GB2312" w:cs="楷体_GB2312"/>
          <w:b/>
          <w:kern w:val="0"/>
          <w:sz w:val="32"/>
          <w:szCs w:val="32"/>
        </w:rPr>
      </w:pPr>
      <w:r>
        <w:rPr>
          <w:rFonts w:hint="eastAsia" w:ascii="楷体_GB2312" w:hAnsi="Times New Roman" w:eastAsia="楷体_GB2312" w:cs="楷体_GB2312"/>
          <w:b/>
          <w:kern w:val="0"/>
          <w:sz w:val="32"/>
          <w:szCs w:val="32"/>
        </w:rPr>
        <w:t>（二）一般性支出情况</w:t>
      </w:r>
    </w:p>
    <w:p>
      <w:pPr>
        <w:spacing w:line="600" w:lineRule="exact"/>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2021年本部门开支会议费0.16万元，用于上级主管单位来我局调研及指导工作，人数40人；开支培训费1.18万元，用于开展人民调解、行政执法综合等培训，人数130人，内容为提升人民调解员调解技能、拓展全体执法人员法律知识，提高执法水平等方面。举办等节庆、晚会、论坛、赛事活动，开支0万元。</w:t>
      </w:r>
    </w:p>
    <w:p>
      <w:pPr>
        <w:spacing w:line="600" w:lineRule="exact"/>
        <w:ind w:firstLine="640" w:firstLineChars="200"/>
        <w:outlineLvl w:val="2"/>
        <w:rPr>
          <w:rFonts w:ascii="楷体_GB2312" w:eastAsia="楷体_GB2312" w:cs="楷体_GB2312"/>
          <w:b/>
          <w:kern w:val="0"/>
          <w:sz w:val="32"/>
          <w:szCs w:val="32"/>
        </w:rPr>
      </w:pPr>
      <w:r>
        <w:rPr>
          <w:rFonts w:hint="eastAsia" w:ascii="楷体_GB2312" w:hAnsi="Times New Roman" w:eastAsia="楷体_GB2312" w:cs="楷体_GB2312"/>
          <w:b/>
          <w:kern w:val="0"/>
          <w:sz w:val="32"/>
          <w:szCs w:val="32"/>
        </w:rPr>
        <w:t>（三）政府采购支出情况</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本部门2021年度政府采购支出总额8.87万元，其中：政府采购货物支出8.87万元、政府采购工程支出0 万元、政府采购服务支出0万元。授予中小企业合同金额8.87万元，占政府采购支出总额的100%，其中：授予小微企业合同金额8.87万元，占政府采购支出总额的100%。</w:t>
      </w:r>
    </w:p>
    <w:p>
      <w:pPr>
        <w:spacing w:line="600" w:lineRule="exact"/>
        <w:ind w:firstLine="640" w:firstLineChars="200"/>
        <w:outlineLvl w:val="2"/>
        <w:rPr>
          <w:rFonts w:ascii="楷体_GB2312" w:eastAsia="楷体_GB2312" w:cs="楷体_GB2312"/>
          <w:b/>
          <w:kern w:val="0"/>
          <w:sz w:val="32"/>
          <w:szCs w:val="32"/>
        </w:rPr>
      </w:pPr>
      <w:r>
        <w:rPr>
          <w:rFonts w:hint="eastAsia" w:ascii="楷体_GB2312" w:hAnsi="Times New Roman" w:eastAsia="楷体_GB2312" w:cs="楷体_GB2312"/>
          <w:b/>
          <w:kern w:val="0"/>
          <w:sz w:val="32"/>
          <w:szCs w:val="32"/>
        </w:rPr>
        <w:t>（四）国有资产占用情况</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截至2021年12月31日，本单位共有车辆3辆，其中，主要领导干部用车0辆，机要通信用车0辆、应急保障用车0辆、执法执勤用车3辆、特种专业技术用车0辆、其他用车0辆；单位价值50万元以上通用设备0台（套）；单位价值100万元以上专用设备0台（套）。</w:t>
      </w:r>
    </w:p>
    <w:p>
      <w:pPr>
        <w:pStyle w:val="10"/>
        <w:rPr>
          <w:rFonts w:hAnsi="黑体"/>
          <w:b/>
          <w:sz w:val="32"/>
          <w:szCs w:val="3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both"/>
        <w:rPr>
          <w:sz w:val="72"/>
          <w:szCs w:val="72"/>
        </w:rPr>
      </w:pPr>
    </w:p>
    <w:p>
      <w:pPr>
        <w:pStyle w:val="10"/>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ind w:firstLine="640" w:firstLineChars="200"/>
        <w:jc w:val="left"/>
        <w:rPr>
          <w:rFonts w:cs="黑体" w:asciiTheme="minorEastAsia" w:hAnsiTheme="minorEastAsia"/>
          <w:color w:val="000000"/>
          <w:kern w:val="0"/>
          <w:sz w:val="32"/>
          <w:szCs w:val="32"/>
        </w:rPr>
      </w:pPr>
    </w:p>
    <w:p>
      <w:pPr>
        <w:widowControl/>
        <w:ind w:firstLine="640" w:firstLineChars="200"/>
        <w:jc w:val="left"/>
        <w:rPr>
          <w:rFonts w:ascii="仿宋" w:hAnsi="仿宋" w:eastAsia="仿宋" w:cs="仿宋"/>
          <w:sz w:val="32"/>
          <w:szCs w:val="32"/>
        </w:rPr>
      </w:pPr>
      <w:r>
        <w:rPr>
          <w:rFonts w:hint="eastAsia" w:ascii="仿宋" w:hAnsi="仿宋" w:eastAsia="仿宋" w:cs="仿宋"/>
          <w:sz w:val="32"/>
          <w:szCs w:val="32"/>
        </w:rPr>
        <w:t>1、机关运行经费：是指各部门的公用经费，包括办公费、印刷费、邮电费、差旅费、会议费、福利费、水电费、日常维修费、一般设备购置费、办公用房物理管理费、公务用车运行维护费及其他费用。</w:t>
      </w:r>
    </w:p>
    <w:p>
      <w:pPr>
        <w:widowControl/>
        <w:ind w:firstLine="640" w:firstLineChars="200"/>
        <w:jc w:val="left"/>
        <w:rPr>
          <w:rFonts w:ascii="仿宋" w:hAnsi="仿宋" w:eastAsia="仿宋" w:cs="仿宋"/>
          <w:sz w:val="32"/>
          <w:szCs w:val="32"/>
        </w:rPr>
      </w:pPr>
      <w:r>
        <w:rPr>
          <w:rFonts w:hint="eastAsia" w:ascii="仿宋" w:hAnsi="仿宋" w:eastAsia="仿宋" w:cs="仿宋"/>
          <w:sz w:val="32"/>
          <w:szCs w:val="32"/>
        </w:rPr>
        <w:t>2、“三公”经费：纳入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过桥过路费、安全奖励费等 支出；因公出国（境）费反映单位公务出国（境）的国际旅费、国外城市间交通费、食宿费等支出。</w:t>
      </w:r>
    </w:p>
    <w:p>
      <w:pPr>
        <w:widowControl/>
        <w:ind w:firstLine="640" w:firstLineChars="200"/>
        <w:jc w:val="left"/>
        <w:rPr>
          <w:rFonts w:ascii="仿宋" w:hAnsi="仿宋" w:eastAsia="仿宋" w:cs="仿宋"/>
          <w:sz w:val="32"/>
          <w:szCs w:val="32"/>
        </w:rPr>
      </w:pPr>
      <w:r>
        <w:rPr>
          <w:rFonts w:hint="eastAsia" w:ascii="仿宋" w:hAnsi="仿宋" w:eastAsia="仿宋" w:cs="仿宋"/>
          <w:sz w:val="32"/>
          <w:szCs w:val="32"/>
        </w:rPr>
        <w:t xml:space="preserve">3、基本支出：是指为保障机构正常运转、完成日常工作任务而发生的人员支出和公用支出。 </w:t>
      </w:r>
    </w:p>
    <w:p>
      <w:pPr>
        <w:widowControl/>
        <w:ind w:firstLine="640" w:firstLineChars="200"/>
        <w:jc w:val="left"/>
        <w:rPr>
          <w:rFonts w:ascii="仿宋" w:hAnsi="仿宋" w:eastAsia="仿宋" w:cs="仿宋"/>
          <w:sz w:val="32"/>
          <w:szCs w:val="32"/>
        </w:rPr>
      </w:pPr>
      <w:r>
        <w:rPr>
          <w:rFonts w:hint="eastAsia" w:ascii="仿宋" w:hAnsi="仿宋" w:eastAsia="仿宋" w:cs="仿宋"/>
          <w:sz w:val="32"/>
          <w:szCs w:val="32"/>
        </w:rPr>
        <w:t>4、项目支出：是指在基本支出之外为完成特定行政任务和事业发展目标所发生的支出。</w:t>
      </w:r>
    </w:p>
    <w:p>
      <w:pPr>
        <w:pStyle w:val="10"/>
        <w:jc w:val="center"/>
        <w:rPr>
          <w:sz w:val="72"/>
          <w:szCs w:val="72"/>
        </w:rPr>
      </w:pPr>
    </w:p>
    <w:p>
      <w:pPr>
        <w:pStyle w:val="10"/>
        <w:jc w:val="center"/>
        <w:rPr>
          <w:sz w:val="72"/>
          <w:szCs w:val="72"/>
        </w:rPr>
      </w:pPr>
    </w:p>
    <w:p>
      <w:pPr>
        <w:pStyle w:val="10"/>
        <w:jc w:val="center"/>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spacing w:line="520" w:lineRule="exact"/>
        <w:jc w:val="center"/>
        <w:rPr>
          <w:rFonts w:ascii="宋体" w:hAnsi="宋体" w:eastAsia="宋体" w:cs="Times New Roman"/>
          <w:b/>
          <w:sz w:val="44"/>
          <w:szCs w:val="44"/>
        </w:rPr>
      </w:pPr>
      <w:r>
        <w:rPr>
          <w:rFonts w:hint="eastAsia" w:ascii="宋体" w:hAnsi="宋体" w:eastAsia="宋体" w:cs="Times New Roman"/>
          <w:b/>
          <w:sz w:val="44"/>
          <w:szCs w:val="44"/>
        </w:rPr>
        <w:t>2021年部门整体支出绩效自评报告</w:t>
      </w:r>
    </w:p>
    <w:p>
      <w:pPr>
        <w:spacing w:line="520" w:lineRule="exact"/>
        <w:jc w:val="left"/>
        <w:rPr>
          <w:rFonts w:ascii="仿宋_GB2312" w:hAnsi="微软雅黑" w:eastAsia="宋体" w:cs="Times New Roman"/>
          <w:color w:val="333333"/>
          <w:szCs w:val="32"/>
        </w:rPr>
      </w:pPr>
    </w:p>
    <w:p>
      <w:pPr>
        <w:tabs>
          <w:tab w:val="left" w:pos="567"/>
          <w:tab w:val="center" w:pos="4535"/>
        </w:tabs>
        <w:spacing w:line="520" w:lineRule="exact"/>
        <w:ind w:firstLine="640" w:firstLineChars="200"/>
        <w:jc w:val="left"/>
        <w:rPr>
          <w:rFonts w:ascii="仿宋" w:hAnsi="仿宋" w:eastAsia="仿宋" w:cs="Times New Roman"/>
          <w:b/>
          <w:sz w:val="32"/>
          <w:szCs w:val="32"/>
        </w:rPr>
      </w:pPr>
      <w:r>
        <w:rPr>
          <w:rFonts w:hint="eastAsia" w:ascii="仿宋" w:hAnsi="仿宋" w:eastAsia="仿宋" w:cs="Times New Roman"/>
          <w:color w:val="333333"/>
          <w:sz w:val="32"/>
          <w:szCs w:val="32"/>
        </w:rPr>
        <w:t>根据湘潭县财政局《关于做好2021年度财政支出绩效自评工作的通知》精神，我局对2021年度部门整体支出绩效进行了全面综合评价。整体支出分基本支出和项目支出两部分，基本支出的评价重点是厉行节约保运转，降低行政成本，项目支出的评价重点是规范专项业务的管理促发展，提高资金绩效。现将有关情况报告如下：</w:t>
      </w:r>
    </w:p>
    <w:p>
      <w:pPr>
        <w:widowControl/>
        <w:spacing w:line="520" w:lineRule="exact"/>
        <w:ind w:firstLine="480"/>
        <w:rPr>
          <w:rFonts w:ascii="仿宋_GB2312" w:hAnsi="微软雅黑" w:eastAsia="仿宋_GB2312" w:cs="宋体"/>
          <w:b/>
          <w:color w:val="333333"/>
          <w:kern w:val="0"/>
          <w:sz w:val="32"/>
          <w:szCs w:val="32"/>
        </w:rPr>
      </w:pPr>
      <w:r>
        <w:rPr>
          <w:rFonts w:hint="eastAsia" w:ascii="仿宋_GB2312" w:hAnsi="微软雅黑" w:eastAsia="仿宋_GB2312" w:cs="宋体"/>
          <w:b/>
          <w:color w:val="333333"/>
          <w:kern w:val="0"/>
          <w:sz w:val="32"/>
          <w:szCs w:val="32"/>
        </w:rPr>
        <w:t>一、部门概况</w:t>
      </w:r>
    </w:p>
    <w:p>
      <w:pPr>
        <w:widowControl/>
        <w:spacing w:line="520" w:lineRule="exact"/>
        <w:ind w:firstLine="480"/>
        <w:rPr>
          <w:rFonts w:ascii="仿宋_GB2312" w:hAnsi="微软雅黑" w:eastAsia="仿宋_GB2312" w:cs="宋体"/>
          <w:b/>
          <w:color w:val="333333"/>
          <w:kern w:val="0"/>
          <w:sz w:val="32"/>
          <w:szCs w:val="32"/>
        </w:rPr>
      </w:pPr>
      <w:r>
        <w:rPr>
          <w:rFonts w:hint="eastAsia" w:ascii="仿宋_GB2312" w:hAnsi="微软雅黑" w:eastAsia="仿宋_GB2312" w:cs="宋体"/>
          <w:b/>
          <w:color w:val="333333"/>
          <w:kern w:val="0"/>
          <w:sz w:val="32"/>
          <w:szCs w:val="32"/>
        </w:rPr>
        <w:t>（一）部门基本情况</w:t>
      </w:r>
    </w:p>
    <w:p>
      <w:pPr>
        <w:tabs>
          <w:tab w:val="center" w:pos="4535"/>
        </w:tabs>
        <w:spacing w:line="520" w:lineRule="exact"/>
        <w:ind w:firstLine="640" w:firstLineChars="200"/>
        <w:jc w:val="left"/>
        <w:rPr>
          <w:rFonts w:ascii="仿宋" w:hAnsi="仿宋" w:eastAsia="仿宋" w:cs="Times New Roman"/>
          <w:color w:val="333333"/>
          <w:sz w:val="32"/>
          <w:szCs w:val="32"/>
        </w:rPr>
      </w:pPr>
      <w:r>
        <w:rPr>
          <w:rFonts w:hint="eastAsia" w:ascii="仿宋" w:hAnsi="仿宋" w:eastAsia="仿宋" w:cs="Times New Roman"/>
          <w:color w:val="333333"/>
          <w:sz w:val="32"/>
          <w:szCs w:val="32"/>
        </w:rPr>
        <w:t>根据“三定方案”，我局机关设办公室、法治调研与督察股、社区矫正管理股（县社区矫正管理局）、行政复议与应诉股、行政执法协调监督股（审批服务股）、规范性文件与合同审查管理股（县政府合同审查管理处）、普法与依法治理股、人民参与促进法治股（人民陪审员和人民监督员选任管理办公室）、公共法律服务管理股、律师公证司法鉴定管理股、装备财务保障股、政治部、机关党委（党建办）13个内设机构，派驻乡镇17个司法所，2个二级机构：湘潭县人民政府法律顾问工作室、湘潭县公证处。全局共有人员编制数101个（政法专项编制84人，事业专项编制6个，事业工勤编之11个），截止2021年12月31日，实有89人（政法专项编制74人，事业专项人员4人，事业工勤人员11人）。离退休人员26人，其中退休人员26人。遗属5人。现有公车3辆。</w:t>
      </w:r>
    </w:p>
    <w:p>
      <w:pPr>
        <w:widowControl/>
        <w:spacing w:line="520" w:lineRule="exact"/>
        <w:ind w:firstLine="480"/>
        <w:rPr>
          <w:rFonts w:ascii="仿宋_GB2312" w:hAnsi="微软雅黑" w:eastAsia="仿宋_GB2312" w:cs="宋体"/>
          <w:b/>
          <w:color w:val="333333"/>
          <w:kern w:val="0"/>
          <w:sz w:val="32"/>
          <w:szCs w:val="32"/>
        </w:rPr>
      </w:pPr>
      <w:r>
        <w:rPr>
          <w:rFonts w:hint="eastAsia" w:ascii="仿宋_GB2312" w:hAnsi="微软雅黑" w:eastAsia="仿宋_GB2312" w:cs="宋体"/>
          <w:b/>
          <w:color w:val="333333"/>
          <w:kern w:val="0"/>
          <w:sz w:val="32"/>
          <w:szCs w:val="32"/>
        </w:rPr>
        <w:t>（二）部门整体支出总体情况</w:t>
      </w:r>
    </w:p>
    <w:p>
      <w:pPr>
        <w:tabs>
          <w:tab w:val="center" w:pos="4535"/>
        </w:tabs>
        <w:spacing w:line="520" w:lineRule="exact"/>
        <w:ind w:firstLine="800" w:firstLineChars="250"/>
        <w:jc w:val="left"/>
        <w:rPr>
          <w:rFonts w:ascii="仿宋" w:hAnsi="仿宋" w:eastAsia="仿宋" w:cs="Times New Roman"/>
          <w:color w:val="333333"/>
          <w:sz w:val="32"/>
          <w:szCs w:val="32"/>
        </w:rPr>
      </w:pPr>
      <w:r>
        <w:rPr>
          <w:rFonts w:hint="eastAsia" w:ascii="仿宋" w:hAnsi="仿宋" w:eastAsia="仿宋" w:cs="Times New Roman"/>
          <w:color w:val="333333"/>
          <w:sz w:val="32"/>
          <w:szCs w:val="32"/>
        </w:rPr>
        <w:t>2021年年初预算收入数为1507.56万元。其中：财政一般预算拨款1507.56万元。较去年（2020年年初预算收入为1555.56万元）减少48万元，减少了3.1%，减少的主要原因是财政压缩了单位预算。</w:t>
      </w:r>
    </w:p>
    <w:p>
      <w:pPr>
        <w:pStyle w:val="10"/>
        <w:ind w:firstLine="640" w:firstLineChars="200"/>
        <w:rPr>
          <w:rFonts w:ascii="仿宋" w:hAnsi="仿宋" w:eastAsia="仿宋" w:cs="Times New Roman"/>
          <w:color w:val="333333"/>
          <w:sz w:val="32"/>
          <w:szCs w:val="32"/>
        </w:rPr>
      </w:pPr>
      <w:r>
        <w:rPr>
          <w:rFonts w:hint="eastAsia" w:ascii="仿宋" w:hAnsi="仿宋" w:eastAsia="仿宋" w:cs="Times New Roman"/>
          <w:color w:val="333333"/>
          <w:sz w:val="32"/>
          <w:szCs w:val="32"/>
        </w:rPr>
        <w:t>2021年部门整体支出1715.68万元，其中基本支出1417.7万元，项目支出297.98万元 。部门整体支出比上年减少254.96万元，主要原因是因为财政实拨资金难以到位，一部分本年度应付未付资金没有支出。</w:t>
      </w:r>
    </w:p>
    <w:p>
      <w:pPr>
        <w:tabs>
          <w:tab w:val="center" w:pos="4535"/>
        </w:tabs>
        <w:spacing w:line="520" w:lineRule="exact"/>
        <w:jc w:val="left"/>
        <w:rPr>
          <w:rFonts w:ascii="仿宋" w:hAnsi="仿宋" w:eastAsia="仿宋" w:cs="Times New Roman"/>
          <w:color w:val="333333"/>
          <w:sz w:val="32"/>
          <w:szCs w:val="32"/>
        </w:rPr>
      </w:pPr>
    </w:p>
    <w:p>
      <w:pPr>
        <w:widowControl/>
        <w:spacing w:line="520" w:lineRule="exact"/>
        <w:ind w:firstLine="480"/>
        <w:rPr>
          <w:rFonts w:ascii="仿宋_GB2312" w:hAnsi="微软雅黑" w:eastAsia="仿宋_GB2312" w:cs="宋体"/>
          <w:b/>
          <w:color w:val="333333"/>
          <w:kern w:val="0"/>
          <w:sz w:val="32"/>
          <w:szCs w:val="32"/>
        </w:rPr>
      </w:pPr>
      <w:r>
        <w:rPr>
          <w:rFonts w:hint="eastAsia" w:ascii="仿宋_GB2312" w:hAnsi="微软雅黑" w:eastAsia="仿宋_GB2312" w:cs="宋体"/>
          <w:b/>
          <w:color w:val="333333"/>
          <w:kern w:val="0"/>
          <w:sz w:val="32"/>
          <w:szCs w:val="32"/>
        </w:rPr>
        <w:t>二、部门整体支出管理及使用情况</w:t>
      </w:r>
    </w:p>
    <w:p>
      <w:pPr>
        <w:widowControl/>
        <w:tabs>
          <w:tab w:val="left" w:pos="709"/>
        </w:tabs>
        <w:spacing w:line="520" w:lineRule="exact"/>
        <w:ind w:firstLine="480"/>
        <w:rPr>
          <w:rFonts w:ascii="仿宋_GB2312" w:hAnsi="微软雅黑" w:eastAsia="仿宋_GB2312" w:cs="宋体"/>
          <w:b/>
          <w:color w:val="333333"/>
          <w:kern w:val="0"/>
          <w:sz w:val="32"/>
          <w:szCs w:val="32"/>
        </w:rPr>
      </w:pPr>
      <w:r>
        <w:rPr>
          <w:rFonts w:hint="eastAsia" w:ascii="仿宋_GB2312" w:hAnsi="微软雅黑" w:eastAsia="仿宋_GB2312" w:cs="宋体"/>
          <w:b/>
          <w:color w:val="333333"/>
          <w:kern w:val="0"/>
          <w:sz w:val="32"/>
          <w:szCs w:val="32"/>
        </w:rPr>
        <w:t>（一）基本支出</w:t>
      </w:r>
    </w:p>
    <w:p>
      <w:pPr>
        <w:tabs>
          <w:tab w:val="center" w:pos="4535"/>
        </w:tabs>
        <w:spacing w:line="520" w:lineRule="exact"/>
        <w:ind w:firstLine="800" w:firstLineChars="250"/>
        <w:jc w:val="left"/>
        <w:rPr>
          <w:rFonts w:ascii="仿宋" w:hAnsi="仿宋" w:eastAsia="仿宋" w:cs="Times New Roman"/>
          <w:color w:val="333333"/>
          <w:sz w:val="32"/>
          <w:szCs w:val="32"/>
        </w:rPr>
      </w:pPr>
      <w:r>
        <w:rPr>
          <w:rFonts w:hint="eastAsia" w:ascii="仿宋" w:hAnsi="仿宋" w:eastAsia="仿宋" w:cs="Times New Roman"/>
          <w:color w:val="333333"/>
          <w:sz w:val="32"/>
          <w:szCs w:val="32"/>
        </w:rPr>
        <w:t>2021年基本支出1417.7万元，主要包括：1、工资福利支出1122.31万元。主要为行政事业在职人员基本工资、津贴补贴、社会保障缴费、年终绩效奖和其他工资福利支出等。2、商品和服务支出280.67万元。主要是办公费、印刷费、水电费、邮电费、物业管理费、差旅费、会议费、培训费、劳务费、公务接待费、公务用车运行维护费、其他商品和服务支出等支出。3、对个人和家庭补助支出5.85万元4、资本性支出（基础建设）8.87万元。</w:t>
      </w:r>
    </w:p>
    <w:p>
      <w:pPr>
        <w:widowControl/>
        <w:spacing w:line="502" w:lineRule="atLeast"/>
        <w:ind w:firstLine="640" w:firstLineChars="200"/>
        <w:jc w:val="left"/>
        <w:rPr>
          <w:rFonts w:ascii="仿宋" w:hAnsi="仿宋" w:eastAsia="仿宋" w:cs="Times New Roman"/>
          <w:color w:val="333333"/>
          <w:sz w:val="32"/>
          <w:szCs w:val="32"/>
        </w:rPr>
      </w:pPr>
      <w:r>
        <w:rPr>
          <w:rFonts w:hint="eastAsia" w:ascii="仿宋" w:hAnsi="仿宋" w:eastAsia="仿宋" w:cs="Times New Roman"/>
          <w:color w:val="333333"/>
          <w:sz w:val="32"/>
          <w:szCs w:val="32"/>
        </w:rPr>
        <w:t>“三公”经费年初预算6.04万元，支出6.04万元，其中公务接待费0.69万元，同比上年增加0.58万元，增加的主要原因是实际接待任务增加。公务用车运行维护费5.35万元，与上年相比减少3.55万元，降低39.89%。减少的主要原因</w:t>
      </w:r>
      <w:r>
        <w:rPr>
          <w:rFonts w:hint="eastAsia" w:ascii="仿宋" w:hAnsi="仿宋" w:eastAsia="仿宋" w:cs="Times New Roman"/>
          <w:color w:val="333333"/>
          <w:sz w:val="32"/>
          <w:szCs w:val="32"/>
          <w:lang w:eastAsia="zh-CN"/>
        </w:rPr>
        <w:t>是</w:t>
      </w:r>
      <w:r>
        <w:rPr>
          <w:rFonts w:hint="eastAsia" w:ascii="仿宋" w:hAnsi="仿宋" w:eastAsia="仿宋" w:cs="Times New Roman"/>
          <w:color w:val="333333"/>
          <w:sz w:val="32"/>
          <w:szCs w:val="32"/>
        </w:rPr>
        <w:t>加强公务用车管理，严格遵照公务用车管理办法 ，坚持使用派车单。无公务用车购置费。</w:t>
      </w:r>
    </w:p>
    <w:p>
      <w:pPr>
        <w:widowControl/>
        <w:spacing w:line="520" w:lineRule="exact"/>
        <w:ind w:firstLine="480"/>
        <w:rPr>
          <w:rFonts w:ascii="仿宋_GB2312" w:hAnsi="微软雅黑" w:eastAsia="仿宋_GB2312" w:cs="宋体"/>
          <w:b/>
          <w:color w:val="333333"/>
          <w:kern w:val="0"/>
          <w:sz w:val="32"/>
          <w:szCs w:val="32"/>
        </w:rPr>
      </w:pPr>
      <w:r>
        <w:rPr>
          <w:rFonts w:hint="eastAsia" w:ascii="仿宋_GB2312" w:hAnsi="微软雅黑" w:eastAsia="仿宋_GB2312" w:cs="宋体"/>
          <w:b/>
          <w:color w:val="333333"/>
          <w:kern w:val="0"/>
          <w:sz w:val="32"/>
          <w:szCs w:val="32"/>
        </w:rPr>
        <w:t>（二）项目支出</w:t>
      </w:r>
    </w:p>
    <w:p>
      <w:pPr>
        <w:tabs>
          <w:tab w:val="center" w:pos="4535"/>
        </w:tabs>
        <w:spacing w:line="520" w:lineRule="exact"/>
        <w:ind w:firstLine="800" w:firstLineChars="250"/>
        <w:jc w:val="left"/>
        <w:rPr>
          <w:rFonts w:ascii="仿宋" w:hAnsi="仿宋" w:eastAsia="仿宋" w:cs="Times New Roman"/>
          <w:color w:val="333333"/>
          <w:sz w:val="32"/>
          <w:szCs w:val="32"/>
        </w:rPr>
      </w:pPr>
      <w:r>
        <w:rPr>
          <w:rFonts w:hint="eastAsia" w:ascii="仿宋" w:hAnsi="仿宋" w:eastAsia="仿宋" w:cs="Times New Roman"/>
          <w:color w:val="333333"/>
          <w:sz w:val="32"/>
          <w:szCs w:val="32"/>
        </w:rPr>
        <w:t>2021年项目支出297.98万元，项目支出主要用于机关服务、基层司法业务、社区矫正与安置帮教、人民调解和三调联动、公共法律服务、医疗纠纷调处、普法宣传、法制办经费、装备购置等支出。</w:t>
      </w:r>
    </w:p>
    <w:p>
      <w:pPr>
        <w:widowControl/>
        <w:spacing w:line="520" w:lineRule="exact"/>
        <w:ind w:firstLine="480"/>
        <w:rPr>
          <w:rFonts w:ascii="仿宋_GB2312" w:hAnsi="微软雅黑" w:eastAsia="仿宋_GB2312" w:cs="宋体"/>
          <w:b/>
          <w:color w:val="333333"/>
          <w:kern w:val="0"/>
          <w:sz w:val="32"/>
          <w:szCs w:val="32"/>
        </w:rPr>
      </w:pPr>
      <w:r>
        <w:rPr>
          <w:rFonts w:hint="eastAsia" w:ascii="仿宋_GB2312" w:hAnsi="微软雅黑" w:eastAsia="仿宋_GB2312" w:cs="宋体"/>
          <w:b/>
          <w:color w:val="333333"/>
          <w:kern w:val="0"/>
          <w:sz w:val="32"/>
          <w:szCs w:val="32"/>
        </w:rPr>
        <w:t>（三）项目资金管理情况</w:t>
      </w:r>
    </w:p>
    <w:p>
      <w:pPr>
        <w:tabs>
          <w:tab w:val="center" w:pos="4535"/>
        </w:tabs>
        <w:spacing w:line="520" w:lineRule="exact"/>
        <w:ind w:firstLine="800" w:firstLineChars="250"/>
        <w:jc w:val="left"/>
        <w:rPr>
          <w:rFonts w:ascii="仿宋" w:hAnsi="仿宋" w:eastAsia="仿宋" w:cs="Times New Roman"/>
          <w:color w:val="333333"/>
          <w:sz w:val="32"/>
          <w:szCs w:val="32"/>
        </w:rPr>
      </w:pPr>
      <w:r>
        <w:rPr>
          <w:rFonts w:hint="eastAsia" w:ascii="仿宋" w:hAnsi="仿宋" w:eastAsia="仿宋" w:cs="Times New Roman"/>
          <w:color w:val="333333"/>
          <w:sz w:val="32"/>
          <w:szCs w:val="32"/>
        </w:rPr>
        <w:t>1.管理制度健全性。为规范机关财务管理，建立健全财务管理制度，我局制定了《湘潭县司法局政府采购工作规范》等一系列财务管理制度。</w:t>
      </w:r>
    </w:p>
    <w:p>
      <w:pPr>
        <w:tabs>
          <w:tab w:val="center" w:pos="4535"/>
        </w:tabs>
        <w:spacing w:line="520" w:lineRule="exact"/>
        <w:ind w:firstLine="800" w:firstLineChars="250"/>
        <w:jc w:val="left"/>
        <w:rPr>
          <w:rFonts w:ascii="仿宋" w:hAnsi="仿宋" w:eastAsia="仿宋" w:cs="Times New Roman"/>
          <w:color w:val="333333"/>
          <w:sz w:val="32"/>
          <w:szCs w:val="32"/>
        </w:rPr>
      </w:pPr>
      <w:r>
        <w:rPr>
          <w:rFonts w:hint="eastAsia" w:ascii="仿宋" w:hAnsi="仿宋" w:eastAsia="仿宋" w:cs="Times New Roman"/>
          <w:color w:val="333333"/>
          <w:sz w:val="32"/>
          <w:szCs w:val="32"/>
        </w:rPr>
        <w:t>2.资金使用合规性。资金的支付严格按照国家财经法规和财务管理制度规定支付；资金拨付有完整的审批程序和手续；经费支出符合部门预算批复的用途；资金使用无截留、挪用、虚列支出等情况。</w:t>
      </w:r>
    </w:p>
    <w:p>
      <w:pPr>
        <w:tabs>
          <w:tab w:val="center" w:pos="4535"/>
        </w:tabs>
        <w:spacing w:line="520" w:lineRule="exact"/>
        <w:ind w:firstLine="800" w:firstLineChars="250"/>
        <w:jc w:val="left"/>
        <w:rPr>
          <w:rFonts w:ascii="仿宋" w:hAnsi="仿宋" w:eastAsia="仿宋" w:cs="Times New Roman"/>
          <w:color w:val="333333"/>
          <w:sz w:val="32"/>
          <w:szCs w:val="32"/>
        </w:rPr>
      </w:pPr>
      <w:r>
        <w:rPr>
          <w:rFonts w:hint="eastAsia" w:ascii="仿宋" w:hAnsi="仿宋" w:eastAsia="仿宋" w:cs="Times New Roman"/>
          <w:color w:val="333333"/>
          <w:sz w:val="32"/>
          <w:szCs w:val="32"/>
        </w:rPr>
        <w:t>3.会计核算规范性。我局各项财务工作能按照财政的有关规章制度严格执行，能做到准确核算业务，规范管理财务资料。</w:t>
      </w:r>
    </w:p>
    <w:p>
      <w:pPr>
        <w:widowControl/>
        <w:spacing w:line="520" w:lineRule="exact"/>
        <w:ind w:firstLine="480"/>
        <w:rPr>
          <w:rFonts w:ascii="仿宋_GB2312" w:hAnsi="微软雅黑" w:eastAsia="仿宋_GB2312" w:cs="宋体"/>
          <w:b/>
          <w:color w:val="333333"/>
          <w:kern w:val="0"/>
          <w:sz w:val="32"/>
          <w:szCs w:val="32"/>
        </w:rPr>
      </w:pPr>
      <w:r>
        <w:rPr>
          <w:rFonts w:hint="eastAsia" w:ascii="仿宋_GB2312" w:hAnsi="微软雅黑" w:eastAsia="仿宋_GB2312" w:cs="宋体"/>
          <w:b/>
          <w:color w:val="333333"/>
          <w:kern w:val="0"/>
          <w:sz w:val="32"/>
          <w:szCs w:val="32"/>
        </w:rPr>
        <w:t>三、资产管理情况</w:t>
      </w:r>
    </w:p>
    <w:p>
      <w:pPr>
        <w:tabs>
          <w:tab w:val="center" w:pos="4535"/>
        </w:tabs>
        <w:spacing w:line="520" w:lineRule="exact"/>
        <w:ind w:firstLine="800" w:firstLineChars="250"/>
        <w:jc w:val="left"/>
        <w:rPr>
          <w:rFonts w:ascii="仿宋_GB2312" w:hAnsi="微软雅黑" w:eastAsia="仿宋_GB2312" w:cs="Times New Roman"/>
          <w:color w:val="333333"/>
          <w:sz w:val="32"/>
          <w:szCs w:val="32"/>
        </w:rPr>
      </w:pPr>
      <w:r>
        <w:rPr>
          <w:rFonts w:hint="eastAsia" w:ascii="仿宋_GB2312" w:hAnsi="微软雅黑" w:eastAsia="仿宋_GB2312" w:cs="Times New Roman"/>
          <w:color w:val="333333"/>
          <w:sz w:val="32"/>
          <w:szCs w:val="32"/>
        </w:rPr>
        <w:t>截至2021年12月31日我局国有资产总计1285.92万元，其中房屋及构筑物5处，面积2791.79平方米，525.39万元；通用设备578件，447.41万元；专用设备21件，3.83万元；家具、用具、装具及动植物1117件，77.65万元；无形资产（土地使用权）2处，面积2958.10平方米，231.64万元。我局综合办公室负责固定资产的申报、购买、登记和处置。购买固定资产时需明确购买资产的原因、数量和用途，经领导审批后交计财装备室，计财装备室履行政府购买手续按规定流程购买，经验货后送达资产申报人。同时及时登记固定资产明细表及资产系统，并将资产发票进行入账处理。</w:t>
      </w:r>
    </w:p>
    <w:p>
      <w:pPr>
        <w:widowControl/>
        <w:spacing w:line="520" w:lineRule="exact"/>
        <w:ind w:firstLine="480"/>
        <w:rPr>
          <w:rFonts w:ascii="仿宋_GB2312" w:hAnsi="微软雅黑" w:eastAsia="仿宋_GB2312" w:cs="宋体"/>
          <w:b/>
          <w:color w:val="333333"/>
          <w:kern w:val="0"/>
          <w:sz w:val="32"/>
          <w:szCs w:val="32"/>
        </w:rPr>
      </w:pPr>
      <w:r>
        <w:rPr>
          <w:rFonts w:hint="eastAsia" w:ascii="仿宋_GB2312" w:hAnsi="微软雅黑" w:eastAsia="仿宋_GB2312" w:cs="宋体"/>
          <w:b/>
          <w:color w:val="333333"/>
          <w:kern w:val="0"/>
          <w:sz w:val="32"/>
          <w:szCs w:val="32"/>
        </w:rPr>
        <w:t>四、部门整体支出绩效情况</w:t>
      </w:r>
    </w:p>
    <w:p>
      <w:pPr>
        <w:snapToGrid w:val="0"/>
        <w:spacing w:line="520" w:lineRule="exact"/>
        <w:ind w:firstLine="640" w:firstLineChars="200"/>
        <w:rPr>
          <w:rFonts w:ascii="仿宋_GB2312" w:hAnsi="微软雅黑" w:eastAsia="仿宋_GB2312" w:cs="Times New Roman"/>
          <w:color w:val="333333"/>
          <w:sz w:val="32"/>
          <w:szCs w:val="32"/>
        </w:rPr>
      </w:pPr>
      <w:r>
        <w:rPr>
          <w:rFonts w:hint="eastAsia" w:ascii="仿宋_GB2312" w:hAnsi="微软雅黑" w:eastAsia="仿宋_GB2312" w:cs="Times New Roman"/>
          <w:color w:val="333333"/>
          <w:sz w:val="32"/>
          <w:szCs w:val="32"/>
        </w:rPr>
        <w:t>2021年，司法局在县委、县政府的领导下，坚持依法行政、执法为民，稳中求进，改革创新，积极作为，突出抓改革强监管促发展，各方面工作稳步推进，根据我单位制定的《部门整体支出绩效评价自评分值表》评分，得分90分，财政支出绩效为“优”。主要绩效如下：</w:t>
      </w:r>
    </w:p>
    <w:p>
      <w:pPr>
        <w:snapToGrid w:val="0"/>
        <w:spacing w:line="520" w:lineRule="exact"/>
        <w:ind w:firstLine="800" w:firstLineChars="250"/>
        <w:rPr>
          <w:rFonts w:ascii="仿宋" w:hAnsi="仿宋" w:eastAsia="仿宋" w:cs="Times New Roman"/>
          <w:color w:val="333333"/>
          <w:sz w:val="32"/>
          <w:szCs w:val="32"/>
        </w:rPr>
      </w:pPr>
      <w:r>
        <w:rPr>
          <w:rFonts w:hint="eastAsia" w:ascii="仿宋" w:hAnsi="仿宋" w:eastAsia="仿宋" w:cs="Times New Roman"/>
          <w:color w:val="333333"/>
          <w:sz w:val="32"/>
          <w:szCs w:val="32"/>
        </w:rPr>
        <w:t>1、</w:t>
      </w:r>
      <w:r>
        <w:rPr>
          <w:rFonts w:ascii="仿宋" w:hAnsi="仿宋" w:eastAsia="仿宋" w:cs="Times New Roman"/>
          <w:color w:val="333333"/>
          <w:sz w:val="32"/>
          <w:szCs w:val="32"/>
        </w:rPr>
        <w:t>“智慧矫正”建设方面：2021年今年以来，全县共接收社区矫正对象362人，解除社区矫正对象307人，终止社区矫正对象9人（撤销缓刑3人、因暂予监外执行情形消失收监执行2人），在册社区矫正对象311人，其中缓刑296人，假释5人，暂予监外执行9人，管制1人（系未成年社区矫正对象），手机APP定位290人、移动指纹考勤定位6人，定位率99.66%；警告9人次、训诫14人次、记表扬1人次、治安拘留1人；变更居住地19例；跨市县活动审批120例；接受决定机关委托，共对214例拟适用社区矫正对象进行社会调查评估。</w:t>
      </w:r>
    </w:p>
    <w:p>
      <w:pPr>
        <w:snapToGrid w:val="0"/>
        <w:spacing w:line="520" w:lineRule="exact"/>
        <w:ind w:firstLine="800" w:firstLineChars="250"/>
        <w:rPr>
          <w:rFonts w:ascii="仿宋" w:hAnsi="仿宋" w:eastAsia="仿宋" w:cs="Times New Roman"/>
          <w:color w:val="333333"/>
          <w:sz w:val="32"/>
          <w:szCs w:val="32"/>
        </w:rPr>
      </w:pPr>
      <w:r>
        <w:rPr>
          <w:rFonts w:hint="eastAsia" w:ascii="仿宋" w:hAnsi="仿宋" w:eastAsia="仿宋" w:cs="Times New Roman"/>
          <w:color w:val="333333"/>
          <w:sz w:val="32"/>
          <w:szCs w:val="32"/>
        </w:rPr>
        <w:t>2、</w:t>
      </w:r>
      <w:r>
        <w:rPr>
          <w:rFonts w:ascii="仿宋" w:hAnsi="仿宋" w:eastAsia="仿宋" w:cs="Times New Roman"/>
          <w:color w:val="333333"/>
          <w:sz w:val="32"/>
          <w:szCs w:val="32"/>
        </w:rPr>
        <w:t>安置帮教工作方面：全县 2460名安置帮教对象无一人重新犯罪，回执率、衔接率、接送率、帮教率均达到100%，为“平安湘潭县”的建设作出了积极贡献</w:t>
      </w:r>
      <w:r>
        <w:rPr>
          <w:rFonts w:hint="eastAsia" w:ascii="仿宋" w:hAnsi="仿宋" w:eastAsia="仿宋" w:cs="Times New Roman"/>
          <w:color w:val="333333"/>
          <w:sz w:val="32"/>
          <w:szCs w:val="32"/>
        </w:rPr>
        <w:t>.</w:t>
      </w:r>
    </w:p>
    <w:p>
      <w:pPr>
        <w:snapToGrid w:val="0"/>
        <w:spacing w:line="520" w:lineRule="exact"/>
        <w:ind w:firstLine="800" w:firstLineChars="250"/>
        <w:rPr>
          <w:rFonts w:ascii="仿宋" w:hAnsi="仿宋" w:eastAsia="仿宋" w:cs="Times New Roman"/>
          <w:color w:val="333333"/>
          <w:sz w:val="32"/>
          <w:szCs w:val="32"/>
        </w:rPr>
      </w:pPr>
      <w:r>
        <w:rPr>
          <w:rFonts w:hint="eastAsia" w:ascii="仿宋" w:hAnsi="仿宋" w:eastAsia="仿宋" w:cs="Times New Roman"/>
          <w:color w:val="333333"/>
          <w:sz w:val="32"/>
          <w:szCs w:val="32"/>
        </w:rPr>
        <w:t>3、</w:t>
      </w:r>
      <w:r>
        <w:rPr>
          <w:rFonts w:ascii="仿宋" w:hAnsi="仿宋" w:eastAsia="仿宋" w:cs="Times New Roman"/>
          <w:color w:val="333333"/>
          <w:sz w:val="32"/>
          <w:szCs w:val="32"/>
        </w:rPr>
        <w:t>公共法律服务工作方面：扎实推进村级法律顾问工作,制定并下发了《湘潭县2021年度“一村一法律顾问”工作方案》，全县351个村（社区）与3家律师事务所22名律师完成了签约仪式，签订了法律顾问合同，并建立了微信服务群。全年，全县共建立村级顾问微信群351个，完成率100%；为村解答法律咨询516件；推送微信普法信息3116条，进行现场走访449次，参与矛盾纠纷调解25件，举行现场法治宣传18场次，开展现场法治讲座46场次。扎实推进公共法律服务平台建设，进一步完善了全县17个乡镇公共法律服务工作站、351个村级公共法律服</w:t>
      </w:r>
      <w:r>
        <w:rPr>
          <w:rFonts w:hint="eastAsia" w:ascii="仿宋" w:hAnsi="仿宋" w:eastAsia="仿宋" w:cs="Times New Roman"/>
          <w:color w:val="333333"/>
          <w:sz w:val="32"/>
          <w:szCs w:val="32"/>
        </w:rPr>
        <w:t>务</w:t>
      </w:r>
      <w:r>
        <w:rPr>
          <w:rFonts w:ascii="仿宋" w:hAnsi="仿宋" w:eastAsia="仿宋" w:cs="Times New Roman"/>
          <w:color w:val="333333"/>
          <w:sz w:val="32"/>
          <w:szCs w:val="32"/>
        </w:rPr>
        <w:t>工作点和3550个公共法律服务志愿点的建设工作。县中心2021年接待群众余2000人次，受理法律援助案件482件，引入律师482件、办理公证644件；在如法网平台共录入网络咨询229条，登录法律援助案件482件。</w:t>
      </w:r>
    </w:p>
    <w:p>
      <w:pPr>
        <w:snapToGrid w:val="0"/>
        <w:spacing w:line="520" w:lineRule="exact"/>
        <w:ind w:firstLine="800" w:firstLineChars="250"/>
        <w:rPr>
          <w:rFonts w:ascii="仿宋" w:hAnsi="仿宋" w:eastAsia="仿宋" w:cs="Times New Roman"/>
          <w:color w:val="333333"/>
          <w:sz w:val="32"/>
          <w:szCs w:val="32"/>
        </w:rPr>
      </w:pPr>
      <w:r>
        <w:rPr>
          <w:rFonts w:hint="eastAsia" w:ascii="仿宋" w:hAnsi="仿宋" w:eastAsia="仿宋" w:cs="Times New Roman"/>
          <w:color w:val="333333"/>
          <w:sz w:val="32"/>
          <w:szCs w:val="32"/>
        </w:rPr>
        <w:t>4、</w:t>
      </w:r>
      <w:r>
        <w:rPr>
          <w:rFonts w:ascii="仿宋" w:hAnsi="仿宋" w:eastAsia="仿宋" w:cs="Times New Roman"/>
          <w:color w:val="333333"/>
          <w:sz w:val="32"/>
          <w:szCs w:val="32"/>
        </w:rPr>
        <w:t>法律援助工作方面：</w:t>
      </w:r>
      <w:r>
        <w:rPr>
          <w:rFonts w:hint="eastAsia" w:ascii="仿宋" w:hAnsi="仿宋" w:eastAsia="仿宋" w:cs="Times New Roman"/>
          <w:color w:val="333333"/>
          <w:sz w:val="32"/>
          <w:szCs w:val="32"/>
        </w:rPr>
        <w:t>2021年1月1日至2021年12月31日，法援中心共受理法援案件503件，其中民事319件，刑事111件，行政1件，认罪认罚72件，涉及受援人503人次；值班律师提供法律帮助300余人次，为受援人挽回经济损失5000余万元，免去法律服务费用150多万元。县中心今年被县委、</w:t>
      </w:r>
      <w:r>
        <w:rPr>
          <w:rFonts w:hint="eastAsia" w:ascii="仿宋" w:hAnsi="仿宋" w:eastAsia="仿宋" w:cs="Times New Roman"/>
          <w:color w:val="333333"/>
          <w:sz w:val="32"/>
          <w:szCs w:val="32"/>
          <w:lang w:val="en-US" w:eastAsia="zh-CN"/>
        </w:rPr>
        <w:t>县</w:t>
      </w:r>
      <w:r>
        <w:rPr>
          <w:rFonts w:hint="eastAsia" w:ascii="仿宋" w:hAnsi="仿宋" w:eastAsia="仿宋" w:cs="Times New Roman"/>
          <w:color w:val="333333"/>
          <w:sz w:val="32"/>
          <w:szCs w:val="32"/>
        </w:rPr>
        <w:t xml:space="preserve">政府评为“十佳基层政法单位”。 </w:t>
      </w:r>
      <w:r>
        <w:rPr>
          <w:rFonts w:ascii="仿宋" w:hAnsi="仿宋" w:eastAsia="仿宋" w:cs="Times New Roman"/>
          <w:color w:val="333333"/>
          <w:sz w:val="32"/>
          <w:szCs w:val="32"/>
        </w:rPr>
        <w:t>加大法律援助工作宣传力度</w:t>
      </w:r>
      <w:r>
        <w:rPr>
          <w:rFonts w:hint="eastAsia" w:ascii="仿宋" w:hAnsi="仿宋" w:eastAsia="仿宋" w:cs="Times New Roman"/>
          <w:color w:val="333333"/>
          <w:sz w:val="32"/>
          <w:szCs w:val="32"/>
        </w:rPr>
        <w:t>，发放宣传资料1万余份，解答法律咨询500余人次。邀请湘潭县电视台记者进行《中华人民共和国法律援助法》专题宣传活动、典型案例等进行宣传报道。中心副主任方琳玲和黄敏律师（承办人）共同撰写的《“债务加入”在欠薪案件中的适用》典型案例，在湖南省律师协会组织的</w:t>
      </w:r>
      <w:bookmarkStart w:id="3" w:name="_GoBack"/>
      <w:bookmarkEnd w:id="3"/>
      <w:r>
        <w:rPr>
          <w:rFonts w:hint="eastAsia" w:ascii="仿宋" w:hAnsi="仿宋" w:eastAsia="仿宋" w:cs="Times New Roman"/>
          <w:color w:val="333333"/>
          <w:sz w:val="32"/>
          <w:szCs w:val="32"/>
        </w:rPr>
        <w:t>民法典理论与实务征文比赛中获得三等奖。以上系列措施取得了良好的社会反响。</w:t>
      </w:r>
    </w:p>
    <w:p>
      <w:pPr>
        <w:snapToGrid w:val="0"/>
        <w:spacing w:line="520" w:lineRule="exact"/>
        <w:ind w:firstLine="800" w:firstLineChars="250"/>
        <w:rPr>
          <w:rFonts w:ascii="仿宋" w:hAnsi="仿宋" w:eastAsia="仿宋" w:cs="Times New Roman"/>
          <w:color w:val="333333"/>
          <w:sz w:val="32"/>
          <w:szCs w:val="32"/>
        </w:rPr>
      </w:pPr>
      <w:r>
        <w:rPr>
          <w:rFonts w:hint="eastAsia" w:ascii="仿宋" w:hAnsi="仿宋" w:eastAsia="仿宋" w:cs="Times New Roman"/>
          <w:color w:val="333333"/>
          <w:sz w:val="32"/>
          <w:szCs w:val="32"/>
        </w:rPr>
        <w:t>5、</w:t>
      </w:r>
      <w:r>
        <w:rPr>
          <w:rFonts w:ascii="仿宋" w:hAnsi="仿宋" w:eastAsia="仿宋" w:cs="Times New Roman"/>
          <w:color w:val="333333"/>
          <w:sz w:val="32"/>
          <w:szCs w:val="32"/>
        </w:rPr>
        <w:t>人民调解工作方面：2021年，全县共调处各类矛盾纠纷5142起，调解成功5040起，调解成功率98.4%，避免了纠纷激化升级，有力地保障了我县的社会稳定。2021年度的“以奖代补”案件中，全部是通过省基层平台进行录入、审核，平台截止到今年12月31日审核完成的案件有3737件，提高了基层调处矛盾纠纷的主动性、积极性、参与性。全力提升司法所规范化建设,本着确保安全第一、质量第一的原则，对茶恩寺、射埠、谭家山3个司法所的基础设施进行了维修，同时还对云湖桥司法所业务用房墙壁渗水、木窗老化等进行预算，已通过党组会议同意年后即开工建设。</w:t>
      </w:r>
    </w:p>
    <w:p>
      <w:pPr>
        <w:snapToGrid w:val="0"/>
        <w:spacing w:line="520" w:lineRule="exact"/>
        <w:ind w:firstLine="800" w:firstLineChars="250"/>
        <w:rPr>
          <w:rFonts w:ascii="仿宋" w:hAnsi="仿宋" w:eastAsia="仿宋" w:cs="Times New Roman"/>
          <w:color w:val="333333"/>
          <w:sz w:val="32"/>
          <w:szCs w:val="32"/>
        </w:rPr>
      </w:pPr>
      <w:r>
        <w:rPr>
          <w:rFonts w:hint="eastAsia" w:ascii="仿宋" w:hAnsi="仿宋" w:eastAsia="仿宋" w:cs="Times New Roman"/>
          <w:color w:val="333333"/>
          <w:sz w:val="32"/>
          <w:szCs w:val="32"/>
        </w:rPr>
        <w:t>6、全面依法治县统筹推进。一是充分发挥县委全面依法治县委员会办公室职能作用，筹备召开全面依法治县委员会第三次会议，制定了《全面依法治县2021年工作要点》。组织开展全面依法治县工作年度督查，推动我县全面依法治县工作均衡有序推进。二是启动“八五”普法规划筹备工作，集思广益起草好我县“八五”普法规划（草案），全面谋划未来五年湘潭县的法治建设工作蓝图，满足新形势下经济社会发展对普法依法治理工作的新要求。三是深入开展“民主法治示范村(社区)”创建活动。年内，对易俗河镇花果山社区、杨嘉桥镇新桥村等7个村（社区）硬件和软件设施进行统一规范，并分别申报了省级、和市级民主法治示范村（社区），目前在复查评审中。</w:t>
      </w:r>
    </w:p>
    <w:p>
      <w:pPr>
        <w:snapToGrid w:val="0"/>
        <w:spacing w:line="520" w:lineRule="exact"/>
        <w:ind w:firstLine="800" w:firstLineChars="250"/>
        <w:rPr>
          <w:rFonts w:ascii="仿宋" w:hAnsi="仿宋" w:eastAsia="仿宋" w:cs="Times New Roman"/>
          <w:color w:val="333333"/>
          <w:sz w:val="32"/>
          <w:szCs w:val="32"/>
        </w:rPr>
      </w:pPr>
      <w:r>
        <w:rPr>
          <w:rFonts w:hint="eastAsia" w:ascii="仿宋" w:hAnsi="仿宋" w:eastAsia="仿宋" w:cs="Times New Roman"/>
          <w:color w:val="333333"/>
          <w:sz w:val="32"/>
          <w:szCs w:val="32"/>
        </w:rPr>
        <w:t>7、法治政府建设成果显著。一是严格执行规范性文件管理制度，推进重大行政决策规范化。2021年，县司法局共审查各部门起草的政府（政府办）规范性文件15件，实行“三统一”文件14件；审核重大行政决策事项14次，县政府合同29件，县人民政府会议纪要等重要文件121件。二是积极推进行政复议体制改革，5月份，湘潭县人民政府行政复议办公室正式挂牌，设在县司法局。2021年度我们共依法办理行政复议申请42件，县政府被诉行政案件45件。三是继续开展行政执法竞赛活动，指导全县各执法单位规范执法行为，确保严格文明公正执法。2021年全县行政执法立案88331起，到位罚没款2709万元，拆除违建面积8820.2平方米。</w:t>
      </w:r>
    </w:p>
    <w:p>
      <w:pPr>
        <w:pStyle w:val="5"/>
        <w:shd w:val="clear" w:color="auto" w:fill="FFFFFF"/>
        <w:spacing w:before="0" w:beforeAutospacing="0" w:after="0" w:afterAutospacing="0" w:line="33" w:lineRule="atLeast"/>
        <w:ind w:firstLine="480"/>
        <w:jc w:val="both"/>
        <w:rPr>
          <w:rFonts w:ascii="仿宋" w:hAnsi="仿宋" w:eastAsia="仿宋" w:cs="Times New Roman"/>
          <w:color w:val="333333"/>
          <w:kern w:val="2"/>
          <w:sz w:val="32"/>
          <w:szCs w:val="32"/>
        </w:rPr>
      </w:pPr>
    </w:p>
    <w:p>
      <w:pPr>
        <w:widowControl/>
        <w:spacing w:line="520" w:lineRule="exact"/>
        <w:ind w:firstLine="480"/>
        <w:rPr>
          <w:rFonts w:ascii="仿宋_GB2312" w:hAnsi="微软雅黑" w:eastAsia="仿宋_GB2312" w:cs="宋体"/>
          <w:b/>
          <w:color w:val="333333"/>
          <w:kern w:val="0"/>
          <w:sz w:val="32"/>
          <w:szCs w:val="32"/>
        </w:rPr>
      </w:pPr>
      <w:r>
        <w:rPr>
          <w:rFonts w:hint="eastAsia" w:ascii="仿宋_GB2312" w:hAnsi="微软雅黑" w:eastAsia="仿宋_GB2312" w:cs="宋体"/>
          <w:b/>
          <w:color w:val="333333"/>
          <w:kern w:val="0"/>
          <w:sz w:val="32"/>
          <w:szCs w:val="32"/>
        </w:rPr>
        <w:t>五、存在的问题</w:t>
      </w:r>
    </w:p>
    <w:p>
      <w:pPr>
        <w:pStyle w:val="5"/>
        <w:shd w:val="clear" w:color="auto" w:fill="FFFFFF"/>
        <w:spacing w:before="0" w:beforeAutospacing="0" w:after="0" w:afterAutospacing="0" w:line="33" w:lineRule="atLeast"/>
        <w:ind w:firstLine="800" w:firstLineChars="250"/>
        <w:jc w:val="both"/>
        <w:rPr>
          <w:rFonts w:ascii="仿宋" w:hAnsi="仿宋" w:eastAsia="仿宋" w:cs="Times New Roman"/>
          <w:color w:val="333333"/>
          <w:kern w:val="2"/>
          <w:sz w:val="32"/>
          <w:szCs w:val="32"/>
        </w:rPr>
      </w:pPr>
      <w:r>
        <w:rPr>
          <w:rFonts w:hint="eastAsia" w:ascii="仿宋" w:hAnsi="仿宋" w:eastAsia="仿宋" w:cs="Times New Roman"/>
          <w:color w:val="333333"/>
          <w:kern w:val="2"/>
          <w:sz w:val="32"/>
          <w:szCs w:val="32"/>
        </w:rPr>
        <w:t>1、项目档案管理需进一步规范。</w:t>
      </w:r>
    </w:p>
    <w:p>
      <w:pPr>
        <w:pStyle w:val="5"/>
        <w:shd w:val="clear" w:color="auto" w:fill="FFFFFF"/>
        <w:spacing w:before="0" w:beforeAutospacing="0" w:after="0" w:afterAutospacing="0" w:line="33" w:lineRule="atLeast"/>
        <w:ind w:firstLine="640" w:firstLineChars="200"/>
        <w:jc w:val="both"/>
        <w:rPr>
          <w:rFonts w:ascii="仿宋" w:hAnsi="仿宋" w:eastAsia="仿宋" w:cs="Times New Roman"/>
          <w:color w:val="333333"/>
          <w:kern w:val="2"/>
          <w:sz w:val="32"/>
          <w:szCs w:val="32"/>
        </w:rPr>
      </w:pPr>
      <w:r>
        <w:rPr>
          <w:rFonts w:hint="eastAsia" w:ascii="仿宋" w:hAnsi="仿宋" w:eastAsia="仿宋" w:cs="Times New Roman"/>
          <w:color w:val="333333"/>
          <w:kern w:val="2"/>
          <w:sz w:val="32"/>
          <w:szCs w:val="32"/>
        </w:rPr>
        <w:t>项目单位对项目管理的重视程度有待进一步提高，少数部门和单位对绩效评价工作的认识不足，重视不够，项目档案没有按要求及时进行归集整理，存在未保存相关部门的审批文件、文件日期标注不明、无工程项目施工过程记录照片的情况，没有进行专门的项目管理。</w:t>
      </w:r>
    </w:p>
    <w:p>
      <w:pPr>
        <w:snapToGrid w:val="0"/>
        <w:spacing w:line="520" w:lineRule="exact"/>
        <w:ind w:firstLine="800" w:firstLineChars="250"/>
        <w:jc w:val="left"/>
        <w:rPr>
          <w:rFonts w:ascii="仿宋" w:hAnsi="仿宋" w:eastAsia="仿宋" w:cs="Times New Roman"/>
          <w:color w:val="333333"/>
          <w:sz w:val="32"/>
          <w:szCs w:val="32"/>
        </w:rPr>
      </w:pPr>
      <w:r>
        <w:rPr>
          <w:rFonts w:hint="eastAsia" w:ascii="仿宋" w:hAnsi="仿宋" w:eastAsia="仿宋" w:cs="Times New Roman"/>
          <w:color w:val="333333"/>
          <w:sz w:val="32"/>
          <w:szCs w:val="32"/>
        </w:rPr>
        <w:t>2、年末存量资金大，预算完成率低，项目资金未能按预算及时使用，项目推进力度有待进一步加强。</w:t>
      </w:r>
    </w:p>
    <w:p>
      <w:pPr>
        <w:snapToGrid w:val="0"/>
        <w:spacing w:line="520" w:lineRule="exact"/>
        <w:ind w:firstLine="800" w:firstLineChars="250"/>
        <w:rPr>
          <w:rFonts w:ascii="仿宋" w:hAnsi="仿宋" w:eastAsia="仿宋" w:cs="Times New Roman"/>
          <w:color w:val="333333"/>
          <w:sz w:val="32"/>
          <w:szCs w:val="32"/>
        </w:rPr>
      </w:pPr>
      <w:r>
        <w:rPr>
          <w:rFonts w:hint="eastAsia" w:ascii="仿宋" w:hAnsi="仿宋" w:eastAsia="仿宋" w:cs="Times New Roman"/>
          <w:color w:val="333333"/>
          <w:sz w:val="32"/>
          <w:szCs w:val="32"/>
        </w:rPr>
        <w:t>3、政府采购年初预算与实际执行偏差大，政府采购预算编制准确性有待提高。</w:t>
      </w:r>
    </w:p>
    <w:p>
      <w:pPr>
        <w:widowControl/>
        <w:spacing w:line="520" w:lineRule="exact"/>
        <w:ind w:firstLine="480"/>
        <w:rPr>
          <w:rFonts w:ascii="仿宋_GB2312" w:hAnsi="微软雅黑" w:eastAsia="仿宋_GB2312" w:cs="宋体"/>
          <w:b/>
          <w:color w:val="333333"/>
          <w:kern w:val="0"/>
          <w:sz w:val="32"/>
          <w:szCs w:val="32"/>
        </w:rPr>
      </w:pPr>
      <w:r>
        <w:rPr>
          <w:rFonts w:hint="eastAsia" w:ascii="仿宋_GB2312" w:hAnsi="微软雅黑" w:eastAsia="仿宋_GB2312" w:cs="宋体"/>
          <w:b/>
          <w:color w:val="333333"/>
          <w:kern w:val="0"/>
          <w:sz w:val="32"/>
          <w:szCs w:val="32"/>
        </w:rPr>
        <w:t>六、改进措施</w:t>
      </w:r>
    </w:p>
    <w:p>
      <w:pPr>
        <w:snapToGrid w:val="0"/>
        <w:spacing w:line="520" w:lineRule="exact"/>
        <w:ind w:firstLine="800" w:firstLineChars="250"/>
        <w:rPr>
          <w:rFonts w:ascii="仿宋" w:hAnsi="仿宋" w:eastAsia="仿宋" w:cs="Times New Roman"/>
          <w:color w:val="333333"/>
          <w:sz w:val="32"/>
          <w:szCs w:val="32"/>
        </w:rPr>
      </w:pPr>
      <w:r>
        <w:rPr>
          <w:rFonts w:hint="eastAsia" w:ascii="仿宋" w:hAnsi="仿宋" w:eastAsia="仿宋" w:cs="Times New Roman"/>
          <w:color w:val="333333"/>
          <w:sz w:val="32"/>
          <w:szCs w:val="32"/>
        </w:rPr>
        <w:t>1、加强预算绩效管理。进一步加强各单位的预算资金管理，减少预算资金使用的随意性，对预算的事前、事中、事后进行全过程控制，加大对预算编制与执行的监督管理力度，提高预算资金使用效率。同时，提高各单位人员对预算资金使用效益的认识，把预算资金是否发挥使用效益与各岗位是否履职尽责相结合，将预算资金使用的效率和效益作为对各岗位人员工作考核评价的重要内容之一。对预算外经费严格落实“收支两条线”要求，精细测算支出额度，把需求核准核实，充分发挥财政资金的效益。</w:t>
      </w:r>
    </w:p>
    <w:p>
      <w:pPr>
        <w:snapToGrid w:val="0"/>
        <w:spacing w:line="520" w:lineRule="exact"/>
        <w:ind w:firstLine="800" w:firstLineChars="250"/>
        <w:rPr>
          <w:rFonts w:ascii="仿宋" w:hAnsi="仿宋" w:eastAsia="仿宋" w:cs="Times New Roman"/>
          <w:color w:val="333333"/>
          <w:sz w:val="32"/>
          <w:szCs w:val="32"/>
        </w:rPr>
      </w:pPr>
      <w:r>
        <w:rPr>
          <w:rFonts w:hint="eastAsia" w:ascii="仿宋" w:hAnsi="仿宋" w:eastAsia="仿宋" w:cs="Times New Roman"/>
          <w:color w:val="333333"/>
          <w:sz w:val="32"/>
          <w:szCs w:val="32"/>
        </w:rPr>
        <w:t>2、</w:t>
      </w:r>
      <w:r>
        <w:rPr>
          <w:rFonts w:ascii="仿宋" w:hAnsi="仿宋" w:eastAsia="仿宋" w:cs="Times New Roman"/>
          <w:color w:val="333333"/>
          <w:sz w:val="32"/>
          <w:szCs w:val="32"/>
        </w:rPr>
        <w:t>强化预算执行，提高预算完成率。严格按项目和进度执行预算，合理安排资金支出，增强预算执行的规范性和</w:t>
      </w:r>
      <w:r>
        <w:rPr>
          <w:rFonts w:hint="eastAsia" w:ascii="仿宋" w:hAnsi="仿宋" w:eastAsia="仿宋" w:cs="Times New Roman"/>
          <w:color w:val="333333"/>
          <w:sz w:val="32"/>
          <w:szCs w:val="32"/>
        </w:rPr>
        <w:t>严肃性，股</w:t>
      </w:r>
      <w:r>
        <w:rPr>
          <w:rFonts w:ascii="仿宋" w:hAnsi="仿宋" w:eastAsia="仿宋" w:cs="Times New Roman"/>
          <w:color w:val="333333"/>
          <w:sz w:val="32"/>
          <w:szCs w:val="32"/>
        </w:rPr>
        <w:t>室为项目实施责任单位，应加强与财务部门的沟通协调和项目实施，定期做好预算执行分析，及时了解预算执行差异，合理</w:t>
      </w:r>
      <w:r>
        <w:rPr>
          <w:rFonts w:hint="eastAsia" w:ascii="仿宋" w:hAnsi="仿宋" w:eastAsia="仿宋" w:cs="Times New Roman"/>
          <w:color w:val="333333"/>
          <w:sz w:val="32"/>
          <w:szCs w:val="32"/>
        </w:rPr>
        <w:t>编制预算，</w:t>
      </w:r>
      <w:r>
        <w:rPr>
          <w:rFonts w:ascii="仿宋" w:hAnsi="仿宋" w:eastAsia="仿宋" w:cs="Times New Roman"/>
          <w:color w:val="333333"/>
          <w:sz w:val="32"/>
          <w:szCs w:val="32"/>
        </w:rPr>
        <w:t>加快预算的执行进度，减少存量资金，切实提高预算完成率及资金使用效益，</w:t>
      </w:r>
      <w:r>
        <w:rPr>
          <w:rFonts w:hint="eastAsia" w:ascii="仿宋" w:hAnsi="仿宋" w:eastAsia="仿宋" w:cs="Times New Roman"/>
          <w:color w:val="333333"/>
          <w:sz w:val="32"/>
          <w:szCs w:val="32"/>
        </w:rPr>
        <w:t>纠正预算执行偏差。</w:t>
      </w:r>
    </w:p>
    <w:p>
      <w:pPr>
        <w:snapToGrid w:val="0"/>
        <w:spacing w:line="520" w:lineRule="exact"/>
        <w:ind w:firstLine="800" w:firstLineChars="250"/>
        <w:rPr>
          <w:rFonts w:ascii="仿宋" w:hAnsi="仿宋" w:eastAsia="仿宋" w:cs="Times New Roman"/>
          <w:color w:val="333333"/>
          <w:sz w:val="32"/>
          <w:szCs w:val="32"/>
        </w:rPr>
      </w:pPr>
      <w:r>
        <w:rPr>
          <w:rFonts w:hint="eastAsia" w:ascii="仿宋" w:hAnsi="仿宋" w:eastAsia="仿宋" w:cs="Times New Roman"/>
          <w:color w:val="333333"/>
          <w:sz w:val="32"/>
          <w:szCs w:val="32"/>
        </w:rPr>
        <w:t>3、</w:t>
      </w:r>
      <w:r>
        <w:rPr>
          <w:rFonts w:ascii="仿宋" w:hAnsi="仿宋" w:eastAsia="仿宋" w:cs="Times New Roman"/>
          <w:color w:val="333333"/>
          <w:sz w:val="32"/>
          <w:szCs w:val="32"/>
        </w:rPr>
        <w:t>科学合理编制政府采购预算，强化政府采购预算执行，确保政府采购预算切合单位实际。</w:t>
      </w:r>
    </w:p>
    <w:p>
      <w:pPr>
        <w:snapToGrid w:val="0"/>
        <w:spacing w:line="520" w:lineRule="exact"/>
        <w:ind w:firstLine="640" w:firstLineChars="200"/>
        <w:rPr>
          <w:rFonts w:ascii="仿宋" w:hAnsi="仿宋" w:eastAsia="仿宋" w:cs="Times New Roman"/>
          <w:color w:val="333333"/>
          <w:sz w:val="32"/>
          <w:szCs w:val="32"/>
        </w:rPr>
      </w:pPr>
    </w:p>
    <w:p>
      <w:pPr>
        <w:snapToGrid w:val="0"/>
        <w:spacing w:line="520" w:lineRule="exact"/>
        <w:rPr>
          <w:rFonts w:ascii="仿宋" w:hAnsi="仿宋" w:eastAsia="仿宋" w:cs="Times New Roman"/>
          <w:color w:val="333333"/>
          <w:sz w:val="32"/>
          <w:szCs w:val="32"/>
        </w:rPr>
      </w:pPr>
    </w:p>
    <w:p>
      <w:pPr>
        <w:widowControl/>
        <w:spacing w:line="520" w:lineRule="exact"/>
        <w:ind w:firstLine="6720" w:firstLineChars="2100"/>
        <w:rPr>
          <w:rFonts w:ascii="仿宋" w:hAnsi="仿宋" w:eastAsia="仿宋" w:cs="Times New Roman"/>
          <w:color w:val="333333"/>
          <w:sz w:val="32"/>
          <w:szCs w:val="32"/>
        </w:rPr>
      </w:pPr>
    </w:p>
    <w:p>
      <w:pPr>
        <w:widowControl/>
        <w:spacing w:line="520" w:lineRule="exact"/>
        <w:ind w:firstLine="6720" w:firstLineChars="2100"/>
        <w:rPr>
          <w:rFonts w:ascii="仿宋" w:hAnsi="仿宋" w:eastAsia="仿宋" w:cs="Times New Roman"/>
          <w:color w:val="333333"/>
          <w:sz w:val="32"/>
          <w:szCs w:val="32"/>
        </w:rPr>
      </w:pPr>
    </w:p>
    <w:p>
      <w:pPr>
        <w:widowControl/>
        <w:spacing w:line="520" w:lineRule="exact"/>
        <w:ind w:firstLine="6720" w:firstLineChars="2100"/>
        <w:rPr>
          <w:rFonts w:ascii="仿宋" w:hAnsi="仿宋" w:eastAsia="仿宋" w:cs="Times New Roman"/>
          <w:color w:val="333333"/>
          <w:sz w:val="32"/>
          <w:szCs w:val="32"/>
        </w:rPr>
      </w:pPr>
    </w:p>
    <w:p>
      <w:pPr>
        <w:widowControl/>
        <w:spacing w:line="520" w:lineRule="exact"/>
        <w:ind w:firstLine="6720" w:firstLineChars="2100"/>
        <w:rPr>
          <w:rFonts w:ascii="仿宋" w:hAnsi="仿宋" w:eastAsia="仿宋" w:cs="Times New Roman"/>
          <w:color w:val="333333"/>
          <w:sz w:val="32"/>
          <w:szCs w:val="32"/>
        </w:rPr>
      </w:pPr>
    </w:p>
    <w:p>
      <w:pPr>
        <w:widowControl/>
        <w:spacing w:line="520" w:lineRule="exact"/>
        <w:ind w:firstLine="6720" w:firstLineChars="2100"/>
        <w:rPr>
          <w:rFonts w:ascii="仿宋" w:hAnsi="仿宋" w:eastAsia="仿宋" w:cs="Times New Roman"/>
          <w:color w:val="333333"/>
          <w:sz w:val="32"/>
          <w:szCs w:val="32"/>
        </w:rPr>
      </w:pPr>
    </w:p>
    <w:p>
      <w:pPr>
        <w:widowControl/>
        <w:spacing w:line="520" w:lineRule="exact"/>
        <w:ind w:firstLine="6720" w:firstLineChars="2100"/>
        <w:rPr>
          <w:rFonts w:ascii="仿宋" w:hAnsi="仿宋" w:eastAsia="仿宋" w:cs="Times New Roman"/>
          <w:color w:val="333333"/>
          <w:sz w:val="32"/>
          <w:szCs w:val="32"/>
        </w:rPr>
      </w:pPr>
    </w:p>
    <w:p>
      <w:pPr>
        <w:widowControl/>
        <w:spacing w:line="520" w:lineRule="exact"/>
        <w:ind w:firstLine="6720" w:firstLineChars="2100"/>
        <w:rPr>
          <w:rFonts w:ascii="仿宋" w:hAnsi="仿宋" w:eastAsia="仿宋" w:cs="Times New Roman"/>
          <w:color w:val="333333"/>
          <w:sz w:val="32"/>
          <w:szCs w:val="32"/>
        </w:rPr>
      </w:pPr>
    </w:p>
    <w:p>
      <w:pPr>
        <w:widowControl/>
        <w:spacing w:line="520" w:lineRule="exact"/>
        <w:ind w:firstLine="6720" w:firstLineChars="2100"/>
        <w:rPr>
          <w:rFonts w:ascii="仿宋" w:hAnsi="仿宋" w:eastAsia="仿宋" w:cs="Times New Roman"/>
          <w:color w:val="333333"/>
          <w:sz w:val="32"/>
          <w:szCs w:val="32"/>
        </w:rPr>
      </w:pPr>
      <w:r>
        <w:rPr>
          <w:rFonts w:hint="eastAsia" w:ascii="仿宋" w:hAnsi="仿宋" w:eastAsia="仿宋" w:cs="Times New Roman"/>
          <w:color w:val="333333"/>
          <w:sz w:val="32"/>
          <w:szCs w:val="32"/>
        </w:rPr>
        <w:t>湘潭县司法局</w:t>
      </w:r>
    </w:p>
    <w:p>
      <w:pPr>
        <w:widowControl/>
        <w:spacing w:line="520" w:lineRule="exact"/>
        <w:ind w:firstLine="6400" w:firstLineChars="2000"/>
        <w:rPr>
          <w:rFonts w:ascii="仿宋" w:hAnsi="仿宋" w:eastAsia="仿宋" w:cs="Times New Roman"/>
          <w:color w:val="333333"/>
          <w:sz w:val="32"/>
          <w:szCs w:val="32"/>
        </w:rPr>
      </w:pPr>
      <w:r>
        <w:rPr>
          <w:rFonts w:hint="eastAsia" w:ascii="仿宋" w:hAnsi="仿宋" w:eastAsia="仿宋" w:cs="Times New Roman"/>
          <w:color w:val="333333"/>
          <w:sz w:val="32"/>
          <w:szCs w:val="32"/>
        </w:rPr>
        <w:t>2022年08月02日</w:t>
      </w:r>
    </w:p>
    <w:p>
      <w:pPr>
        <w:ind w:firstLine="640" w:firstLineChars="200"/>
        <w:jc w:val="left"/>
        <w:rPr>
          <w:rFonts w:ascii="仿宋" w:hAnsi="仿宋" w:eastAsia="仿宋" w:cs="Times New Roman"/>
          <w:color w:val="333333"/>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E37379"/>
    <w:multiLevelType w:val="multilevel"/>
    <w:tmpl w:val="1CE37379"/>
    <w:lvl w:ilvl="0" w:tentative="0">
      <w:start w:val="1"/>
      <w:numFmt w:val="decimal"/>
      <w:lvlText w:val="%1、"/>
      <w:lvlJc w:val="left"/>
      <w:pPr>
        <w:ind w:left="1520" w:hanging="720"/>
      </w:pPr>
      <w:rPr>
        <w:rFonts w:hint="default"/>
      </w:rPr>
    </w:lvl>
    <w:lvl w:ilvl="1" w:tentative="0">
      <w:start w:val="1"/>
      <w:numFmt w:val="lowerLetter"/>
      <w:lvlText w:val="%2)"/>
      <w:lvlJc w:val="left"/>
      <w:pPr>
        <w:ind w:left="1640" w:hanging="420"/>
      </w:pPr>
    </w:lvl>
    <w:lvl w:ilvl="2" w:tentative="0">
      <w:start w:val="1"/>
      <w:numFmt w:val="lowerRoman"/>
      <w:lvlText w:val="%3."/>
      <w:lvlJc w:val="right"/>
      <w:pPr>
        <w:ind w:left="2060" w:hanging="420"/>
      </w:pPr>
    </w:lvl>
    <w:lvl w:ilvl="3" w:tentative="0">
      <w:start w:val="1"/>
      <w:numFmt w:val="decimal"/>
      <w:lvlText w:val="%4."/>
      <w:lvlJc w:val="left"/>
      <w:pPr>
        <w:ind w:left="2480" w:hanging="420"/>
      </w:pPr>
    </w:lvl>
    <w:lvl w:ilvl="4" w:tentative="0">
      <w:start w:val="1"/>
      <w:numFmt w:val="lowerLetter"/>
      <w:lvlText w:val="%5)"/>
      <w:lvlJc w:val="left"/>
      <w:pPr>
        <w:ind w:left="2900" w:hanging="420"/>
      </w:pPr>
    </w:lvl>
    <w:lvl w:ilvl="5" w:tentative="0">
      <w:start w:val="1"/>
      <w:numFmt w:val="lowerRoman"/>
      <w:lvlText w:val="%6."/>
      <w:lvlJc w:val="right"/>
      <w:pPr>
        <w:ind w:left="3320" w:hanging="420"/>
      </w:pPr>
    </w:lvl>
    <w:lvl w:ilvl="6" w:tentative="0">
      <w:start w:val="1"/>
      <w:numFmt w:val="decimal"/>
      <w:lvlText w:val="%7."/>
      <w:lvlJc w:val="left"/>
      <w:pPr>
        <w:ind w:left="3740" w:hanging="420"/>
      </w:pPr>
    </w:lvl>
    <w:lvl w:ilvl="7" w:tentative="0">
      <w:start w:val="1"/>
      <w:numFmt w:val="lowerLetter"/>
      <w:lvlText w:val="%8)"/>
      <w:lvlJc w:val="left"/>
      <w:pPr>
        <w:ind w:left="4160" w:hanging="420"/>
      </w:pPr>
    </w:lvl>
    <w:lvl w:ilvl="8" w:tentative="0">
      <w:start w:val="1"/>
      <w:numFmt w:val="lowerRoman"/>
      <w:lvlText w:val="%9."/>
      <w:lvlJc w:val="right"/>
      <w:pPr>
        <w:ind w:left="4580" w:hanging="420"/>
      </w:p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C4E5C22"/>
    <w:multiLevelType w:val="multilevel"/>
    <w:tmpl w:val="5C4E5C22"/>
    <w:lvl w:ilvl="0" w:tentative="0">
      <w:start w:val="3"/>
      <w:numFmt w:val="decimal"/>
      <w:lvlText w:val="%1、"/>
      <w:lvlJc w:val="left"/>
      <w:pPr>
        <w:ind w:left="1192" w:hanging="480"/>
      </w:pPr>
      <w:rPr>
        <w:rFonts w:hint="default"/>
      </w:rPr>
    </w:lvl>
    <w:lvl w:ilvl="1" w:tentative="0">
      <w:start w:val="1"/>
      <w:numFmt w:val="lowerLetter"/>
      <w:lvlText w:val="%2)"/>
      <w:lvlJc w:val="left"/>
      <w:pPr>
        <w:ind w:left="1552" w:hanging="420"/>
      </w:pPr>
    </w:lvl>
    <w:lvl w:ilvl="2" w:tentative="0">
      <w:start w:val="1"/>
      <w:numFmt w:val="lowerRoman"/>
      <w:lvlText w:val="%3."/>
      <w:lvlJc w:val="right"/>
      <w:pPr>
        <w:ind w:left="1972" w:hanging="420"/>
      </w:pPr>
    </w:lvl>
    <w:lvl w:ilvl="3" w:tentative="0">
      <w:start w:val="1"/>
      <w:numFmt w:val="decimal"/>
      <w:lvlText w:val="%4."/>
      <w:lvlJc w:val="left"/>
      <w:pPr>
        <w:ind w:left="2392" w:hanging="420"/>
      </w:pPr>
    </w:lvl>
    <w:lvl w:ilvl="4" w:tentative="0">
      <w:start w:val="1"/>
      <w:numFmt w:val="lowerLetter"/>
      <w:lvlText w:val="%5)"/>
      <w:lvlJc w:val="left"/>
      <w:pPr>
        <w:ind w:left="2812" w:hanging="420"/>
      </w:pPr>
    </w:lvl>
    <w:lvl w:ilvl="5" w:tentative="0">
      <w:start w:val="1"/>
      <w:numFmt w:val="lowerRoman"/>
      <w:lvlText w:val="%6."/>
      <w:lvlJc w:val="right"/>
      <w:pPr>
        <w:ind w:left="3232" w:hanging="420"/>
      </w:pPr>
    </w:lvl>
    <w:lvl w:ilvl="6" w:tentative="0">
      <w:start w:val="1"/>
      <w:numFmt w:val="decimal"/>
      <w:lvlText w:val="%7."/>
      <w:lvlJc w:val="left"/>
      <w:pPr>
        <w:ind w:left="3652" w:hanging="420"/>
      </w:pPr>
    </w:lvl>
    <w:lvl w:ilvl="7" w:tentative="0">
      <w:start w:val="1"/>
      <w:numFmt w:val="lowerLetter"/>
      <w:lvlText w:val="%8)"/>
      <w:lvlJc w:val="left"/>
      <w:pPr>
        <w:ind w:left="4072" w:hanging="420"/>
      </w:pPr>
    </w:lvl>
    <w:lvl w:ilvl="8" w:tentative="0">
      <w:start w:val="1"/>
      <w:numFmt w:val="lowerRoman"/>
      <w:lvlText w:val="%9."/>
      <w:lvlJc w:val="right"/>
      <w:pPr>
        <w:ind w:left="4492"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iZjBhZWVjNDRlNGEyNzkzZjJkOWQxM2UwZGJiYjcifQ=="/>
  </w:docVars>
  <w:rsids>
    <w:rsidRoot w:val="004506F9"/>
    <w:rsid w:val="00017997"/>
    <w:rsid w:val="0002229B"/>
    <w:rsid w:val="000273BD"/>
    <w:rsid w:val="000415B7"/>
    <w:rsid w:val="00041E3F"/>
    <w:rsid w:val="00055C53"/>
    <w:rsid w:val="00055DAA"/>
    <w:rsid w:val="00061F7B"/>
    <w:rsid w:val="000658A3"/>
    <w:rsid w:val="00074155"/>
    <w:rsid w:val="000821C9"/>
    <w:rsid w:val="00083858"/>
    <w:rsid w:val="000A3F69"/>
    <w:rsid w:val="000D537C"/>
    <w:rsid w:val="00103957"/>
    <w:rsid w:val="00137AE6"/>
    <w:rsid w:val="00152C6D"/>
    <w:rsid w:val="00162D39"/>
    <w:rsid w:val="001678BD"/>
    <w:rsid w:val="00171A92"/>
    <w:rsid w:val="00173BD0"/>
    <w:rsid w:val="00181A04"/>
    <w:rsid w:val="001A67DB"/>
    <w:rsid w:val="001C3C29"/>
    <w:rsid w:val="001C7AF3"/>
    <w:rsid w:val="001D51E5"/>
    <w:rsid w:val="001E080D"/>
    <w:rsid w:val="001E53D0"/>
    <w:rsid w:val="001F0C3B"/>
    <w:rsid w:val="00202C82"/>
    <w:rsid w:val="00207306"/>
    <w:rsid w:val="00214427"/>
    <w:rsid w:val="0022463D"/>
    <w:rsid w:val="00226CB7"/>
    <w:rsid w:val="00246F90"/>
    <w:rsid w:val="00264552"/>
    <w:rsid w:val="00264EF9"/>
    <w:rsid w:val="00265724"/>
    <w:rsid w:val="0027426B"/>
    <w:rsid w:val="002B46FB"/>
    <w:rsid w:val="002D34FF"/>
    <w:rsid w:val="002E0298"/>
    <w:rsid w:val="002E0A30"/>
    <w:rsid w:val="003130C4"/>
    <w:rsid w:val="00316C4B"/>
    <w:rsid w:val="0032192B"/>
    <w:rsid w:val="00344D2C"/>
    <w:rsid w:val="003479BD"/>
    <w:rsid w:val="0037197D"/>
    <w:rsid w:val="00371A73"/>
    <w:rsid w:val="003752C0"/>
    <w:rsid w:val="003768D5"/>
    <w:rsid w:val="003901E3"/>
    <w:rsid w:val="003B21D7"/>
    <w:rsid w:val="003B7B27"/>
    <w:rsid w:val="003C47E6"/>
    <w:rsid w:val="003C4FC2"/>
    <w:rsid w:val="003D3C90"/>
    <w:rsid w:val="00416E61"/>
    <w:rsid w:val="0042790C"/>
    <w:rsid w:val="004506F9"/>
    <w:rsid w:val="004717A2"/>
    <w:rsid w:val="00473DF3"/>
    <w:rsid w:val="00474381"/>
    <w:rsid w:val="00487911"/>
    <w:rsid w:val="00491741"/>
    <w:rsid w:val="004B0102"/>
    <w:rsid w:val="00500E5F"/>
    <w:rsid w:val="005122EF"/>
    <w:rsid w:val="0051441A"/>
    <w:rsid w:val="00517C33"/>
    <w:rsid w:val="00523644"/>
    <w:rsid w:val="0054069E"/>
    <w:rsid w:val="00544866"/>
    <w:rsid w:val="005767CC"/>
    <w:rsid w:val="0058565A"/>
    <w:rsid w:val="00590D9F"/>
    <w:rsid w:val="00595D26"/>
    <w:rsid w:val="005A74E6"/>
    <w:rsid w:val="005B404E"/>
    <w:rsid w:val="005D4D55"/>
    <w:rsid w:val="005E2CFB"/>
    <w:rsid w:val="005F3D1C"/>
    <w:rsid w:val="0062378F"/>
    <w:rsid w:val="00641842"/>
    <w:rsid w:val="00651EEC"/>
    <w:rsid w:val="006720A2"/>
    <w:rsid w:val="00680629"/>
    <w:rsid w:val="00691E8C"/>
    <w:rsid w:val="006A22C4"/>
    <w:rsid w:val="006A351B"/>
    <w:rsid w:val="006B0422"/>
    <w:rsid w:val="006B6941"/>
    <w:rsid w:val="006C1B53"/>
    <w:rsid w:val="006D42DD"/>
    <w:rsid w:val="006D7730"/>
    <w:rsid w:val="006E5284"/>
    <w:rsid w:val="006F3EB5"/>
    <w:rsid w:val="00702E34"/>
    <w:rsid w:val="00704395"/>
    <w:rsid w:val="00705BF1"/>
    <w:rsid w:val="00717621"/>
    <w:rsid w:val="00720FF1"/>
    <w:rsid w:val="00727A53"/>
    <w:rsid w:val="00787B42"/>
    <w:rsid w:val="007C2DDD"/>
    <w:rsid w:val="007C4539"/>
    <w:rsid w:val="007F3657"/>
    <w:rsid w:val="007F70CB"/>
    <w:rsid w:val="00812ED5"/>
    <w:rsid w:val="0081325F"/>
    <w:rsid w:val="008219FA"/>
    <w:rsid w:val="008277D9"/>
    <w:rsid w:val="00830A59"/>
    <w:rsid w:val="0084478C"/>
    <w:rsid w:val="008506B2"/>
    <w:rsid w:val="0086638C"/>
    <w:rsid w:val="008A0DBE"/>
    <w:rsid w:val="008A3E8D"/>
    <w:rsid w:val="008E2B03"/>
    <w:rsid w:val="009237C4"/>
    <w:rsid w:val="00944C48"/>
    <w:rsid w:val="00950252"/>
    <w:rsid w:val="00965F1E"/>
    <w:rsid w:val="00967F5D"/>
    <w:rsid w:val="009A0F95"/>
    <w:rsid w:val="009B3ADF"/>
    <w:rsid w:val="009C3B52"/>
    <w:rsid w:val="009E6817"/>
    <w:rsid w:val="009E6E9A"/>
    <w:rsid w:val="00A01D2B"/>
    <w:rsid w:val="00A42218"/>
    <w:rsid w:val="00A426E4"/>
    <w:rsid w:val="00A70249"/>
    <w:rsid w:val="00A70B02"/>
    <w:rsid w:val="00A715A2"/>
    <w:rsid w:val="00A71D9F"/>
    <w:rsid w:val="00A77E8C"/>
    <w:rsid w:val="00A92E9F"/>
    <w:rsid w:val="00AB451C"/>
    <w:rsid w:val="00B174E4"/>
    <w:rsid w:val="00B33018"/>
    <w:rsid w:val="00B33BEA"/>
    <w:rsid w:val="00B45C1B"/>
    <w:rsid w:val="00B53FF9"/>
    <w:rsid w:val="00B57C9F"/>
    <w:rsid w:val="00B63572"/>
    <w:rsid w:val="00B707B7"/>
    <w:rsid w:val="00B71198"/>
    <w:rsid w:val="00B845B3"/>
    <w:rsid w:val="00B85D8B"/>
    <w:rsid w:val="00BA269C"/>
    <w:rsid w:val="00BB4A40"/>
    <w:rsid w:val="00BC03A2"/>
    <w:rsid w:val="00BD6C3E"/>
    <w:rsid w:val="00BE3674"/>
    <w:rsid w:val="00C10681"/>
    <w:rsid w:val="00C3049A"/>
    <w:rsid w:val="00C31B1E"/>
    <w:rsid w:val="00C47490"/>
    <w:rsid w:val="00C5084A"/>
    <w:rsid w:val="00C543D1"/>
    <w:rsid w:val="00C77645"/>
    <w:rsid w:val="00CE04C3"/>
    <w:rsid w:val="00CE76A0"/>
    <w:rsid w:val="00CE7DF8"/>
    <w:rsid w:val="00D06D46"/>
    <w:rsid w:val="00D148C6"/>
    <w:rsid w:val="00D16C91"/>
    <w:rsid w:val="00D17A8A"/>
    <w:rsid w:val="00D415BA"/>
    <w:rsid w:val="00D644EE"/>
    <w:rsid w:val="00DC0CF3"/>
    <w:rsid w:val="00DD06FF"/>
    <w:rsid w:val="00DD5FE9"/>
    <w:rsid w:val="00DF3456"/>
    <w:rsid w:val="00E00C7A"/>
    <w:rsid w:val="00E230DA"/>
    <w:rsid w:val="00E37D6C"/>
    <w:rsid w:val="00E55B68"/>
    <w:rsid w:val="00E67BE6"/>
    <w:rsid w:val="00E73EE2"/>
    <w:rsid w:val="00E8683C"/>
    <w:rsid w:val="00E97B85"/>
    <w:rsid w:val="00EA2B72"/>
    <w:rsid w:val="00EC46DB"/>
    <w:rsid w:val="00F13729"/>
    <w:rsid w:val="00F32D8B"/>
    <w:rsid w:val="00F74360"/>
    <w:rsid w:val="00FB462F"/>
    <w:rsid w:val="00FC686A"/>
    <w:rsid w:val="00FD0F92"/>
    <w:rsid w:val="00FE16FA"/>
    <w:rsid w:val="00FE328A"/>
    <w:rsid w:val="00FE6269"/>
    <w:rsid w:val="0127533C"/>
    <w:rsid w:val="02851187"/>
    <w:rsid w:val="02FA2BCD"/>
    <w:rsid w:val="03244A5A"/>
    <w:rsid w:val="03D57CF9"/>
    <w:rsid w:val="03E41A3C"/>
    <w:rsid w:val="04FE700A"/>
    <w:rsid w:val="05483AD3"/>
    <w:rsid w:val="0751016F"/>
    <w:rsid w:val="07D90FED"/>
    <w:rsid w:val="0CDC2947"/>
    <w:rsid w:val="0D044989"/>
    <w:rsid w:val="0E5C7457"/>
    <w:rsid w:val="0EB126E9"/>
    <w:rsid w:val="0F8C6CB2"/>
    <w:rsid w:val="123E24E6"/>
    <w:rsid w:val="12AA23A4"/>
    <w:rsid w:val="1977008B"/>
    <w:rsid w:val="1ABC0A0C"/>
    <w:rsid w:val="1ACD4355"/>
    <w:rsid w:val="1C3F7586"/>
    <w:rsid w:val="1F99651E"/>
    <w:rsid w:val="22BD0187"/>
    <w:rsid w:val="25AD1665"/>
    <w:rsid w:val="26136472"/>
    <w:rsid w:val="27DA1D77"/>
    <w:rsid w:val="286538C2"/>
    <w:rsid w:val="29253660"/>
    <w:rsid w:val="2B955C99"/>
    <w:rsid w:val="2C4F370C"/>
    <w:rsid w:val="2D5130F0"/>
    <w:rsid w:val="2D5F37E7"/>
    <w:rsid w:val="2D722D3B"/>
    <w:rsid w:val="2EC41B6D"/>
    <w:rsid w:val="32546E92"/>
    <w:rsid w:val="32C852C0"/>
    <w:rsid w:val="357A11D7"/>
    <w:rsid w:val="36440D0A"/>
    <w:rsid w:val="366B7E2E"/>
    <w:rsid w:val="369667C4"/>
    <w:rsid w:val="3862667F"/>
    <w:rsid w:val="38EC419A"/>
    <w:rsid w:val="3A811168"/>
    <w:rsid w:val="3DA16634"/>
    <w:rsid w:val="426E3E72"/>
    <w:rsid w:val="43DD4E0B"/>
    <w:rsid w:val="44053316"/>
    <w:rsid w:val="45F613A9"/>
    <w:rsid w:val="47D74267"/>
    <w:rsid w:val="48240657"/>
    <w:rsid w:val="49232622"/>
    <w:rsid w:val="4A365275"/>
    <w:rsid w:val="4A3B0ADD"/>
    <w:rsid w:val="4B893EA4"/>
    <w:rsid w:val="4BC76FBB"/>
    <w:rsid w:val="4C673E0C"/>
    <w:rsid w:val="4FB76E58"/>
    <w:rsid w:val="517D0581"/>
    <w:rsid w:val="5349426B"/>
    <w:rsid w:val="556829A3"/>
    <w:rsid w:val="56E84E40"/>
    <w:rsid w:val="58377467"/>
    <w:rsid w:val="58A8095E"/>
    <w:rsid w:val="59260BAB"/>
    <w:rsid w:val="59C95934"/>
    <w:rsid w:val="59E52814"/>
    <w:rsid w:val="5AEB0ABF"/>
    <w:rsid w:val="5FC01D30"/>
    <w:rsid w:val="60762418"/>
    <w:rsid w:val="62146170"/>
    <w:rsid w:val="640E0518"/>
    <w:rsid w:val="64B615F5"/>
    <w:rsid w:val="660D737A"/>
    <w:rsid w:val="66E225B5"/>
    <w:rsid w:val="695D23C7"/>
    <w:rsid w:val="6AAD6A36"/>
    <w:rsid w:val="6EA840E4"/>
    <w:rsid w:val="6EBF142E"/>
    <w:rsid w:val="71533A9C"/>
    <w:rsid w:val="71A30B17"/>
    <w:rsid w:val="73E159A2"/>
    <w:rsid w:val="74F1388F"/>
    <w:rsid w:val="75D4756D"/>
    <w:rsid w:val="7CCF4F32"/>
    <w:rsid w:val="7EBB576E"/>
    <w:rsid w:val="7F48697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985C07-D900-4C59-8EEA-0BDD456C9B9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31</Pages>
  <Words>12162</Words>
  <Characters>14193</Characters>
  <Lines>119</Lines>
  <Paragraphs>33</Paragraphs>
  <TotalTime>477</TotalTime>
  <ScaleCrop>false</ScaleCrop>
  <LinksUpToDate>false</LinksUpToDate>
  <CharactersWithSpaces>15215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2021-08-01T06:22:00Z</dcterms:created>
  <dc:creator>李航 null</dc:creator>
  <cp:lastModifiedBy>Administrator</cp:lastModifiedBy>
  <cp:lastPrinted>2021-07-28T00:12:00Z</cp:lastPrinted>
  <dcterms:modified xsi:type="dcterms:W3CDTF">2023-10-26T02:35:06Z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F902C36018604C03925D89C1F21AD821_13</vt:lpwstr>
  </property>
</Properties>
</file>