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茶恩寺镇人民政府</w:t>
      </w:r>
      <w:r>
        <w:rPr>
          <w:rFonts w:hint="eastAsia" w:ascii="方正小标宋简体" w:hAnsi="方正小标宋简体" w:eastAsia="方正小标宋简体" w:cs="方正小标宋简体"/>
          <w:b w:val="0"/>
          <w:bCs/>
          <w:sz w:val="36"/>
          <w:szCs w:val="36"/>
          <w:lang w:val="en-US" w:eastAsia="zh-CN"/>
        </w:rPr>
        <w:t>2020年度</w:t>
      </w:r>
      <w:r>
        <w:rPr>
          <w:rFonts w:hint="eastAsia" w:ascii="方正小标宋简体" w:hAnsi="方正小标宋简体" w:eastAsia="方正小标宋简体" w:cs="方正小标宋简体"/>
          <w:b w:val="0"/>
          <w:bCs/>
          <w:sz w:val="36"/>
          <w:szCs w:val="36"/>
        </w:rPr>
        <w:t>部门整体支出绩效评价报告</w:t>
      </w:r>
    </w:p>
    <w:tbl>
      <w:tblPr>
        <w:tblStyle w:val="6"/>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965"/>
        <w:gridCol w:w="5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509"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6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565" w:type="dxa"/>
            <w:vAlign w:val="center"/>
          </w:tcPr>
          <w:p>
            <w:pPr>
              <w:pStyle w:val="5"/>
              <w:shd w:val="clear" w:color="auto" w:fill="FFFFFF"/>
              <w:spacing w:before="0" w:beforeAutospacing="0" w:after="0" w:afterAutospacing="0" w:line="400" w:lineRule="exact"/>
              <w:jc w:val="center"/>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茶恩寺镇人民政府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509" w:type="dxa"/>
            <w:vMerge w:val="continue"/>
          </w:tcPr>
          <w:p>
            <w:pPr>
              <w:spacing w:line="576" w:lineRule="exact"/>
              <w:jc w:val="center"/>
              <w:rPr>
                <w:rFonts w:ascii="仿宋_GB2312" w:hAnsi="宋体" w:eastAsia="仿宋_GB2312" w:cs="宋体"/>
                <w:szCs w:val="21"/>
              </w:rPr>
            </w:pPr>
          </w:p>
        </w:tc>
        <w:tc>
          <w:tcPr>
            <w:tcW w:w="196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565" w:type="dxa"/>
            <w:vAlign w:val="center"/>
          </w:tcPr>
          <w:p>
            <w:pPr>
              <w:pStyle w:val="5"/>
              <w:shd w:val="clear" w:color="auto" w:fill="FFFFFF"/>
              <w:spacing w:before="0" w:beforeAutospacing="0" w:after="0" w:afterAutospacing="0" w:line="400" w:lineRule="exact"/>
              <w:jc w:val="center"/>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3839.61万元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509" w:type="dxa"/>
            <w:vMerge w:val="continue"/>
          </w:tcPr>
          <w:p>
            <w:pPr>
              <w:spacing w:line="576" w:lineRule="exact"/>
              <w:jc w:val="center"/>
              <w:rPr>
                <w:rFonts w:ascii="仿宋_GB2312" w:hAnsi="宋体" w:eastAsia="仿宋_GB2312" w:cs="宋体"/>
                <w:szCs w:val="21"/>
              </w:rPr>
            </w:pPr>
          </w:p>
        </w:tc>
        <w:tc>
          <w:tcPr>
            <w:tcW w:w="196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565" w:type="dxa"/>
            <w:vAlign w:val="center"/>
          </w:tcPr>
          <w:p>
            <w:pPr>
              <w:pStyle w:val="5"/>
              <w:shd w:val="clear" w:color="auto" w:fill="FFFFFF"/>
              <w:spacing w:before="0" w:beforeAutospacing="0" w:after="0" w:afterAutospacing="0" w:line="400" w:lineRule="exact"/>
              <w:jc w:val="center"/>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509" w:type="dxa"/>
            <w:vMerge w:val="continue"/>
          </w:tcPr>
          <w:p>
            <w:pPr>
              <w:spacing w:line="576" w:lineRule="exact"/>
              <w:jc w:val="center"/>
              <w:rPr>
                <w:rFonts w:ascii="仿宋_GB2312" w:hAnsi="宋体" w:eastAsia="仿宋_GB2312" w:cs="宋体"/>
                <w:szCs w:val="21"/>
              </w:rPr>
            </w:pPr>
          </w:p>
        </w:tc>
        <w:tc>
          <w:tcPr>
            <w:tcW w:w="196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565" w:type="dxa"/>
            <w:vAlign w:val="center"/>
          </w:tcPr>
          <w:p>
            <w:pPr>
              <w:spacing w:line="360" w:lineRule="exact"/>
              <w:ind w:firstLine="422" w:firstLineChars="200"/>
              <w:rPr>
                <w:rFonts w:ascii="仿宋_GB2312" w:hAnsi="宋体" w:eastAsia="仿宋_GB2312" w:cs="宋体"/>
                <w:bCs/>
                <w:sz w:val="21"/>
                <w:szCs w:val="21"/>
              </w:rPr>
            </w:pPr>
            <w:r>
              <w:rPr>
                <w:rFonts w:hint="eastAsia" w:ascii="仿宋_GB2312" w:hAnsi="宋体" w:eastAsia="仿宋_GB2312" w:cs="宋体"/>
                <w:b/>
                <w:sz w:val="21"/>
                <w:szCs w:val="21"/>
              </w:rPr>
              <w:t>1、社会管理职能。</w:t>
            </w:r>
            <w:r>
              <w:rPr>
                <w:rFonts w:hint="eastAsia" w:ascii="仿宋_GB2312" w:hAnsi="宋体" w:eastAsia="仿宋_GB2312" w:cs="宋体"/>
                <w:bCs/>
                <w:sz w:val="21"/>
                <w:szCs w:val="21"/>
              </w:rPr>
              <w:t>（1）贯彻执行上级的各项方针政策，执行本级人民代表大会的各项决议，保障公民享有宪法规定的经济、政治和文化权利；（2）加强综合治理，维护社会稳定，妥善处理突发性、群体性事件，调节和处理好各种利益矛盾和纠分；（3）根据乡村社会的需要，组织制定和推动落实经农民认可的乡规民约，构建和谐的乡村社会等。</w:t>
            </w:r>
          </w:p>
          <w:p>
            <w:pPr>
              <w:spacing w:line="360" w:lineRule="exact"/>
              <w:ind w:firstLine="422" w:firstLineChars="200"/>
              <w:rPr>
                <w:rFonts w:ascii="仿宋_GB2312" w:hAnsi="宋体" w:eastAsia="仿宋_GB2312" w:cs="宋体"/>
                <w:bCs/>
                <w:sz w:val="21"/>
                <w:szCs w:val="21"/>
              </w:rPr>
            </w:pPr>
            <w:r>
              <w:rPr>
                <w:rFonts w:hint="eastAsia" w:ascii="仿宋_GB2312" w:hAnsi="宋体" w:eastAsia="仿宋_GB2312" w:cs="宋体"/>
                <w:b/>
                <w:sz w:val="21"/>
                <w:szCs w:val="21"/>
              </w:rPr>
              <w:t>2.发展经济职能。</w:t>
            </w:r>
            <w:r>
              <w:rPr>
                <w:rFonts w:hint="eastAsia" w:ascii="仿宋_GB2312" w:hAnsi="宋体" w:eastAsia="仿宋_GB2312" w:cs="宋体"/>
                <w:bCs/>
                <w:sz w:val="21"/>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pPr>
              <w:spacing w:line="360" w:lineRule="exact"/>
              <w:ind w:firstLine="422" w:firstLineChars="200"/>
              <w:rPr>
                <w:rFonts w:ascii="仿宋_GB2312" w:hAnsi="宋体" w:eastAsia="仿宋_GB2312" w:cs="宋体"/>
                <w:bCs/>
                <w:sz w:val="21"/>
                <w:szCs w:val="21"/>
              </w:rPr>
            </w:pPr>
            <w:r>
              <w:rPr>
                <w:rFonts w:hint="eastAsia" w:ascii="仿宋_GB2312" w:hAnsi="宋体" w:eastAsia="仿宋_GB2312" w:cs="宋体"/>
                <w:b/>
                <w:sz w:val="21"/>
                <w:szCs w:val="21"/>
              </w:rPr>
              <w:t>3.公共服务职能。</w:t>
            </w:r>
            <w:r>
              <w:rPr>
                <w:rFonts w:hint="eastAsia" w:ascii="仿宋_GB2312" w:hAnsi="宋体" w:eastAsia="仿宋_GB2312" w:cs="宋体"/>
                <w:bCs/>
                <w:sz w:val="21"/>
                <w:szCs w:val="21"/>
              </w:rPr>
              <w:t>普及义务教育，计划生育，积极发展农村卫生事业，繁荣农村文化，建立农村社会保障制度，加强社会公德建设，加强农民思想道德教育，倡导健康文明新风尚等，组织好农村公共产品的供应。</w:t>
            </w:r>
          </w:p>
          <w:p>
            <w:pPr>
              <w:pStyle w:val="5"/>
              <w:shd w:val="clear" w:color="auto" w:fill="FFFFFF"/>
              <w:spacing w:before="0" w:beforeAutospacing="0" w:after="0" w:afterAutospacing="0" w:line="400" w:lineRule="exact"/>
              <w:ind w:firstLine="422" w:firstLineChars="200"/>
              <w:jc w:val="both"/>
              <w:rPr>
                <w:rFonts w:eastAsia="方正仿宋_GBK"/>
                <w:sz w:val="21"/>
                <w:szCs w:val="21"/>
              </w:rPr>
            </w:pPr>
            <w:r>
              <w:rPr>
                <w:rFonts w:hint="eastAsia" w:ascii="仿宋_GB2312" w:eastAsia="仿宋_GB2312"/>
                <w:b/>
                <w:sz w:val="21"/>
                <w:szCs w:val="21"/>
              </w:rPr>
              <w:t>4.基层建设职能。</w:t>
            </w:r>
            <w:r>
              <w:rPr>
                <w:rFonts w:hint="eastAsia" w:ascii="仿宋_GB2312" w:eastAsia="仿宋_GB2312"/>
                <w:bCs/>
                <w:sz w:val="21"/>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的渠道，建立民主决策、科学决策的程序和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1509"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6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565" w:type="dxa"/>
            <w:vAlign w:val="center"/>
          </w:tcPr>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1、收入情况</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2020年初县财政批复茶恩寺镇预算总收入为3839.61万元，其中基本支出2979.61万元，项目支出860万元。全年实际到位预算收入2013.64万元；上级补助收入43万元；其他专户管理的非税收入1782.97万元。</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2、支出情况</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2020年决算总支出3839.61万元，其中工资福利支出1161.64万元、商品和服务支出224万元、对个人和家庭的补助339万元、资本性支出 0万元，转移支付支出1194.97万元。上述决算支出中基本支出2979.61万元，项目支出860万元。当年无结余。</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3、“三公经费”支出情况</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2020年 “三公”经费支出15元。其中公务接待费10元，公务用车运行费用5元，无因公出国（境）费。</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4、项目支出情况</w:t>
            </w:r>
          </w:p>
          <w:p>
            <w:pPr>
              <w:pStyle w:val="5"/>
              <w:shd w:val="clear" w:color="auto" w:fill="FFFFFF"/>
              <w:spacing w:before="0" w:beforeAutospacing="0" w:after="0" w:afterAutospacing="0" w:line="400" w:lineRule="exact"/>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2020年度项目支出860万元。</w:t>
            </w:r>
          </w:p>
          <w:p>
            <w:pPr>
              <w:pStyle w:val="5"/>
              <w:shd w:val="clear" w:color="auto" w:fill="FFFFFF"/>
              <w:spacing w:before="0" w:beforeAutospacing="0" w:after="0" w:afterAutospacing="0" w:line="400" w:lineRule="exact"/>
              <w:ind w:firstLine="420" w:firstLineChars="200"/>
              <w:jc w:val="both"/>
              <w:rPr>
                <w:rFonts w:eastAsia="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09" w:type="dxa"/>
            <w:vMerge w:val="continue"/>
          </w:tcPr>
          <w:p>
            <w:pPr>
              <w:autoSpaceDE w:val="0"/>
              <w:spacing w:line="560" w:lineRule="exact"/>
              <w:ind w:firstLine="420" w:firstLineChars="200"/>
              <w:rPr>
                <w:rFonts w:ascii="宋体" w:hAnsi="宋体" w:eastAsia="方正仿宋_GBK" w:cs="宋体"/>
                <w:kern w:val="0"/>
                <w:szCs w:val="21"/>
              </w:rPr>
            </w:pPr>
          </w:p>
        </w:tc>
        <w:tc>
          <w:tcPr>
            <w:tcW w:w="1965" w:type="dxa"/>
            <w:vAlign w:val="center"/>
          </w:tcPr>
          <w:p>
            <w:pPr>
              <w:autoSpaceDE w:val="0"/>
              <w:spacing w:line="560" w:lineRule="exact"/>
              <w:jc w:val="both"/>
              <w:rPr>
                <w:rFonts w:ascii="宋体" w:hAnsi="宋体" w:eastAsia="方正仿宋_GBK" w:cs="宋体"/>
                <w:kern w:val="0"/>
                <w:szCs w:val="21"/>
              </w:rPr>
            </w:pPr>
            <w:r>
              <w:rPr>
                <w:rFonts w:hint="eastAsia" w:ascii="仿宋_GB2312" w:hAnsi="仿宋_GB2312" w:eastAsia="仿宋_GB2312" w:cs="仿宋_GB2312"/>
                <w:kern w:val="0"/>
                <w:szCs w:val="21"/>
              </w:rPr>
              <w:t>绩效目标完成情况</w:t>
            </w:r>
          </w:p>
        </w:tc>
        <w:tc>
          <w:tcPr>
            <w:tcW w:w="5565" w:type="dxa"/>
            <w:vAlign w:val="center"/>
          </w:tcPr>
          <w:p>
            <w:pPr>
              <w:pStyle w:val="5"/>
              <w:keepNext w:val="0"/>
              <w:keepLines w:val="0"/>
              <w:pageBreakBefore w:val="0"/>
              <w:shd w:val="clear" w:color="auto" w:fill="FFFFFF"/>
              <w:kinsoku/>
              <w:wordWrap/>
              <w:overflowPunct/>
              <w:topLinePunct w:val="0"/>
              <w:autoSpaceDN/>
              <w:bidi w:val="0"/>
              <w:spacing w:before="0" w:beforeAutospacing="0" w:after="0" w:afterAutospacing="0" w:line="300" w:lineRule="exact"/>
              <w:ind w:firstLine="42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全年完成企业总产值3.7亿元，其中规模企业完成工业总产值3166万元，税收完成411万元。财政收入完成3915万元。</w:t>
            </w:r>
          </w:p>
          <w:p>
            <w:pPr>
              <w:pStyle w:val="5"/>
              <w:keepNext w:val="0"/>
              <w:keepLines w:val="0"/>
              <w:pageBreakBefore w:val="0"/>
              <w:shd w:val="clear" w:color="auto" w:fill="FFFFFF"/>
              <w:kinsoku/>
              <w:wordWrap/>
              <w:overflowPunct/>
              <w:topLinePunct w:val="0"/>
              <w:autoSpaceDN/>
              <w:bidi w:val="0"/>
              <w:spacing w:before="0" w:beforeAutospacing="0" w:after="0" w:afterAutospacing="0" w:line="300" w:lineRule="exact"/>
              <w:ind w:firstLine="42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1、坚持创新发展，经济实力全面提升。</w:t>
            </w:r>
          </w:p>
          <w:p>
            <w:pPr>
              <w:pStyle w:val="5"/>
              <w:keepNext w:val="0"/>
              <w:keepLines w:val="0"/>
              <w:pageBreakBefore w:val="0"/>
              <w:shd w:val="clear" w:color="auto" w:fill="FFFFFF"/>
              <w:kinsoku/>
              <w:wordWrap/>
              <w:overflowPunct/>
              <w:topLinePunct w:val="0"/>
              <w:autoSpaceDN/>
              <w:bidi w:val="0"/>
              <w:spacing w:before="0" w:beforeAutospacing="0" w:after="0" w:afterAutospacing="0" w:line="300" w:lineRule="exact"/>
              <w:ind w:firstLine="42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1.1今年，全镇企业克服疫情影响，经济指标稳中有升，积极加快生产步伐。培育新增湘潭瑞炭业和湘潭恩竹生物科技两家规模企业，年内培育省级林业龙头企业1家、限上规模企业1家。</w:t>
            </w:r>
          </w:p>
          <w:p>
            <w:pPr>
              <w:pStyle w:val="5"/>
              <w:keepNext w:val="0"/>
              <w:keepLines w:val="0"/>
              <w:pageBreakBefore w:val="0"/>
              <w:shd w:val="clear" w:color="auto" w:fill="FFFFFF"/>
              <w:kinsoku/>
              <w:wordWrap/>
              <w:overflowPunct/>
              <w:topLinePunct w:val="0"/>
              <w:autoSpaceDN/>
              <w:bidi w:val="0"/>
              <w:spacing w:before="0" w:beforeAutospacing="0" w:after="0" w:afterAutospacing="0" w:line="300" w:lineRule="exact"/>
              <w:ind w:firstLine="420" w:firstLineChars="200"/>
              <w:jc w:val="both"/>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1.2抓重点破难点，项目建设稳步推进。一丰粮油、湘宝竹业、瑞薪炭业等6个固定投资项目，计划投资16300万元，已完成投资8824万元。湘宝竹业、一丰粮油、佳富液化三个项目正在如火如荼的建设</w:t>
            </w:r>
            <w:r>
              <w:rPr>
                <w:rFonts w:hint="eastAsia" w:ascii="仿宋_GB2312" w:hAnsi="仿宋_GB2312" w:eastAsia="仿宋_GB2312" w:cs="仿宋_GB2312"/>
                <w:bCs/>
                <w:kern w:val="0"/>
                <w:sz w:val="21"/>
                <w:szCs w:val="21"/>
              </w:rPr>
              <w:t>中。天平电35KV重点项目顺利完工通电，江西至雅中800KV特高压重点项目已全部完工，架线工作五省13市率先完成任务。</w:t>
            </w:r>
          </w:p>
          <w:p>
            <w:pPr>
              <w:keepNext w:val="0"/>
              <w:keepLines w:val="0"/>
              <w:pageBreakBefore w:val="0"/>
              <w:kinsoku/>
              <w:wordWrap/>
              <w:overflowPunct/>
              <w:topLinePunct w:val="0"/>
              <w:autoSpaceDN/>
              <w:bidi w:val="0"/>
              <w:spacing w:line="300" w:lineRule="exact"/>
              <w:ind w:firstLine="411" w:firstLineChars="196"/>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val="0"/>
                <w:bCs w:val="0"/>
                <w:kern w:val="0"/>
                <w:sz w:val="21"/>
                <w:szCs w:val="21"/>
              </w:rPr>
              <w:t>1.3.抓</w:t>
            </w:r>
            <w:r>
              <w:rPr>
                <w:rFonts w:hint="eastAsia" w:ascii="仿宋_GB2312" w:hAnsi="仿宋_GB2312" w:eastAsia="仿宋_GB2312" w:cs="仿宋_GB2312"/>
                <w:bCs/>
                <w:kern w:val="0"/>
                <w:sz w:val="21"/>
                <w:szCs w:val="21"/>
              </w:rPr>
              <w:t>建设创亮点，现代农业推深做实。投入资金420万元在青坪、桥市、茶花3个村实施了高标准农田建设。投入资金1200万元在茶花村完成1600亩农田生态修复。投入资金3000多万元对晓花、樊田等6个村的农网进行改造。扎实开展防汛抗旱工作，投入资金500多万元对向阳渠部分堤段进行水损水毁修复和加高培厚，对向阳渠出水闸的启闭设备和湘衡堤排积机埠进行维修，对14口骨干山塘进行了硬化修缮。积极优化结构调整，56个结构调整点位完成调整面积7592亩，今年新增调整面积490亩。狠抓粮食、生猪生产工作，打造青坪村千亩粮食生产示范区，严禁镉超标大米流入口粮市场，加大养猪大户的跟踪服务，确保全年粮食、生猪生产任务按质按量圆满完成。全镇农机总拥有量和动力拥有量达到1220台套，9.7万千瓦，继续保持全县一类农机大镇水平。</w:t>
            </w:r>
          </w:p>
          <w:p>
            <w:pPr>
              <w:pStyle w:val="5"/>
              <w:keepNext w:val="0"/>
              <w:keepLines w:val="0"/>
              <w:pageBreakBefore w:val="0"/>
              <w:widowControl w:val="0"/>
              <w:shd w:val="clear" w:color="auto" w:fill="FFFFFF"/>
              <w:kinsoku/>
              <w:wordWrap/>
              <w:overflowPunct/>
              <w:topLinePunct w:val="0"/>
              <w:autoSpaceDN/>
              <w:bidi w:val="0"/>
              <w:spacing w:before="0" w:beforeAutospacing="0" w:after="0" w:afterAutospacing="0" w:line="300" w:lineRule="exact"/>
              <w:ind w:firstLine="639"/>
              <w:jc w:val="both"/>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2、坚持协调发展，优化人居环境。</w:t>
            </w:r>
          </w:p>
          <w:p>
            <w:pPr>
              <w:keepNext w:val="0"/>
              <w:keepLines w:val="0"/>
              <w:pageBreakBefore w:val="0"/>
              <w:kinsoku/>
              <w:wordWrap/>
              <w:overflowPunct/>
              <w:topLinePunct w:val="0"/>
              <w:autoSpaceDN/>
              <w:bidi w:val="0"/>
              <w:adjustRightInd w:val="0"/>
              <w:snapToGrid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未雨绸缪防范重大风险，构建和谐茶恩。加强重大风险防范，建立健全重点项目、重要决策、重大事件风险研判制度，聘请法律顾问，加强集体经济、土地确权颁证、林权改革等改革过程中的风险研判、预警和处置，提高重大风险防范化解能力，认真落实债务风险防控责任，切实加强政府性债务管理，按规定要求完成了存量债务化解任务，积极开展防范和处置非法集资及省级金融安全区创建活动，辖区内没有发生非法集资案件和集访非访事件。加强对重点领域、重点行业的安全大排查、大清理、大整改。严格落实《湘潭县2020年农村“空心房”整治工作方案》要求，拆除空心房7处共1212平方米。扎实推进农村厕所改革工作，圆满完成2019年856个无害化厕所管护整改和100个新建工作任务。对镇区农贸市场“白改黑”全面提质改造，确保做到“有路无市，有市无路”，划定功能分区，优化管理。深化国省道环境“三治三化”和交通顽疾问题整治，组建志愿者队伍，投入30余万元安装抓拍监控视频、交通警示牌和购置水马等设施设备。</w:t>
            </w:r>
          </w:p>
          <w:p>
            <w:pPr>
              <w:pStyle w:val="5"/>
              <w:keepNext w:val="0"/>
              <w:keepLines w:val="0"/>
              <w:pageBreakBefore w:val="0"/>
              <w:widowControl w:val="0"/>
              <w:shd w:val="clear" w:color="auto" w:fill="FFFFFF"/>
              <w:kinsoku/>
              <w:wordWrap/>
              <w:overflowPunct/>
              <w:topLinePunct w:val="0"/>
              <w:autoSpaceDN/>
              <w:bidi w:val="0"/>
              <w:spacing w:before="0" w:beforeAutospacing="0" w:after="0" w:afterAutospacing="0" w:line="300" w:lineRule="exact"/>
              <w:ind w:firstLine="422" w:firstLineChars="200"/>
              <w:jc w:val="both"/>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3、坚持以人为本，提升群众福祉。</w:t>
            </w:r>
          </w:p>
          <w:p>
            <w:pPr>
              <w:keepNext w:val="0"/>
              <w:keepLines w:val="0"/>
              <w:pageBreakBefore w:val="0"/>
              <w:tabs>
                <w:tab w:val="left" w:pos="0"/>
              </w:tabs>
              <w:kinsoku/>
              <w:wordWrap/>
              <w:overflowPunct/>
              <w:topLinePunct w:val="0"/>
              <w:autoSpaceDN/>
              <w:bidi w:val="0"/>
              <w:spacing w:line="300" w:lineRule="exact"/>
              <w:ind w:right="-178" w:rightChars="-85"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举办中式面点师、中级育婴师和美容师培训，不断拓展农村劳动力就业渠道，今年新增农村劳动力转移就业137人。城乡居民养老保险、医疗保险开展有序。全年新增低保172户380人，退出17人，发放临时救助246600元。推进双凤、双阳、花桥等5个村卫生室标准化建设，全镇村卫生室公有化建设达80%以上。积极推进房地一体化试点工作，目前已全部完成会审工作，进入登簿打证阶段，该项工作完成后10587户将拿证确权。全面落实安全生产责任制，进一步压实企业的主体责任，定期或不定期开展大排查、大整改专项行动，下达限期责令整改通知书25份，立案16起，收缴罚款20400元，安全形势稳中向好。倡导移风易俗，深化殡葬改革，整治活人墓8座。持续推进“七五”普法，不断提高退役军人服务保障，圆满完成年度征兵任务和民兵整组任务，防灾减灾、档案、国防动员、妇女儿童、工会、共青团、老龄、机关事务等各项事业取得新进展。不断创新社会治理，全面推行“微积分”社会创新治理模式，扎实开展群众安全感满意度“双提升”。今年共摸排各类社会矛盾纠纷51起，成功调处率100%，刑事案件立案率同比下降16.1%，全镇社会治安和谐稳定。</w:t>
            </w:r>
          </w:p>
          <w:p>
            <w:pPr>
              <w:pStyle w:val="5"/>
              <w:keepNext w:val="0"/>
              <w:keepLines w:val="0"/>
              <w:pageBreakBefore w:val="0"/>
              <w:widowControl w:val="0"/>
              <w:shd w:val="clear" w:color="auto" w:fill="FFFFFF"/>
              <w:kinsoku/>
              <w:wordWrap/>
              <w:overflowPunct/>
              <w:topLinePunct w:val="0"/>
              <w:autoSpaceDN/>
              <w:bidi w:val="0"/>
              <w:spacing w:before="0" w:beforeAutospacing="0" w:after="0" w:afterAutospacing="0" w:line="300" w:lineRule="exact"/>
              <w:ind w:firstLine="422" w:firstLineChars="200"/>
              <w:jc w:val="both"/>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4、防范化解债务风险。</w:t>
            </w:r>
          </w:p>
          <w:p>
            <w:pPr>
              <w:keepNext w:val="0"/>
              <w:keepLines w:val="0"/>
              <w:pageBreakBefore w:val="0"/>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政府性债务管理不断加强，从严规范和控制三公经费支出，全力防范和化解政府性债务风险，盘清乡村债务底数，实行项目实施事前申报；组织工商、派出所、财政所等相关部门对全乡合作社开展非法集资专项检查，我乡预防非法集资工作情况整体形势较好。</w:t>
            </w:r>
          </w:p>
          <w:p>
            <w:pPr>
              <w:pStyle w:val="5"/>
              <w:keepNext w:val="0"/>
              <w:keepLines w:val="0"/>
              <w:pageBreakBefore w:val="0"/>
              <w:widowControl w:val="0"/>
              <w:shd w:val="clear" w:color="auto" w:fill="FFFFFF"/>
              <w:kinsoku/>
              <w:wordWrap/>
              <w:overflowPunct/>
              <w:topLinePunct w:val="0"/>
              <w:autoSpaceDN/>
              <w:bidi w:val="0"/>
              <w:spacing w:before="0" w:beforeAutospacing="0" w:after="0" w:afterAutospacing="0" w:line="300" w:lineRule="exact"/>
              <w:ind w:firstLine="422" w:firstLineChars="200"/>
              <w:jc w:val="both"/>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5、决战决胜脱贫攻坚。</w:t>
            </w:r>
          </w:p>
          <w:p>
            <w:pPr>
              <w:pStyle w:val="5"/>
              <w:keepNext w:val="0"/>
              <w:keepLines w:val="0"/>
              <w:pageBreakBefore w:val="0"/>
              <w:widowControl w:val="0"/>
              <w:shd w:val="clear" w:color="auto" w:fill="FFFFFF"/>
              <w:kinsoku/>
              <w:wordWrap/>
              <w:overflowPunct/>
              <w:topLinePunct w:val="0"/>
              <w:autoSpaceDN/>
              <w:bidi w:val="0"/>
              <w:spacing w:before="0" w:beforeAutospacing="0" w:after="0" w:afterAutospacing="0" w:line="300" w:lineRule="exact"/>
              <w:ind w:firstLine="420" w:firstLineChars="200"/>
              <w:jc w:val="both"/>
              <w:textAlignment w:val="auto"/>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围绕“一超过、</w:t>
            </w:r>
            <w:bookmarkStart w:id="0" w:name="_GoBack"/>
            <w:bookmarkEnd w:id="0"/>
            <w:r>
              <w:rPr>
                <w:rFonts w:hint="eastAsia" w:ascii="仿宋_GB2312" w:hAnsi="仿宋_GB2312" w:eastAsia="仿宋_GB2312" w:cs="仿宋_GB2312"/>
                <w:bCs/>
                <w:sz w:val="21"/>
                <w:szCs w:val="21"/>
                <w:lang w:eastAsia="zh-CN"/>
              </w:rPr>
              <w:t>两不愁三保障</w:t>
            </w:r>
            <w:r>
              <w:rPr>
                <w:rFonts w:hint="eastAsia" w:ascii="仿宋_GB2312" w:hAnsi="仿宋_GB2312" w:eastAsia="仿宋_GB2312" w:cs="仿宋_GB2312"/>
                <w:bCs/>
                <w:sz w:val="21"/>
                <w:szCs w:val="21"/>
              </w:rPr>
              <w:t>”及饮水安全要求，改善帮扶方式，坚持“点线面网”工作法，从优调整镇派驻村工作队，深入开展教育扶贫、产业扶贫、健康扶贫、就业扶贫、消费扶贫工作，共计拨付产业引导资金68万元，提供公益性岗位21个。所有贫困户直接或间接通过发展产业实现增收，“两有人员”产业覆盖率达100%，顺利通过国家脱贫普查和县交叉考核检查。</w:t>
            </w:r>
          </w:p>
          <w:p>
            <w:pPr>
              <w:keepNext w:val="0"/>
              <w:keepLines w:val="0"/>
              <w:pageBreakBefore w:val="0"/>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6、全面深化污染防治。</w:t>
            </w:r>
          </w:p>
          <w:p>
            <w:pPr>
              <w:keepNext w:val="0"/>
              <w:keepLines w:val="0"/>
              <w:pageBreakBefore w:val="0"/>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积极打好蓝天保卫战，切实抓好农作物秸杆及垃圾禁烧工作，引进伟联工贸进行稻草加工综合利用，改变秸秆禁烧方式，由围堵转变为疏导，提高我镇秸杆综合利用率；对我经营单位进行全国排污许可登记服务;积极推动我镇生活污水治理项目村的创建工作；以优质服务正确引导企业对环境保护的支持与配合，以源头管理促进蓝天保卫战的实绩提高。</w:t>
            </w:r>
          </w:p>
          <w:p>
            <w:pPr>
              <w:keepNext w:val="0"/>
              <w:keepLines w:val="0"/>
              <w:pageBreakBefore w:val="0"/>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7、疫情防控成效显著。</w:t>
            </w:r>
          </w:p>
          <w:p>
            <w:pPr>
              <w:keepNext w:val="0"/>
              <w:keepLines w:val="0"/>
              <w:pageBreakBefore w:val="0"/>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全面贯彻落实习近平总书记重要指示精神和省、市、县的决策部署，采取联防联控措施，实现全覆盖宣传引导，双摸排信息报告，硬措施属地管理，无死角责任落实，疫情期间共计排查武汉来潭122名，武汉返潭293人，涉外及高，中风险地区</w:t>
            </w:r>
            <w:r>
              <w:rPr>
                <w:rFonts w:hint="eastAsia" w:ascii="仿宋_GB2312" w:hAnsi="仿宋_GB2312" w:eastAsia="仿宋_GB2312" w:cs="仿宋_GB2312"/>
                <w:bCs/>
                <w:kern w:val="0"/>
                <w:sz w:val="21"/>
                <w:szCs w:val="21"/>
                <w:lang w:eastAsia="zh-CN"/>
              </w:rPr>
              <w:t>返乡</w:t>
            </w:r>
            <w:r>
              <w:rPr>
                <w:rFonts w:hint="eastAsia" w:ascii="仿宋_GB2312" w:hAnsi="仿宋_GB2312" w:eastAsia="仿宋_GB2312" w:cs="仿宋_GB2312"/>
                <w:bCs/>
                <w:kern w:val="0"/>
                <w:sz w:val="21"/>
                <w:szCs w:val="21"/>
              </w:rPr>
              <w:t>28人，无一例疑似病例，无一例确诊病例。</w:t>
            </w:r>
          </w:p>
          <w:p>
            <w:pPr>
              <w:keepNext w:val="0"/>
              <w:keepLines w:val="0"/>
              <w:pageBreakBefore w:val="0"/>
              <w:kinsoku/>
              <w:wordWrap/>
              <w:overflowPunct/>
              <w:topLinePunct w:val="0"/>
              <w:autoSpaceDN/>
              <w:bidi w:val="0"/>
              <w:spacing w:line="300" w:lineRule="exact"/>
              <w:ind w:firstLine="527" w:firstLineChars="25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8、加强财政管理，着力提高保障水平。</w:t>
            </w:r>
          </w:p>
          <w:p>
            <w:pPr>
              <w:pStyle w:val="10"/>
              <w:keepNext w:val="0"/>
              <w:keepLines w:val="0"/>
              <w:pageBreakBefore w:val="0"/>
              <w:kinsoku/>
              <w:wordWrap/>
              <w:overflowPunct/>
              <w:topLinePunct w:val="0"/>
              <w:autoSpaceDN/>
              <w:bidi w:val="0"/>
              <w:spacing w:line="300" w:lineRule="exact"/>
              <w:ind w:firstLine="525" w:firstLineChars="25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紧紧围绕财政目标任务，进一步提高财政管理水平,克服组织收入过程中的一切困难，加强与税收征管部门协调配合，确保完成年度目标任务，同时挖掘非税收入潜力，规范非税收入管理；切实调整优化支出结构，努力解决好事关人民群众切身利益和社会稳定的突出问题。</w:t>
            </w:r>
          </w:p>
          <w:p>
            <w:pPr>
              <w:pStyle w:val="10"/>
              <w:keepNext w:val="0"/>
              <w:keepLines w:val="0"/>
              <w:pageBreakBefore w:val="0"/>
              <w:kinsoku/>
              <w:wordWrap/>
              <w:overflowPunct/>
              <w:topLinePunct w:val="0"/>
              <w:autoSpaceDN/>
              <w:bidi w:val="0"/>
              <w:spacing w:line="300" w:lineRule="exact"/>
              <w:ind w:firstLine="379" w:firstLineChars="18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9、争取资金补助，推动全镇产业可持续发展。</w:t>
            </w:r>
          </w:p>
          <w:p>
            <w:pPr>
              <w:pStyle w:val="10"/>
              <w:keepNext w:val="0"/>
              <w:keepLines w:val="0"/>
              <w:pageBreakBefore w:val="0"/>
              <w:kinsoku/>
              <w:wordWrap/>
              <w:overflowPunct/>
              <w:topLinePunct w:val="0"/>
              <w:autoSpaceDN/>
              <w:bidi w:val="0"/>
              <w:spacing w:line="300" w:lineRule="exact"/>
              <w:ind w:firstLine="378" w:firstLineChars="18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充分发挥财政所的职能作用，协助镇政府积极向上争取发展项目和资金补助，加快镇域经济发展，促进生态农业及镇区经济的可持续发展，农业基础设施建设进一步加快，社会福利事业有序推进。</w:t>
            </w:r>
          </w:p>
          <w:p>
            <w:pPr>
              <w:keepNext w:val="0"/>
              <w:keepLines w:val="0"/>
              <w:pageBreakBefore w:val="0"/>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10、着力抓统筹，坚强保证换届选举。</w:t>
            </w:r>
          </w:p>
          <w:p>
            <w:pPr>
              <w:keepNext w:val="0"/>
              <w:keepLines w:val="0"/>
              <w:pageBreakBefore w:val="0"/>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成立换届选举工作领导小组，挂图作战，全部完成党组织和村委换届任务。</w:t>
            </w:r>
          </w:p>
          <w:p>
            <w:pPr>
              <w:keepNext w:val="0"/>
              <w:keepLines w:val="0"/>
              <w:pageBreakBefore w:val="0"/>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11、稳社会大局，建设长效机制。</w:t>
            </w:r>
          </w:p>
          <w:p>
            <w:pPr>
              <w:pStyle w:val="10"/>
              <w:keepNext w:val="0"/>
              <w:keepLines w:val="0"/>
              <w:pageBreakBefore w:val="0"/>
              <w:kinsoku/>
              <w:wordWrap/>
              <w:overflowPunct/>
              <w:topLinePunct w:val="0"/>
              <w:autoSpaceDN/>
              <w:bidi w:val="0"/>
              <w:spacing w:line="300" w:lineRule="exact"/>
              <w:ind w:firstLine="48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全面推进社会治安综合治理。深入推进社会治理创新工作及扫黑除恶专项斗争，扎实开展涉黑涉恶线索摸排上报和依法打击工作，狠抓矛盾排查，扎实推进群众信访四大攻坚工作；持续开展反邪禁毒工作，继续保持“无邪乡镇”，群众抵制涉毒意识大大加强。</w:t>
            </w:r>
          </w:p>
          <w:p>
            <w:pPr>
              <w:pStyle w:val="10"/>
              <w:keepNext w:val="0"/>
              <w:keepLines w:val="0"/>
              <w:pageBreakBefore w:val="0"/>
              <w:kinsoku/>
              <w:wordWrap/>
              <w:overflowPunct/>
              <w:topLinePunct w:val="0"/>
              <w:autoSpaceDN/>
              <w:bidi w:val="0"/>
              <w:spacing w:line="300" w:lineRule="exact"/>
              <w:ind w:firstLine="411" w:firstLineChars="196"/>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全力保障公共安全，严厉打击违法犯罪行为，纵深推进扫黑除恶专项斗争，坚决破除黑恶势力“关系网”、“保护伞”。以“三无”创建活动为抓手，严格落实信访工作责任，实现“小事不出村、大事不出镇、矛盾不上交”；加大信访积案化解力度，确保积案化解率。持续加强公共安全监管，确保食品药品、校园、农机、防汛抗旱、森林防火、网络舆情等领域安全；扎实做好常态化疫情防控工作，全力防范疫情反弹，为经济社会发展创造良好环境。</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12、加强行政能力，提高综合执法水平。</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进一步增强法治思维，加快建设公正严明、透明规范的法治政府，坚持法无授权不可为。坚持依法行政，规范执法行为，增强执法水平。进一步健全法治监督体系，依法接受人大的监督，主动接受政协委员的民主监督，重视司法、舆论、社会监督，让权力在阳光下高效运行，政府在法治轨道上正确履职。</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13、着力抓好队伍，不断提高财政服务水平。</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以精细化管理为抓手，切实提高财政服务效能和效率。继续强化厉行节约，压缩一般性支出，加强资产管理、物资采购、工程建设的透明化管理，始终保持廉洁自律。进一步增强服务意识和责任意识，全面提升财政干部队伍的政治素质和业务水平，努力打造一支政治坚定、业务精湛、作风过硬、清正廉洁、开拓进取的“忠诚、干净、担当的高素质”财政干部队伍。</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14、大力改革创新，为民服务措施。</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构建“方便服务、温馨茶恩”便民服务区，推行“互联网+政务服务”一体化平台，围绕“一件事”线上线下“一次办”，力争让群众和企业少跑腿。</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2" w:firstLineChars="200"/>
              <w:textAlignment w:val="auto"/>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15、加强党风廉政建设。</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组织学习习近平总书记重要讲话精神以及省十一届纪委五次全会公报，切实增强政治自觉、思想自觉和行动自觉。大力整治各种隐形变异的“四风”问题，力戒形式主义、官僚主义，坚决纠正懒政怠政、不作为、落实不力等行为。坚持厉行节约，政府部门的一般性支出进一步减少，完善绩效管理体系，做到花钱必问效、无效即问责。从源头强化监管、规范权力、遏制腐败。坚持严肃教育、严明纪律、严格管理、严惩腐败，始终保持反腐高压态势不放松，对腐败问题零容忍，做到露头就打；对廉政清风大宣传，真正入脑入心，构建亲清政商关系，打造清正廉洁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509" w:type="dxa"/>
            <w:vMerge w:val="restart"/>
            <w:vAlign w:val="center"/>
          </w:tcPr>
          <w:p>
            <w:pPr>
              <w:autoSpaceDE w:val="0"/>
              <w:spacing w:line="560" w:lineRule="exact"/>
              <w:jc w:val="both"/>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存在的问题分析及改进措施</w:t>
            </w:r>
          </w:p>
        </w:tc>
        <w:tc>
          <w:tcPr>
            <w:tcW w:w="1965" w:type="dxa"/>
            <w:vAlign w:val="center"/>
          </w:tcPr>
          <w:p>
            <w:pPr>
              <w:autoSpaceDE w:val="0"/>
              <w:spacing w:line="56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存在的问题</w:t>
            </w:r>
          </w:p>
        </w:tc>
        <w:tc>
          <w:tcPr>
            <w:tcW w:w="5565" w:type="dxa"/>
          </w:tcPr>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1、预算编制不够精准明确，预算编制的科学性和合理性有待提升，预算绩效管理工作的执行力度还需进一步加强。</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2、预算绩效评价指标体系设置有待完善，部分考核指标细化和量化不够，不利于绩效考核，绩效目标未完全与年度的任务数相对应或计划数相对应，与预算确定的投资额或资金量匹配，目标设置不够全面，考核可行性有待提高。</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3、镇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4、个别站所办对设定后的考核指标缺乏后续跟踪管理，对指标完成情况等不够了解，更新不及时，导致资金使用效率不高。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509" w:type="dxa"/>
            <w:vMerge w:val="continue"/>
          </w:tcPr>
          <w:p>
            <w:pPr>
              <w:autoSpaceDE w:val="0"/>
              <w:spacing w:line="560" w:lineRule="exact"/>
              <w:ind w:firstLine="420" w:firstLineChars="200"/>
              <w:rPr>
                <w:rFonts w:ascii="宋体" w:hAnsi="宋体" w:eastAsia="方正仿宋_GBK" w:cs="宋体"/>
                <w:kern w:val="0"/>
                <w:szCs w:val="21"/>
              </w:rPr>
            </w:pPr>
          </w:p>
        </w:tc>
        <w:tc>
          <w:tcPr>
            <w:tcW w:w="1965" w:type="dxa"/>
            <w:vAlign w:val="center"/>
          </w:tcPr>
          <w:p>
            <w:pPr>
              <w:autoSpaceDE w:val="0"/>
              <w:spacing w:line="560" w:lineRule="exact"/>
              <w:ind w:firstLine="420" w:firstLineChars="200"/>
              <w:rPr>
                <w:rFonts w:ascii="宋体" w:hAnsi="宋体" w:eastAsia="方正仿宋_GBK" w:cs="宋体"/>
                <w:kern w:val="0"/>
                <w:szCs w:val="21"/>
              </w:rPr>
            </w:pPr>
            <w:r>
              <w:rPr>
                <w:rFonts w:hint="eastAsia" w:ascii="仿宋_GB2312" w:hAnsi="仿宋_GB2312" w:eastAsia="仿宋_GB2312" w:cs="仿宋_GB2312"/>
                <w:kern w:val="0"/>
                <w:szCs w:val="21"/>
              </w:rPr>
              <w:t>改进措施</w:t>
            </w:r>
          </w:p>
        </w:tc>
        <w:tc>
          <w:tcPr>
            <w:tcW w:w="5565" w:type="dxa"/>
            <w:vAlign w:val="center"/>
          </w:tcPr>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1.根据乡镇财政运行的实际情况，科学合理编制本级财政预算，并加大预算监察力度，做到预算编制完整、列示、清晰、编制依据充分，包括数量测算依据明确、科学、合理、准确。</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2.严格按照有关规定设置绩效目标内容，尤其是项目支出包括项目预期提供的产品、服务、效益或其他目标，针对项目数量、质量、功能、受益群体满意度等提出绩效目标，确保目标量化。</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3、乡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4、个别站所办对设定后的考核指标缺乏后续跟踪管理，对指标完成情况等不够了解，更新不及时，导致资金使用效率不高。</w:t>
            </w:r>
          </w:p>
          <w:p>
            <w:pPr>
              <w:keepNext w:val="0"/>
              <w:keepLines w:val="0"/>
              <w:pageBreakBefore w:val="0"/>
              <w:pBdr>
                <w:bottom w:val="single" w:color="FFFFFF" w:sz="4" w:space="29"/>
              </w:pBdr>
              <w:tabs>
                <w:tab w:val="left" w:pos="1440"/>
              </w:tabs>
              <w:kinsoku/>
              <w:wordWrap/>
              <w:overflowPunct/>
              <w:topLinePunct w:val="0"/>
              <w:autoSpaceDN/>
              <w:bidi w:val="0"/>
              <w:spacing w:line="300" w:lineRule="exact"/>
              <w:ind w:firstLine="420" w:firstLineChars="200"/>
              <w:textAlignment w:val="auto"/>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5、预算编制工作有待细化。预算编制不够明确和细化，预算编制的合理性需要提高，预算执行力度还要进一步加强。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509" w:type="dxa"/>
            <w:vMerge w:val="continue"/>
          </w:tcPr>
          <w:p>
            <w:pPr>
              <w:autoSpaceDE w:val="0"/>
              <w:spacing w:line="560" w:lineRule="exact"/>
              <w:ind w:firstLine="420" w:firstLineChars="200"/>
              <w:rPr>
                <w:rFonts w:ascii="宋体" w:hAnsi="宋体" w:eastAsia="方正仿宋_GBK" w:cs="宋体"/>
                <w:kern w:val="0"/>
                <w:szCs w:val="21"/>
              </w:rPr>
            </w:pPr>
          </w:p>
        </w:tc>
        <w:tc>
          <w:tcPr>
            <w:tcW w:w="1965" w:type="dxa"/>
            <w:vAlign w:val="center"/>
          </w:tcPr>
          <w:p>
            <w:pPr>
              <w:autoSpaceDE w:val="0"/>
              <w:spacing w:line="560" w:lineRule="exact"/>
              <w:rPr>
                <w:rFonts w:ascii="宋体" w:hAnsi="宋体" w:eastAsia="方正仿宋_GBK" w:cs="宋体"/>
                <w:kern w:val="0"/>
                <w:szCs w:val="21"/>
              </w:rPr>
            </w:pPr>
            <w:r>
              <w:rPr>
                <w:rFonts w:hint="eastAsia" w:ascii="仿宋_GB2312" w:hAnsi="仿宋_GB2312" w:eastAsia="仿宋_GB2312" w:cs="仿宋_GB2312"/>
                <w:kern w:val="0"/>
                <w:szCs w:val="21"/>
              </w:rPr>
              <w:t>其他需要说明问题</w:t>
            </w:r>
          </w:p>
        </w:tc>
        <w:tc>
          <w:tcPr>
            <w:tcW w:w="5565" w:type="dxa"/>
            <w:vAlign w:val="center"/>
          </w:tcPr>
          <w:p>
            <w:pPr>
              <w:keepNext w:val="0"/>
              <w:keepLines w:val="0"/>
              <w:pageBreakBefore w:val="0"/>
              <w:kinsoku/>
              <w:wordWrap/>
              <w:overflowPunct/>
              <w:topLinePunct w:val="0"/>
              <w:autoSpaceDE w:val="0"/>
              <w:autoSpaceDN/>
              <w:bidi w:val="0"/>
              <w:spacing w:line="300" w:lineRule="exact"/>
              <w:ind w:firstLine="2310" w:firstLineChars="1100"/>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w:t>
            </w:r>
          </w:p>
        </w:tc>
      </w:tr>
    </w:tbl>
    <w:p>
      <w:pPr>
        <w:autoSpaceDE w:val="0"/>
        <w:spacing w:line="560" w:lineRule="exact"/>
        <w:ind w:firstLine="420" w:firstLineChars="200"/>
        <w:rPr>
          <w:rFonts w:ascii="宋体" w:hAnsi="宋体" w:eastAsia="方正仿宋_GBK" w:cs="宋体"/>
          <w:kern w:val="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1YzEwM2NkNTE2YzZjMTQ5MGUyZGJhZDk3NDgyOTgifQ=="/>
  </w:docVars>
  <w:rsids>
    <w:rsidRoot w:val="004C21E4"/>
    <w:rsid w:val="00011FCF"/>
    <w:rsid w:val="0005535F"/>
    <w:rsid w:val="000644D1"/>
    <w:rsid w:val="00154911"/>
    <w:rsid w:val="001D50A9"/>
    <w:rsid w:val="001E00EC"/>
    <w:rsid w:val="002A119B"/>
    <w:rsid w:val="003568D6"/>
    <w:rsid w:val="003F557F"/>
    <w:rsid w:val="00415963"/>
    <w:rsid w:val="0048198F"/>
    <w:rsid w:val="00493BE3"/>
    <w:rsid w:val="004C21E4"/>
    <w:rsid w:val="004C5401"/>
    <w:rsid w:val="004C77D4"/>
    <w:rsid w:val="00572F15"/>
    <w:rsid w:val="00597A85"/>
    <w:rsid w:val="005A14A1"/>
    <w:rsid w:val="005A7686"/>
    <w:rsid w:val="005B2600"/>
    <w:rsid w:val="006172A4"/>
    <w:rsid w:val="00756E39"/>
    <w:rsid w:val="008C6F89"/>
    <w:rsid w:val="00936FD5"/>
    <w:rsid w:val="00975520"/>
    <w:rsid w:val="009C26CD"/>
    <w:rsid w:val="00A34F56"/>
    <w:rsid w:val="00A82BEF"/>
    <w:rsid w:val="00AE5AB7"/>
    <w:rsid w:val="00AF3454"/>
    <w:rsid w:val="00BF187F"/>
    <w:rsid w:val="00C03682"/>
    <w:rsid w:val="00C16EDE"/>
    <w:rsid w:val="00CA05DD"/>
    <w:rsid w:val="00CF1D11"/>
    <w:rsid w:val="00D042B3"/>
    <w:rsid w:val="00D23EA8"/>
    <w:rsid w:val="00D419CD"/>
    <w:rsid w:val="00D63520"/>
    <w:rsid w:val="00D71C2D"/>
    <w:rsid w:val="00DB0B4D"/>
    <w:rsid w:val="00E04474"/>
    <w:rsid w:val="00E04FD8"/>
    <w:rsid w:val="00E259F7"/>
    <w:rsid w:val="00E45504"/>
    <w:rsid w:val="00EF78E4"/>
    <w:rsid w:val="00F702FB"/>
    <w:rsid w:val="00F93D3A"/>
    <w:rsid w:val="00FB610A"/>
    <w:rsid w:val="00FC4171"/>
    <w:rsid w:val="00FC764B"/>
    <w:rsid w:val="00FD44C2"/>
    <w:rsid w:val="03B011E2"/>
    <w:rsid w:val="04A3556C"/>
    <w:rsid w:val="04AB4C82"/>
    <w:rsid w:val="05124029"/>
    <w:rsid w:val="0810529B"/>
    <w:rsid w:val="08774874"/>
    <w:rsid w:val="0F7746E6"/>
    <w:rsid w:val="129B4DB4"/>
    <w:rsid w:val="22856F33"/>
    <w:rsid w:val="23AE634D"/>
    <w:rsid w:val="26607FDA"/>
    <w:rsid w:val="2720069E"/>
    <w:rsid w:val="27B05F35"/>
    <w:rsid w:val="297F544F"/>
    <w:rsid w:val="2D1C6E8B"/>
    <w:rsid w:val="381F2614"/>
    <w:rsid w:val="3AFF4DE9"/>
    <w:rsid w:val="3C6B6F4A"/>
    <w:rsid w:val="3E394DF1"/>
    <w:rsid w:val="422B48F6"/>
    <w:rsid w:val="47C94E69"/>
    <w:rsid w:val="4A1E617D"/>
    <w:rsid w:val="4CD1434D"/>
    <w:rsid w:val="4DC35CAF"/>
    <w:rsid w:val="609F6BEB"/>
    <w:rsid w:val="639C4C05"/>
    <w:rsid w:val="65653E53"/>
    <w:rsid w:val="67120629"/>
    <w:rsid w:val="6A2E3955"/>
    <w:rsid w:val="71BB362F"/>
    <w:rsid w:val="782A1F45"/>
    <w:rsid w:val="7E1A20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rFonts w:ascii="Times New Roman" w:hAnsi="Times New Roman" w:eastAsia="宋体" w:cs="Times New Roman"/>
      <w:sz w:val="18"/>
      <w:szCs w:val="18"/>
    </w:rPr>
  </w:style>
  <w:style w:type="character" w:customStyle="1" w:styleId="9">
    <w:name w:val="页脚 Char"/>
    <w:basedOn w:val="7"/>
    <w:link w:val="3"/>
    <w:qFormat/>
    <w:uiPriority w:val="99"/>
    <w:rPr>
      <w:rFonts w:ascii="Times New Roman" w:hAnsi="Times New Roman" w:eastAsia="宋体" w:cs="Times New Roman"/>
      <w:sz w:val="18"/>
      <w:szCs w:val="18"/>
    </w:rPr>
  </w:style>
  <w:style w:type="paragraph" w:customStyle="1" w:styleId="10">
    <w:name w:val="列出段落1"/>
    <w:basedOn w:val="1"/>
    <w:qFormat/>
    <w:uiPriority w:val="99"/>
    <w:pPr>
      <w:spacing w:line="360" w:lineRule="auto"/>
      <w:ind w:firstLine="420" w:firstLineChars="200"/>
    </w:pPr>
    <w:rPr>
      <w:rFonts w:eastAsia="仿宋_GB2312"/>
    </w:rPr>
  </w:style>
  <w:style w:type="character" w:customStyle="1" w:styleId="11">
    <w:name w:val="NormalCharacter"/>
    <w:semiHidden/>
    <w:qFormat/>
    <w:uiPriority w:val="0"/>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806</Words>
  <Characters>4600</Characters>
  <Lines>38</Lines>
  <Paragraphs>10</Paragraphs>
  <TotalTime>0</TotalTime>
  <ScaleCrop>false</ScaleCrop>
  <LinksUpToDate>false</LinksUpToDate>
  <CharactersWithSpaces>5396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2020-08-22T05:43:00Z</dcterms:created>
  <dc:creator>webUser</dc:creator>
  <cp:lastModifiedBy>风吹的想法</cp:lastModifiedBy>
  <dcterms:modified xsi:type="dcterms:W3CDTF">2023-10-26T01:52:45Z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96D557F4A4E64BF6962E790ECB792C70_13</vt:lpwstr>
  </property>
</Properties>
</file>