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rPr>
          <w:rFonts w:hint="eastAsia" w:eastAsia="黑体"/>
          <w:color w:val="000000" w:themeColor="text1"/>
          <w:sz w:val="32"/>
          <w:szCs w:val="32"/>
          <w:lang w:val="en-US" w:eastAsia="zh-CN"/>
          <w14:textFill>
            <w14:solidFill>
              <w14:schemeClr w14:val="tx1"/>
            </w14:solidFill>
          </w14:textFill>
        </w:rPr>
      </w:pPr>
      <w:bookmarkStart w:id="2" w:name="_GoBack"/>
      <w:bookmarkEnd w:id="2"/>
      <w:r>
        <w:rPr>
          <w:rFonts w:hint="eastAsia" w:ascii="黑体" w:eastAsia="黑体"/>
          <w:b/>
          <w:bCs/>
          <w:color w:val="000000" w:themeColor="text1"/>
          <w:sz w:val="32"/>
          <w:szCs w:val="32"/>
          <w14:textFill>
            <w14:solidFill>
              <w14:schemeClr w14:val="tx1"/>
            </w14:solidFill>
          </w14:textFill>
        </w:rPr>
        <w:t>XTDR</w:t>
      </w:r>
      <w:r>
        <w:rPr>
          <w:rFonts w:hint="eastAsia" w:ascii="黑体" w:eastAsia="黑体"/>
          <w:b/>
          <w:color w:val="000000" w:themeColor="text1"/>
          <w:sz w:val="32"/>
          <w:szCs w:val="32"/>
          <w14:textFill>
            <w14:solidFill>
              <w14:schemeClr w14:val="tx1"/>
            </w14:solidFill>
          </w14:textFill>
        </w:rPr>
        <w:t>-202</w:t>
      </w:r>
      <w:r>
        <w:rPr>
          <w:rFonts w:hint="eastAsia" w:ascii="黑体" w:eastAsia="黑体"/>
          <w:b/>
          <w:color w:val="000000" w:themeColor="text1"/>
          <w:sz w:val="32"/>
          <w:szCs w:val="32"/>
          <w:lang w:val="en-US" w:eastAsia="zh-CN"/>
          <w14:textFill>
            <w14:solidFill>
              <w14:schemeClr w14:val="tx1"/>
            </w14:solidFill>
          </w14:textFill>
        </w:rPr>
        <w:t>3</w:t>
      </w:r>
      <w:r>
        <w:rPr>
          <w:rFonts w:hint="eastAsia" w:ascii="黑体" w:eastAsia="黑体"/>
          <w:b/>
          <w:color w:val="000000" w:themeColor="text1"/>
          <w:sz w:val="32"/>
          <w:szCs w:val="32"/>
          <w14:textFill>
            <w14:solidFill>
              <w14:schemeClr w14:val="tx1"/>
            </w14:solidFill>
          </w14:textFill>
        </w:rPr>
        <w:t>-0300</w:t>
      </w:r>
      <w:r>
        <w:rPr>
          <w:rFonts w:hint="eastAsia" w:ascii="黑体" w:eastAsia="黑体"/>
          <w:b/>
          <w:color w:val="000000" w:themeColor="text1"/>
          <w:sz w:val="32"/>
          <w:szCs w:val="32"/>
          <w:lang w:val="en-US" w:eastAsia="zh-CN"/>
          <w14:textFill>
            <w14:solidFill>
              <w14:schemeClr w14:val="tx1"/>
            </w14:solidFill>
          </w14:textFill>
        </w:rPr>
        <w:t>1</w:t>
      </w:r>
    </w:p>
    <w:p>
      <w:pPr>
        <w:spacing w:line="400" w:lineRule="exact"/>
        <w:jc w:val="center"/>
        <w:rPr>
          <w:rFonts w:eastAsia="仿宋_GB2312"/>
          <w:sz w:val="32"/>
          <w:szCs w:val="32"/>
        </w:rPr>
      </w:pPr>
    </w:p>
    <w:p>
      <w:pPr>
        <w:spacing w:line="400" w:lineRule="exact"/>
        <w:jc w:val="center"/>
        <w:rPr>
          <w:rFonts w:eastAsia="仿宋_GB2312"/>
          <w:sz w:val="32"/>
          <w:szCs w:val="32"/>
        </w:rPr>
      </w:pPr>
    </w:p>
    <w:p>
      <w:pPr>
        <w:spacing w:line="400" w:lineRule="exact"/>
        <w:jc w:val="center"/>
        <w:rPr>
          <w:rFonts w:eastAsia="仿宋_GB2312"/>
          <w:sz w:val="32"/>
          <w:szCs w:val="32"/>
        </w:rPr>
      </w:pPr>
    </w:p>
    <w:p>
      <w:pPr>
        <w:spacing w:line="400" w:lineRule="exact"/>
        <w:rPr>
          <w:rFonts w:eastAsia="仿宋_GB2312"/>
          <w:sz w:val="32"/>
          <w:szCs w:val="32"/>
        </w:rPr>
      </w:pPr>
    </w:p>
    <w:p>
      <w:pPr>
        <w:spacing w:line="400" w:lineRule="exact"/>
        <w:rPr>
          <w:rFonts w:eastAsia="仿宋_GB2312"/>
          <w:sz w:val="32"/>
          <w:szCs w:val="32"/>
        </w:rPr>
      </w:pPr>
    </w:p>
    <w:p>
      <w:pPr>
        <w:spacing w:line="600" w:lineRule="exact"/>
        <w:ind w:firstLine="2560" w:firstLineChars="800"/>
        <w:rPr>
          <w:rFonts w:ascii="仿宋_GB2312" w:eastAsia="仿宋_GB2312" w:cs="仿宋_GB2312"/>
          <w:sz w:val="32"/>
          <w:szCs w:val="32"/>
        </w:rPr>
      </w:pPr>
    </w:p>
    <w:p>
      <w:pPr>
        <w:spacing w:line="600" w:lineRule="exact"/>
        <w:rPr>
          <w:rFonts w:ascii="仿宋_GB2312" w:eastAsia="仿宋_GB2312" w:cs="仿宋_GB2312"/>
          <w:sz w:val="32"/>
          <w:szCs w:val="32"/>
        </w:rPr>
      </w:pPr>
    </w:p>
    <w:p>
      <w:pPr>
        <w:spacing w:line="600" w:lineRule="exact"/>
        <w:ind w:firstLine="2560" w:firstLineChars="800"/>
        <w:rPr>
          <w:rFonts w:ascii="仿宋_GB2312" w:eastAsia="仿宋_GB2312"/>
          <w:sz w:val="32"/>
          <w:szCs w:val="32"/>
        </w:rPr>
      </w:pPr>
      <w:r>
        <w:rPr>
          <w:rFonts w:hint="eastAsia" w:ascii="仿宋_GB2312" w:eastAsia="仿宋_GB2312" w:cs="仿宋_GB2312"/>
          <w:sz w:val="32"/>
          <w:szCs w:val="32"/>
        </w:rPr>
        <w:t>潭县发改〔</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3</w:t>
      </w:r>
      <w:r>
        <w:rPr>
          <w:rFonts w:hint="eastAsia" w:ascii="仿宋_GB2312" w:eastAsia="仿宋_GB2312" w:cs="仿宋_GB2312"/>
          <w:sz w:val="32"/>
          <w:szCs w:val="32"/>
        </w:rPr>
        <w:t>〕</w:t>
      </w:r>
      <w:r>
        <w:rPr>
          <w:rFonts w:hint="eastAsia" w:ascii="Times New Roman" w:hAnsi="Times New Roman" w:eastAsia="仿宋_GB2312" w:cs="Times New Roman"/>
          <w:sz w:val="32"/>
          <w:szCs w:val="32"/>
          <w:lang w:val="en-US" w:eastAsia="zh-CN"/>
        </w:rPr>
        <w:t>13</w:t>
      </w:r>
      <w:r>
        <w:rPr>
          <w:rFonts w:hint="eastAsia" w:ascii="仿宋_GB2312" w:eastAsia="仿宋_GB2312" w:cs="仿宋_GB2312"/>
          <w:sz w:val="32"/>
          <w:szCs w:val="32"/>
        </w:rPr>
        <w:t>号</w:t>
      </w:r>
    </w:p>
    <w:p>
      <w:pPr>
        <w:adjustRightInd w:val="0"/>
        <w:snapToGrid w:val="0"/>
        <w:spacing w:line="560" w:lineRule="exact"/>
        <w:rPr>
          <w:rFonts w:ascii="方正小标宋_GBK" w:hAnsi="方正小标宋_GBK" w:eastAsia="方正小标宋_GBK" w:cs="方正小标宋_GBK"/>
          <w:sz w:val="44"/>
          <w:szCs w:val="4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0"/>
        <w:jc w:val="both"/>
        <w:rPr>
          <w:rFonts w:hint="eastAsia" w:ascii="仿宋_GB2312" w:hAnsi="仿宋_GB2312" w:eastAsia="仿宋_GB2312" w:cs="仿宋_GB2312"/>
          <w:b w:val="0"/>
          <w:w w:val="95"/>
          <w:kern w:val="2"/>
          <w:sz w:val="32"/>
          <w:szCs w:val="32"/>
          <w:lang w:val="en-US" w:eastAsia="zh-CN" w:bidi="ar-SA"/>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560" w:lineRule="exact"/>
        <w:ind w:left="0" w:right="0" w:firstLine="0"/>
        <w:jc w:val="center"/>
        <w:textAlignment w:val="auto"/>
        <w:rPr>
          <w:rFonts w:hint="eastAsia" w:ascii="Times New Roman" w:hAnsi="Times New Roman" w:eastAsia="方正小标宋_GBK" w:cs="方正小标宋_GBK"/>
          <w:b w:val="0"/>
          <w:w w:val="95"/>
          <w:kern w:val="2"/>
          <w:sz w:val="44"/>
          <w:szCs w:val="44"/>
          <w:lang w:val="en-US" w:eastAsia="zh-CN" w:bidi="ar-SA"/>
        </w:rPr>
      </w:pPr>
      <w:r>
        <w:rPr>
          <w:rFonts w:hint="eastAsia" w:ascii="Times New Roman" w:hAnsi="Times New Roman" w:eastAsia="方正小标宋_GBK" w:cs="方正小标宋_GBK"/>
          <w:b w:val="0"/>
          <w:w w:val="95"/>
          <w:kern w:val="2"/>
          <w:sz w:val="44"/>
          <w:szCs w:val="44"/>
          <w:lang w:val="en-US" w:eastAsia="zh-CN" w:bidi="ar-SA"/>
        </w:rPr>
        <w:t>关于调整湘潭县城区供水价格的批复</w:t>
      </w:r>
    </w:p>
    <w:p>
      <w:pPr>
        <w:rPr>
          <w:rFonts w:hint="eastAsia" w:ascii="仿宋_GB2312" w:hAnsi="仿宋_GB2312" w:eastAsia="仿宋_GB2312" w:cs="仿宋_GB2312"/>
          <w:sz w:val="32"/>
          <w:szCs w:val="40"/>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湘潭京湘供水有限责任公司：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为规范我县城镇供水价格管理，保障供水、用水双方的合法权益，促进城镇供水事业发展，节约和保护水资源，根据《中华人民共和国价格法》、湖南省发展和改革委员会</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lang w:eastAsia="zh-CN"/>
        </w:rPr>
        <w:t>湖南省住房和城乡建设厅关于印发《湖南省城镇供水价格管理实施细则》的通知（湘发改价调规〔20</w:t>
      </w:r>
      <w:r>
        <w:rPr>
          <w:rFonts w:hint="eastAsia" w:ascii="Times New Roman" w:hAnsi="Times New Roman" w:eastAsia="仿宋_GB2312" w:cs="仿宋_GB2312"/>
          <w:sz w:val="32"/>
          <w:szCs w:val="32"/>
          <w:lang w:val="en-US" w:eastAsia="zh-CN"/>
        </w:rPr>
        <w:t>22</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620</w:t>
      </w:r>
      <w:r>
        <w:rPr>
          <w:rFonts w:hint="eastAsia" w:ascii="Times New Roman" w:hAnsi="Times New Roman" w:eastAsia="仿宋_GB2312" w:cs="仿宋_GB2312"/>
          <w:sz w:val="32"/>
          <w:szCs w:val="32"/>
          <w:lang w:eastAsia="zh-CN"/>
        </w:rPr>
        <w:t>号）等有关规定，通过市场调查、成本监审、听证会议、风险评估、价格审议、合法性审查，经县人民政府研究同意，决定适当调整湘潭县城区供水价格，现将有关事项批复如下：</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黑体" w:cs="黑体"/>
          <w:b w:val="0"/>
          <w:bCs w:val="0"/>
          <w:sz w:val="32"/>
          <w:szCs w:val="32"/>
          <w:lang w:eastAsia="zh-CN"/>
        </w:rPr>
      </w:pPr>
      <w:r>
        <w:rPr>
          <w:rFonts w:hint="eastAsia" w:ascii="Times New Roman" w:hAnsi="Times New Roman" w:eastAsia="黑体" w:cs="黑体"/>
          <w:b w:val="0"/>
          <w:bCs w:val="0"/>
          <w:sz w:val="32"/>
          <w:szCs w:val="32"/>
          <w:lang w:eastAsia="zh-CN"/>
        </w:rPr>
        <w:t>一、三类供水价格标准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1.居民生活用水第一阶梯水价2.4元/立方米；第二阶梯水价3.6元/立方米；第三阶梯水价</w:t>
      </w:r>
      <w:r>
        <w:rPr>
          <w:rFonts w:hint="eastAsia" w:ascii="Times New Roman" w:hAnsi="Times New Roman" w:eastAsia="仿宋_GB2312"/>
          <w:sz w:val="32"/>
          <w:szCs w:val="32"/>
          <w:lang w:val="en-US" w:eastAsia="zh-CN"/>
        </w:rPr>
        <w:t>5.2</w:t>
      </w:r>
      <w:r>
        <w:rPr>
          <w:rFonts w:hint="eastAsia" w:ascii="Times New Roman" w:hAnsi="Times New Roman" w:eastAsia="仿宋_GB2312"/>
          <w:sz w:val="32"/>
          <w:szCs w:val="32"/>
          <w:lang w:eastAsia="zh-CN"/>
        </w:rPr>
        <w:t>元/立方米。</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2.非居民用水</w:t>
      </w:r>
      <w:r>
        <w:rPr>
          <w:rFonts w:hint="eastAsia" w:ascii="Times New Roman" w:hAnsi="Times New Roman" w:eastAsia="仿宋_GB2312"/>
          <w:sz w:val="32"/>
          <w:szCs w:val="32"/>
          <w:lang w:val="en-US" w:eastAsia="zh-CN"/>
        </w:rPr>
        <w:t>3.7</w:t>
      </w:r>
      <w:r>
        <w:rPr>
          <w:rFonts w:hint="eastAsia" w:ascii="Times New Roman" w:hAnsi="Times New Roman" w:eastAsia="仿宋_GB2312"/>
          <w:sz w:val="32"/>
          <w:szCs w:val="32"/>
          <w:lang w:eastAsia="zh-CN"/>
        </w:rPr>
        <w:t>元/立方米。</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sz w:val="32"/>
          <w:szCs w:val="32"/>
          <w:lang w:eastAsia="zh-CN"/>
        </w:rPr>
        <w:t>3.特种用水</w:t>
      </w:r>
      <w:r>
        <w:rPr>
          <w:rFonts w:hint="eastAsia" w:ascii="Times New Roman" w:hAnsi="Times New Roman" w:eastAsia="仿宋_GB2312"/>
          <w:sz w:val="32"/>
          <w:szCs w:val="32"/>
          <w:lang w:val="en-US" w:eastAsia="zh-CN"/>
        </w:rPr>
        <w:t>9.8</w:t>
      </w:r>
      <w:r>
        <w:rPr>
          <w:rFonts w:hint="eastAsia" w:ascii="Times New Roman" w:hAnsi="Times New Roman" w:eastAsia="仿宋_GB2312"/>
          <w:sz w:val="32"/>
          <w:szCs w:val="32"/>
          <w:lang w:eastAsia="zh-CN"/>
        </w:rPr>
        <w:t>元/立方米。</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黑体" w:cs="黑体"/>
          <w:b w:val="0"/>
          <w:bCs w:val="0"/>
          <w:sz w:val="32"/>
          <w:szCs w:val="32"/>
          <w:lang w:eastAsia="zh-CN"/>
        </w:rPr>
      </w:pPr>
      <w:r>
        <w:rPr>
          <w:rFonts w:hint="eastAsia" w:ascii="Times New Roman" w:hAnsi="Times New Roman" w:eastAsia="黑体" w:cs="黑体"/>
          <w:b w:val="0"/>
          <w:bCs w:val="0"/>
          <w:sz w:val="32"/>
          <w:szCs w:val="32"/>
          <w:lang w:eastAsia="zh-CN"/>
        </w:rPr>
        <w:t>二、优惠政策</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继续对城乡经济困难家庭执行用水优惠政策。城乡特困人员救助供养户每户每月免收8立方米水费；城乡最低生活保障户每户每月免收6立方米水费。</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黑体" w:cs="黑体"/>
          <w:b w:val="0"/>
          <w:bCs w:val="0"/>
          <w:sz w:val="32"/>
          <w:szCs w:val="32"/>
          <w:lang w:eastAsia="zh-CN"/>
        </w:rPr>
      </w:pPr>
      <w:r>
        <w:rPr>
          <w:rFonts w:hint="eastAsia" w:ascii="Times New Roman" w:hAnsi="Times New Roman" w:eastAsia="黑体" w:cs="黑体"/>
          <w:b w:val="0"/>
          <w:bCs w:val="0"/>
          <w:sz w:val="32"/>
          <w:szCs w:val="32"/>
          <w:lang w:eastAsia="zh-CN"/>
        </w:rPr>
        <w:t>三、其他供水价格政策规定</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1.未实行抄表到户的合表居民用户和执行居民生活用水价格的非居民用户，供水价格按照</w:t>
      </w:r>
      <w:r>
        <w:rPr>
          <w:rFonts w:hint="eastAsia" w:ascii="Times New Roman" w:hAnsi="Times New Roman" w:eastAsia="仿宋_GB2312" w:cs="仿宋_GB2312"/>
          <w:sz w:val="32"/>
          <w:szCs w:val="32"/>
          <w:lang w:val="en-US" w:eastAsia="zh-CN"/>
        </w:rPr>
        <w:t>2.4</w:t>
      </w:r>
      <w:r>
        <w:rPr>
          <w:rFonts w:hint="eastAsia" w:ascii="Times New Roman" w:hAnsi="Times New Roman" w:eastAsia="仿宋_GB2312" w:cs="仿宋_GB2312"/>
          <w:b w:val="0"/>
          <w:bCs w:val="0"/>
          <w:sz w:val="32"/>
          <w:szCs w:val="32"/>
          <w:lang w:eastAsia="zh-CN"/>
        </w:rPr>
        <w:t>元</w:t>
      </w:r>
      <w:r>
        <w:rPr>
          <w:rFonts w:hint="eastAsia" w:ascii="Times New Roman" w:hAnsi="Times New Roman" w:eastAsia="仿宋_GB2312" w:cs="仿宋_GB2312"/>
          <w:sz w:val="32"/>
          <w:szCs w:val="32"/>
          <w:lang w:eastAsia="zh-CN"/>
        </w:rPr>
        <w:t>/立方米执行。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eastAsia="zh-CN"/>
        </w:rPr>
        <w:t>2.阶梯水量及计量缴费周期。</w:t>
      </w:r>
      <w:r>
        <w:rPr>
          <w:rFonts w:hint="eastAsia" w:ascii="Times New Roman" w:hAnsi="Times New Roman" w:eastAsia="仿宋_GB2312" w:cs="仿宋_GB2312"/>
          <w:sz w:val="32"/>
          <w:szCs w:val="32"/>
          <w:lang w:val="en-US" w:eastAsia="zh-CN"/>
        </w:rPr>
        <w:t>（以5口之家用水为基数）</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第一阶梯水量0-20立方米（含）/月</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lang w:eastAsia="zh-CN"/>
        </w:rPr>
        <w:t>户；</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第二阶梯水量20-30立方米（含）/月</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lang w:eastAsia="zh-CN"/>
        </w:rPr>
        <w:t>户；</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第三阶梯水量30立方米以上/月</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lang w:eastAsia="zh-CN"/>
        </w:rPr>
        <w:t>户。</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6口之家及以上的，每增加一人，每户每月第一阶梯增加4立方米用水量；第二阶梯增加3立方米用水量。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阶梯水价以年度为周期执行，用水量在周期之内可累计、可结转，在周期之间不累计、不结转。</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3.对非居民用水和特种用水实行超定额累进加价制度。</w:t>
      </w:r>
      <w:bookmarkStart w:id="0" w:name="OLE_LINK2"/>
      <w:r>
        <w:rPr>
          <w:rFonts w:hint="eastAsia" w:ascii="Times New Roman" w:hAnsi="Times New Roman" w:eastAsia="仿宋_GB2312" w:cs="仿宋_GB2312"/>
          <w:b w:val="0"/>
          <w:bCs w:val="0"/>
          <w:sz w:val="32"/>
          <w:szCs w:val="32"/>
          <w:lang w:eastAsia="zh-CN"/>
        </w:rPr>
        <w:t>在供水主管部门实行用水定额管理的基础上，定额(计划)用水量以内部分执行规定的到户终端水价，超计划、超定额在20</w:t>
      </w:r>
      <w:r>
        <w:rPr>
          <w:rFonts w:hint="eastAsia" w:ascii="仿宋_GB2312" w:hAnsi="仿宋_GB2312" w:eastAsia="仿宋_GB2312" w:cs="仿宋_GB2312"/>
          <w:b w:val="0"/>
          <w:bCs w:val="0"/>
          <w:sz w:val="32"/>
          <w:szCs w:val="32"/>
          <w:lang w:eastAsia="zh-CN"/>
        </w:rPr>
        <w:t>%</w:t>
      </w:r>
      <w:r>
        <w:rPr>
          <w:rFonts w:hint="eastAsia" w:ascii="Times New Roman" w:hAnsi="Times New Roman" w:eastAsia="仿宋_GB2312" w:cs="仿宋_GB2312"/>
          <w:b w:val="0"/>
          <w:bCs w:val="0"/>
          <w:sz w:val="32"/>
          <w:szCs w:val="32"/>
          <w:lang w:eastAsia="zh-CN"/>
        </w:rPr>
        <w:t>以内的水量加价50</w:t>
      </w:r>
      <w:r>
        <w:rPr>
          <w:rFonts w:hint="eastAsia" w:ascii="仿宋_GB2312" w:hAnsi="仿宋_GB2312" w:eastAsia="仿宋_GB2312" w:cs="仿宋_GB2312"/>
          <w:b w:val="0"/>
          <w:bCs w:val="0"/>
          <w:sz w:val="32"/>
          <w:szCs w:val="32"/>
          <w:lang w:eastAsia="zh-CN"/>
        </w:rPr>
        <w:t>%</w:t>
      </w:r>
      <w:r>
        <w:rPr>
          <w:rFonts w:hint="eastAsia" w:ascii="Times New Roman" w:hAnsi="Times New Roman" w:eastAsia="仿宋_GB2312" w:cs="仿宋_GB2312"/>
          <w:b w:val="0"/>
          <w:bCs w:val="0"/>
          <w:sz w:val="32"/>
          <w:szCs w:val="32"/>
          <w:lang w:eastAsia="zh-CN"/>
        </w:rPr>
        <w:t>，超计划、超定额超过20</w:t>
      </w:r>
      <w:r>
        <w:rPr>
          <w:rFonts w:hint="eastAsia" w:ascii="仿宋_GB2312" w:hAnsi="仿宋_GB2312" w:eastAsia="仿宋_GB2312" w:cs="仿宋_GB2312"/>
          <w:b w:val="0"/>
          <w:bCs w:val="0"/>
          <w:sz w:val="32"/>
          <w:szCs w:val="32"/>
          <w:lang w:eastAsia="zh-CN"/>
        </w:rPr>
        <w:t>%</w:t>
      </w:r>
      <w:r>
        <w:rPr>
          <w:rFonts w:hint="eastAsia" w:ascii="Times New Roman" w:hAnsi="Times New Roman" w:eastAsia="仿宋_GB2312" w:cs="仿宋_GB2312"/>
          <w:b w:val="0"/>
          <w:bCs w:val="0"/>
          <w:sz w:val="32"/>
          <w:szCs w:val="32"/>
          <w:lang w:eastAsia="zh-CN"/>
        </w:rPr>
        <w:t>不足40</w:t>
      </w:r>
      <w:r>
        <w:rPr>
          <w:rFonts w:hint="eastAsia" w:ascii="仿宋_GB2312" w:hAnsi="仿宋_GB2312" w:eastAsia="仿宋_GB2312" w:cs="仿宋_GB2312"/>
          <w:b w:val="0"/>
          <w:bCs w:val="0"/>
          <w:sz w:val="32"/>
          <w:szCs w:val="32"/>
          <w:lang w:eastAsia="zh-CN"/>
        </w:rPr>
        <w:t>%</w:t>
      </w:r>
      <w:r>
        <w:rPr>
          <w:rFonts w:hint="eastAsia" w:ascii="Times New Roman" w:hAnsi="Times New Roman" w:eastAsia="仿宋_GB2312" w:cs="仿宋_GB2312"/>
          <w:b w:val="0"/>
          <w:bCs w:val="0"/>
          <w:sz w:val="32"/>
          <w:szCs w:val="32"/>
          <w:lang w:eastAsia="zh-CN"/>
        </w:rPr>
        <w:t>的水量加价100</w:t>
      </w:r>
      <w:r>
        <w:rPr>
          <w:rFonts w:hint="eastAsia" w:ascii="仿宋_GB2312" w:hAnsi="仿宋_GB2312" w:eastAsia="仿宋_GB2312" w:cs="仿宋_GB2312"/>
          <w:b w:val="0"/>
          <w:bCs w:val="0"/>
          <w:sz w:val="32"/>
          <w:szCs w:val="32"/>
          <w:lang w:eastAsia="zh-CN"/>
        </w:rPr>
        <w:t>%</w:t>
      </w:r>
      <w:r>
        <w:rPr>
          <w:rFonts w:hint="eastAsia" w:ascii="Times New Roman" w:hAnsi="Times New Roman" w:eastAsia="仿宋_GB2312" w:cs="仿宋_GB2312"/>
          <w:b w:val="0"/>
          <w:bCs w:val="0"/>
          <w:sz w:val="32"/>
          <w:szCs w:val="32"/>
          <w:lang w:eastAsia="zh-CN"/>
        </w:rPr>
        <w:t>，超计划、超定额在40</w:t>
      </w:r>
      <w:r>
        <w:rPr>
          <w:rFonts w:hint="eastAsia" w:ascii="仿宋_GB2312" w:hAnsi="仿宋_GB2312" w:eastAsia="仿宋_GB2312" w:cs="仿宋_GB2312"/>
          <w:b w:val="0"/>
          <w:bCs w:val="0"/>
          <w:sz w:val="32"/>
          <w:szCs w:val="32"/>
          <w:lang w:eastAsia="zh-CN"/>
        </w:rPr>
        <w:t>%</w:t>
      </w:r>
      <w:r>
        <w:rPr>
          <w:rFonts w:hint="eastAsia" w:ascii="Times New Roman" w:hAnsi="Times New Roman" w:eastAsia="仿宋_GB2312" w:cs="仿宋_GB2312"/>
          <w:b w:val="0"/>
          <w:bCs w:val="0"/>
          <w:sz w:val="32"/>
          <w:szCs w:val="32"/>
          <w:lang w:eastAsia="zh-CN"/>
        </w:rPr>
        <w:t>以上的水量加价150</w:t>
      </w:r>
      <w:r>
        <w:rPr>
          <w:rFonts w:hint="eastAsia" w:ascii="仿宋_GB2312" w:hAnsi="仿宋_GB2312" w:eastAsia="仿宋_GB2312" w:cs="仿宋_GB2312"/>
          <w:b w:val="0"/>
          <w:bCs w:val="0"/>
          <w:sz w:val="32"/>
          <w:szCs w:val="32"/>
          <w:lang w:eastAsia="zh-CN"/>
        </w:rPr>
        <w:t>%</w:t>
      </w:r>
      <w:r>
        <w:rPr>
          <w:rFonts w:hint="eastAsia" w:ascii="Times New Roman" w:hAnsi="Times New Roman" w:eastAsia="仿宋_GB2312" w:cs="仿宋_GB2312"/>
          <w:b w:val="0"/>
          <w:bCs w:val="0"/>
          <w:sz w:val="32"/>
          <w:szCs w:val="32"/>
          <w:lang w:eastAsia="zh-CN"/>
        </w:rPr>
        <w:t>。</w:t>
      </w:r>
      <w:bookmarkEnd w:id="0"/>
      <w:r>
        <w:rPr>
          <w:rFonts w:hint="eastAsia" w:ascii="Times New Roman" w:hAnsi="Times New Roman" w:eastAsia="仿宋_GB2312" w:cs="仿宋_GB2312"/>
          <w:sz w:val="32"/>
          <w:szCs w:val="32"/>
          <w:lang w:eastAsia="zh-CN"/>
        </w:rPr>
        <w:t>实行居民生活用水阶梯水价和非居民用水超定额累进加价增加的收入，应当主要用于管网和户表改造、水质提升、弥补供水成本上涨等。</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黑体" w:cs="黑体"/>
          <w:b w:val="0"/>
          <w:bCs w:val="0"/>
          <w:sz w:val="32"/>
          <w:szCs w:val="32"/>
          <w:lang w:eastAsia="zh-CN"/>
        </w:rPr>
      </w:pPr>
      <w:r>
        <w:rPr>
          <w:rFonts w:hint="eastAsia" w:ascii="Times New Roman" w:hAnsi="Times New Roman" w:eastAsia="黑体" w:cs="黑体"/>
          <w:b w:val="0"/>
          <w:bCs w:val="0"/>
          <w:sz w:val="32"/>
          <w:szCs w:val="32"/>
          <w:lang w:eastAsia="zh-CN"/>
        </w:rPr>
        <w:t>四、伴随水价征收的其他收费</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kern w:val="2"/>
          <w:sz w:val="32"/>
          <w:szCs w:val="32"/>
        </w:rPr>
        <w:t>根据湖南省发改委 湖南省住建厅 湖南省水利厅《关于加快城市供水价格改革有关问题的通知》（湘发改价服〔2014〕1044号）</w:t>
      </w:r>
      <w:r>
        <w:rPr>
          <w:rFonts w:hint="eastAsia" w:ascii="Times New Roman" w:hAnsi="Times New Roman" w:eastAsia="仿宋_GB2312"/>
          <w:kern w:val="2"/>
          <w:sz w:val="32"/>
          <w:szCs w:val="32"/>
          <w:lang w:eastAsia="zh-CN"/>
        </w:rPr>
        <w:t>规定</w:t>
      </w:r>
      <w:r>
        <w:rPr>
          <w:rFonts w:hint="eastAsia" w:ascii="Times New Roman" w:hAnsi="Times New Roman" w:eastAsia="仿宋_GB2312"/>
          <w:kern w:val="2"/>
          <w:sz w:val="32"/>
          <w:szCs w:val="32"/>
        </w:rPr>
        <w:t>，</w:t>
      </w:r>
      <w:r>
        <w:rPr>
          <w:rFonts w:hint="eastAsia" w:ascii="Times New Roman" w:hAnsi="Times New Roman" w:eastAsia="仿宋_GB2312" w:cs="仿宋_GB2312"/>
          <w:sz w:val="32"/>
          <w:szCs w:val="32"/>
        </w:rPr>
        <w:t>不论是否启动水价调整程序，水资源费征收一律从2015年1月1日起按取水量和新标准执行到位。城市供水企业可同时从2015年1月1日起按每立方米不超过0.125元(取水量与售水量之比不超过1.5625：1)相应上调终端水价，今后水资源费标准每提高1分钱，终端水价可同时相应提高1.5625分</w:t>
      </w:r>
      <w:r>
        <w:rPr>
          <w:rFonts w:hint="eastAsia" w:ascii="Times New Roman" w:hAnsi="Times New Roman" w:eastAsia="仿宋_GB2312" w:cs="仿宋_GB2312"/>
          <w:sz w:val="32"/>
          <w:szCs w:val="32"/>
          <w:lang w:eastAsia="zh-CN"/>
        </w:rPr>
        <w:t>，本次</w:t>
      </w:r>
      <w:r>
        <w:rPr>
          <w:rFonts w:hint="eastAsia" w:ascii="Times New Roman" w:hAnsi="Times New Roman" w:eastAsia="仿宋_GB2312" w:cs="仿宋_GB2312"/>
          <w:b w:val="0"/>
          <w:bCs w:val="0"/>
          <w:sz w:val="32"/>
          <w:szCs w:val="32"/>
          <w:lang w:eastAsia="zh-CN"/>
        </w:rPr>
        <w:t>水资源费调整为0.12元/立方米计入终端水价；</w:t>
      </w:r>
      <w:r>
        <w:rPr>
          <w:rFonts w:hint="eastAsia" w:ascii="Times New Roman" w:hAnsi="Times New Roman" w:eastAsia="仿宋_GB2312" w:cs="仿宋_GB2312"/>
          <w:sz w:val="32"/>
          <w:szCs w:val="32"/>
          <w:lang w:eastAsia="zh-CN"/>
        </w:rPr>
        <w:t>污水处理费、生活垃圾处理费按相关文件规定直接计入终端水价。</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黑体" w:cs="黑体"/>
          <w:b w:val="0"/>
          <w:bCs w:val="0"/>
          <w:sz w:val="32"/>
          <w:szCs w:val="32"/>
          <w:lang w:eastAsia="zh-CN"/>
        </w:rPr>
      </w:pPr>
      <w:r>
        <w:rPr>
          <w:rFonts w:hint="eastAsia" w:ascii="Times New Roman" w:hAnsi="Times New Roman" w:eastAsia="黑体" w:cs="黑体"/>
          <w:b w:val="0"/>
          <w:bCs w:val="0"/>
          <w:sz w:val="32"/>
          <w:szCs w:val="32"/>
          <w:lang w:eastAsia="zh-CN"/>
        </w:rPr>
        <w:t>五、其他有关事项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1.</w:t>
      </w:r>
      <w:r>
        <w:rPr>
          <w:rFonts w:hint="default" w:ascii="Times New Roman" w:hAnsi="Times New Roman" w:eastAsia="仿宋_GB2312" w:cs="仿宋_GB2312"/>
          <w:color w:val="auto"/>
          <w:kern w:val="0"/>
          <w:sz w:val="32"/>
          <w:szCs w:val="32"/>
          <w:lang w:val="en-US" w:eastAsia="zh-CN" w:bidi="ar"/>
        </w:rPr>
        <w:t>居民生活用水</w:t>
      </w:r>
      <w:r>
        <w:rPr>
          <w:rFonts w:hint="eastAsia" w:ascii="Times New Roman" w:hAnsi="Times New Roman" w:eastAsia="仿宋_GB2312" w:cs="仿宋_GB2312"/>
          <w:color w:val="auto"/>
          <w:kern w:val="0"/>
          <w:sz w:val="32"/>
          <w:szCs w:val="32"/>
          <w:lang w:val="en-US" w:eastAsia="zh-CN" w:bidi="ar"/>
        </w:rPr>
        <w:t>主要指</w:t>
      </w:r>
      <w:r>
        <w:rPr>
          <w:rFonts w:hint="default" w:ascii="Times New Roman" w:hAnsi="Times New Roman" w:eastAsia="仿宋_GB2312" w:cs="仿宋_GB2312"/>
          <w:color w:val="auto"/>
          <w:kern w:val="0"/>
          <w:sz w:val="32"/>
          <w:szCs w:val="32"/>
          <w:lang w:val="en-US" w:eastAsia="zh-CN" w:bidi="ar"/>
        </w:rPr>
        <w:t>城镇居民住宅家庭的日常生活用水</w:t>
      </w:r>
      <w:r>
        <w:rPr>
          <w:rFonts w:hint="eastAsia" w:ascii="Times New Roman" w:hAnsi="Times New Roman" w:eastAsia="仿宋_GB2312" w:cs="仿宋_GB2312"/>
          <w:color w:val="auto"/>
          <w:kern w:val="0"/>
          <w:sz w:val="32"/>
          <w:szCs w:val="32"/>
          <w:lang w:val="en-US" w:eastAsia="zh-CN" w:bidi="ar"/>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2.</w:t>
      </w:r>
      <w:r>
        <w:rPr>
          <w:rFonts w:hint="default" w:ascii="Times New Roman" w:hAnsi="Times New Roman" w:eastAsia="仿宋_GB2312" w:cs="仿宋_GB2312"/>
          <w:color w:val="auto"/>
          <w:kern w:val="0"/>
          <w:sz w:val="32"/>
          <w:szCs w:val="32"/>
          <w:lang w:val="en-US" w:eastAsia="zh-CN" w:bidi="ar"/>
        </w:rPr>
        <w:t>非居民用水</w:t>
      </w:r>
      <w:r>
        <w:rPr>
          <w:rFonts w:hint="eastAsia" w:ascii="Times New Roman" w:hAnsi="Times New Roman" w:eastAsia="仿宋_GB2312" w:cs="仿宋_GB2312"/>
          <w:color w:val="auto"/>
          <w:kern w:val="0"/>
          <w:sz w:val="32"/>
          <w:szCs w:val="32"/>
          <w:lang w:val="en-US" w:eastAsia="zh-CN" w:bidi="ar"/>
        </w:rPr>
        <w:t>主要指</w:t>
      </w:r>
      <w:r>
        <w:rPr>
          <w:rFonts w:hint="default" w:ascii="Times New Roman" w:hAnsi="Times New Roman" w:eastAsia="仿宋_GB2312" w:cs="仿宋_GB2312"/>
          <w:color w:val="auto"/>
          <w:kern w:val="0"/>
          <w:sz w:val="32"/>
          <w:szCs w:val="32"/>
          <w:lang w:val="en-US" w:eastAsia="zh-CN" w:bidi="ar"/>
        </w:rPr>
        <w:t>工业、经营服务用水和行政事业单位用水、市政用水（环卫、绿化）、生态用水、消防用水</w:t>
      </w:r>
      <w:r>
        <w:rPr>
          <w:rFonts w:hint="eastAsia" w:ascii="Times New Roman" w:hAnsi="Times New Roman" w:eastAsia="仿宋_GB2312" w:cs="仿宋_GB2312"/>
          <w:color w:val="auto"/>
          <w:kern w:val="0"/>
          <w:sz w:val="32"/>
          <w:szCs w:val="32"/>
          <w:lang w:val="en-US" w:eastAsia="zh-CN" w:bidi="ar"/>
        </w:rPr>
        <w:t>、游泳池用水</w:t>
      </w:r>
      <w:r>
        <w:rPr>
          <w:rFonts w:hint="default" w:ascii="Times New Roman" w:hAnsi="Times New Roman" w:eastAsia="仿宋_GB2312" w:cs="仿宋_GB2312"/>
          <w:color w:val="auto"/>
          <w:kern w:val="0"/>
          <w:sz w:val="32"/>
          <w:szCs w:val="32"/>
          <w:lang w:val="en-US" w:eastAsia="zh-CN" w:bidi="ar"/>
        </w:rPr>
        <w:t>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部队生活用水、机关企事业单位的集体宿舍生活用水、学校教学和学生生活用水、</w:t>
      </w:r>
      <w:r>
        <w:rPr>
          <w:rFonts w:hint="eastAsia" w:ascii="Times New Roman" w:hAnsi="Times New Roman" w:eastAsia="仿宋_GB2312" w:cs="仿宋_GB2312"/>
          <w:b w:val="0"/>
          <w:bCs w:val="0"/>
          <w:color w:val="auto"/>
          <w:kern w:val="0"/>
          <w:sz w:val="32"/>
          <w:szCs w:val="32"/>
          <w:lang w:val="en-US" w:eastAsia="zh-CN" w:bidi="ar"/>
        </w:rPr>
        <w:t>医疗机构和幼儿园生活用水、托育机构用水、</w:t>
      </w:r>
      <w:r>
        <w:rPr>
          <w:rFonts w:hint="eastAsia" w:ascii="Times New Roman" w:hAnsi="Times New Roman" w:eastAsia="仿宋_GB2312" w:cs="仿宋_GB2312"/>
          <w:color w:val="auto"/>
          <w:kern w:val="0"/>
          <w:sz w:val="32"/>
          <w:szCs w:val="32"/>
          <w:lang w:val="en-US" w:eastAsia="zh-CN" w:bidi="ar"/>
        </w:rPr>
        <w:t>养老院和</w:t>
      </w:r>
      <w:r>
        <w:rPr>
          <w:rFonts w:hint="eastAsia" w:ascii="Times New Roman" w:hAnsi="Times New Roman" w:eastAsia="仿宋_GB2312" w:cs="仿宋_GB2312"/>
          <w:b w:val="0"/>
          <w:bCs w:val="0"/>
          <w:color w:val="auto"/>
          <w:kern w:val="0"/>
          <w:sz w:val="32"/>
          <w:szCs w:val="32"/>
          <w:lang w:val="en-US" w:eastAsia="zh-CN" w:bidi="ar"/>
        </w:rPr>
        <w:t>福利院以及</w:t>
      </w:r>
      <w:r>
        <w:rPr>
          <w:rFonts w:hint="eastAsia" w:ascii="Times New Roman" w:hAnsi="Times New Roman" w:eastAsia="仿宋_GB2312" w:cs="仿宋_GB2312"/>
          <w:color w:val="auto"/>
          <w:kern w:val="0"/>
          <w:sz w:val="32"/>
          <w:szCs w:val="32"/>
          <w:lang w:val="en-US" w:eastAsia="zh-CN" w:bidi="ar"/>
        </w:rPr>
        <w:t>残疾人托养机构等社会福利场所生活用水、宗教场所生活用水、社区组织工作用房和居民公益性服务设施用水等，按照居民生活类用水价格执行。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仿宋_GB2312"/>
          <w:b w:val="0"/>
          <w:bCs w:val="0"/>
          <w:sz w:val="32"/>
          <w:szCs w:val="32"/>
          <w:lang w:eastAsia="zh-CN"/>
        </w:rPr>
      </w:pPr>
      <w:r>
        <w:rPr>
          <w:rFonts w:hint="eastAsia" w:ascii="Times New Roman" w:hAnsi="Times New Roman" w:eastAsia="仿宋_GB2312" w:cs="仿宋_GB2312"/>
          <w:color w:val="auto"/>
          <w:kern w:val="0"/>
          <w:sz w:val="32"/>
          <w:szCs w:val="32"/>
          <w:lang w:val="en-US" w:eastAsia="zh-CN" w:bidi="ar"/>
        </w:rPr>
        <w:t>3.</w:t>
      </w:r>
      <w:r>
        <w:rPr>
          <w:rFonts w:hint="default" w:ascii="Times New Roman" w:hAnsi="Times New Roman" w:eastAsia="仿宋_GB2312" w:cs="仿宋_GB2312"/>
          <w:color w:val="auto"/>
          <w:kern w:val="0"/>
          <w:sz w:val="32"/>
          <w:szCs w:val="32"/>
          <w:lang w:val="en-US" w:eastAsia="zh-CN" w:bidi="ar"/>
        </w:rPr>
        <w:t>特种用水</w:t>
      </w:r>
      <w:r>
        <w:rPr>
          <w:rFonts w:hint="eastAsia" w:ascii="Times New Roman" w:hAnsi="Times New Roman" w:eastAsia="仿宋_GB2312" w:cs="仿宋_GB2312"/>
          <w:color w:val="auto"/>
          <w:kern w:val="0"/>
          <w:sz w:val="32"/>
          <w:szCs w:val="32"/>
          <w:lang w:val="en-US" w:eastAsia="zh-CN" w:bidi="ar"/>
        </w:rPr>
        <w:t>主要包括</w:t>
      </w:r>
      <w:bookmarkStart w:id="1" w:name="OLE_LINK1"/>
      <w:r>
        <w:rPr>
          <w:rFonts w:hint="default" w:ascii="Times New Roman" w:hAnsi="Times New Roman" w:eastAsia="仿宋_GB2312" w:cs="仿宋_GB2312"/>
          <w:color w:val="auto"/>
          <w:kern w:val="0"/>
          <w:sz w:val="32"/>
          <w:szCs w:val="32"/>
          <w:lang w:val="en-US" w:eastAsia="zh-CN" w:bidi="ar"/>
        </w:rPr>
        <w:t>洗车、洗浴、以自来水为原料的纯净水生产、高尔夫球场用水等</w:t>
      </w:r>
      <w:bookmarkEnd w:id="1"/>
      <w:r>
        <w:rPr>
          <w:rFonts w:hint="default" w:ascii="Times New Roman" w:hAnsi="Times New Roman" w:eastAsia="仿宋_GB2312" w:cs="仿宋_GB2312"/>
          <w:color w:val="auto"/>
          <w:kern w:val="0"/>
          <w:sz w:val="32"/>
          <w:szCs w:val="32"/>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黑体" w:cs="黑体"/>
          <w:b w:val="0"/>
          <w:bCs w:val="0"/>
          <w:sz w:val="32"/>
          <w:szCs w:val="32"/>
          <w:lang w:eastAsia="zh-CN"/>
        </w:rPr>
      </w:pPr>
      <w:r>
        <w:rPr>
          <w:rFonts w:hint="eastAsia" w:ascii="Times New Roman" w:hAnsi="Times New Roman" w:eastAsia="黑体" w:cs="黑体"/>
          <w:b w:val="0"/>
          <w:bCs w:val="0"/>
          <w:sz w:val="32"/>
          <w:szCs w:val="32"/>
          <w:lang w:eastAsia="zh-CN"/>
        </w:rPr>
        <w:t>六、政策宣传</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olor w:val="000000"/>
          <w:sz w:val="32"/>
          <w:szCs w:val="32"/>
        </w:rPr>
        <w:t>供水价格调整涉及面广，政策性强，你公司应向社会公告</w:t>
      </w:r>
      <w:r>
        <w:rPr>
          <w:rFonts w:hint="eastAsia" w:ascii="Times New Roman" w:hAnsi="Times New Roman" w:eastAsia="仿宋_GB2312"/>
          <w:color w:val="000000"/>
          <w:sz w:val="32"/>
          <w:szCs w:val="32"/>
          <w:lang w:eastAsia="zh-CN"/>
        </w:rPr>
        <w:t>，通过</w:t>
      </w:r>
      <w:r>
        <w:rPr>
          <w:rFonts w:hint="eastAsia" w:ascii="Times New Roman" w:hAnsi="Times New Roman" w:eastAsia="仿宋_GB2312" w:cs="仿宋_GB2312"/>
          <w:sz w:val="32"/>
          <w:szCs w:val="32"/>
          <w:lang w:eastAsia="zh-CN"/>
        </w:rPr>
        <w:t>新闻媒体、印发宣传资料等方式</w:t>
      </w:r>
      <w:r>
        <w:rPr>
          <w:rFonts w:hint="eastAsia" w:ascii="Times New Roman" w:hAnsi="Times New Roman" w:eastAsia="仿宋_GB2312"/>
          <w:color w:val="000000"/>
          <w:sz w:val="32"/>
          <w:szCs w:val="32"/>
        </w:rPr>
        <w:t>向用水单位和居民认真做好宣传解释工作，</w:t>
      </w:r>
      <w:r>
        <w:rPr>
          <w:rFonts w:hint="eastAsia" w:ascii="Times New Roman" w:hAnsi="Times New Roman" w:eastAsia="仿宋_GB2312" w:cs="仿宋_GB2312"/>
          <w:sz w:val="32"/>
          <w:szCs w:val="32"/>
          <w:lang w:eastAsia="zh-CN"/>
        </w:rPr>
        <w:t>取得人民群众广泛理解和支持，并认真</w:t>
      </w:r>
      <w:r>
        <w:rPr>
          <w:rFonts w:hint="eastAsia" w:ascii="Times New Roman" w:hAnsi="Times New Roman" w:eastAsia="仿宋_GB2312"/>
          <w:color w:val="000000"/>
          <w:sz w:val="32"/>
          <w:szCs w:val="32"/>
          <w:lang w:eastAsia="zh-CN"/>
        </w:rPr>
        <w:t>做好</w:t>
      </w:r>
      <w:r>
        <w:rPr>
          <w:rFonts w:hint="eastAsia" w:ascii="Times New Roman" w:hAnsi="Times New Roman" w:eastAsia="仿宋_GB2312"/>
          <w:color w:val="000000"/>
          <w:sz w:val="32"/>
          <w:szCs w:val="32"/>
        </w:rPr>
        <w:t>收费公示</w:t>
      </w:r>
      <w:r>
        <w:rPr>
          <w:rFonts w:hint="eastAsia" w:ascii="Times New Roman" w:hAnsi="Times New Roman" w:eastAsia="仿宋_GB2312"/>
          <w:color w:val="000000"/>
          <w:sz w:val="32"/>
          <w:szCs w:val="32"/>
          <w:lang w:eastAsia="zh-CN"/>
        </w:rPr>
        <w:t>工作，</w:t>
      </w:r>
      <w:r>
        <w:rPr>
          <w:rFonts w:hint="eastAsia" w:ascii="Times New Roman" w:hAnsi="Times New Roman" w:eastAsia="仿宋_GB2312" w:cs="仿宋_GB2312"/>
          <w:sz w:val="32"/>
          <w:szCs w:val="32"/>
          <w:lang w:eastAsia="zh-CN"/>
        </w:rPr>
        <w:t>确保调整城区供水价格平稳实施。</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黑体" w:cs="黑体"/>
          <w:b w:val="0"/>
          <w:bCs w:val="0"/>
          <w:sz w:val="32"/>
          <w:szCs w:val="32"/>
          <w:lang w:eastAsia="zh-CN"/>
        </w:rPr>
      </w:pPr>
      <w:r>
        <w:rPr>
          <w:rFonts w:hint="eastAsia" w:ascii="Times New Roman" w:hAnsi="Times New Roman" w:eastAsia="黑体" w:cs="黑体"/>
          <w:b w:val="0"/>
          <w:bCs w:val="0"/>
          <w:sz w:val="32"/>
          <w:szCs w:val="32"/>
          <w:lang w:eastAsia="zh-CN"/>
        </w:rPr>
        <w:t>七、执行时间</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调整后的水价自</w:t>
      </w:r>
      <w:r>
        <w:rPr>
          <w:rFonts w:hint="eastAsia" w:ascii="Times New Roman" w:hAnsi="Times New Roman" w:eastAsia="仿宋_GB2312" w:cs="仿宋_GB2312"/>
          <w:sz w:val="32"/>
          <w:szCs w:val="32"/>
          <w:lang w:val="en-US" w:eastAsia="zh-CN"/>
        </w:rPr>
        <w:t>2023年8月1日</w:t>
      </w:r>
      <w:r>
        <w:rPr>
          <w:rFonts w:hint="eastAsia" w:ascii="Times New Roman" w:hAnsi="Times New Roman" w:eastAsia="仿宋_GB2312" w:cs="仿宋_GB2312"/>
          <w:sz w:val="32"/>
          <w:szCs w:val="32"/>
          <w:lang w:eastAsia="zh-CN"/>
        </w:rPr>
        <w:t>起第二次抄见表量执行，第一次抄见表量按原价格执行。原《湘潭县物价局关于调整县城区供水价格及试行居民生活用水阶梯式水价的批复》（潭价发〔20</w:t>
      </w:r>
      <w:r>
        <w:rPr>
          <w:rFonts w:hint="eastAsia" w:ascii="Times New Roman" w:hAnsi="Times New Roman" w:eastAsia="仿宋_GB2312" w:cs="仿宋_GB2312"/>
          <w:sz w:val="32"/>
          <w:szCs w:val="32"/>
          <w:lang w:val="en-US" w:eastAsia="zh-CN"/>
        </w:rPr>
        <w:t>14</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27号</w:t>
      </w:r>
      <w:r>
        <w:rPr>
          <w:rFonts w:hint="eastAsia" w:ascii="Times New Roman" w:hAnsi="Times New Roman" w:eastAsia="仿宋_GB2312" w:cs="仿宋_GB2312"/>
          <w:sz w:val="32"/>
          <w:szCs w:val="32"/>
          <w:lang w:eastAsia="zh-CN"/>
        </w:rPr>
        <w:t>）自动废止。</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附表：湘潭县城区供水价格及终端水价执行标准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仿宋_GB2312"/>
          <w:sz w:val="32"/>
          <w:szCs w:val="32"/>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4480" w:firstLineChars="14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湘潭县发展和改革局</w:t>
      </w:r>
    </w:p>
    <w:p>
      <w:pPr>
        <w:keepNext w:val="0"/>
        <w:keepLines w:val="0"/>
        <w:pageBreakBefore w:val="0"/>
        <w:widowControl w:val="0"/>
        <w:kinsoku/>
        <w:wordWrap/>
        <w:overflowPunct/>
        <w:topLinePunct w:val="0"/>
        <w:autoSpaceDE/>
        <w:autoSpaceDN/>
        <w:bidi w:val="0"/>
        <w:adjustRightInd w:val="0"/>
        <w:snapToGrid w:val="0"/>
        <w:spacing w:line="560" w:lineRule="exact"/>
        <w:ind w:firstLine="4800" w:firstLineChars="15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2023年7月25日</w:t>
      </w:r>
    </w:p>
    <w:p>
      <w:pPr>
        <w:keepNext w:val="0"/>
        <w:keepLines w:val="0"/>
        <w:pageBreakBefore w:val="0"/>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仿宋_GB2312" w:cs="仿宋_GB2312"/>
          <w:sz w:val="32"/>
          <w:szCs w:val="32"/>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p>
    <w:tbl>
      <w:tblPr>
        <w:tblStyle w:val="9"/>
        <w:tblW w:w="143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7"/>
        <w:gridCol w:w="4285"/>
        <w:gridCol w:w="726"/>
        <w:gridCol w:w="4476"/>
        <w:gridCol w:w="708"/>
        <w:gridCol w:w="936"/>
        <w:gridCol w:w="700"/>
        <w:gridCol w:w="992"/>
        <w:gridCol w:w="7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4377" w:type="dxa"/>
            <w:gridSpan w:val="9"/>
            <w:tcBorders>
              <w:top w:val="nil"/>
              <w:left w:val="nil"/>
              <w:bottom w:val="nil"/>
              <w:right w:val="nil"/>
            </w:tcBorders>
            <w:shd w:val="clear" w:color="auto" w:fill="auto"/>
            <w:noWrap/>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附表</w:t>
            </w:r>
          </w:p>
          <w:p>
            <w:pPr>
              <w:keepNext w:val="0"/>
              <w:keepLines w:val="0"/>
              <w:widowControl/>
              <w:suppressLineNumbers w:val="0"/>
              <w:jc w:val="center"/>
              <w:textAlignment w:val="center"/>
              <w:rPr>
                <w:rFonts w:hint="eastAsia" w:ascii="宋体" w:hAnsi="宋体" w:eastAsia="宋体" w:cs="宋体"/>
                <w:i w:val="0"/>
                <w:iCs w:val="0"/>
                <w:color w:val="000000"/>
                <w:sz w:val="48"/>
                <w:szCs w:val="48"/>
                <w:u w:val="none"/>
              </w:rPr>
            </w:pPr>
            <w:r>
              <w:rPr>
                <w:rFonts w:hint="eastAsia" w:ascii="宋体" w:hAnsi="宋体" w:eastAsia="宋体" w:cs="宋体"/>
                <w:i w:val="0"/>
                <w:iCs w:val="0"/>
                <w:color w:val="000000"/>
                <w:kern w:val="0"/>
                <w:sz w:val="48"/>
                <w:szCs w:val="48"/>
                <w:u w:val="none"/>
                <w:lang w:val="en-US" w:eastAsia="zh-CN" w:bidi="ar"/>
              </w:rPr>
              <w:t>湘潭县城区供水价格及终端水价执行标准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4377" w:type="dxa"/>
            <w:gridSpan w:val="9"/>
            <w:tcBorders>
              <w:top w:val="nil"/>
              <w:left w:val="nil"/>
              <w:bottom w:val="nil"/>
              <w:right w:val="nil"/>
            </w:tcBorders>
            <w:shd w:val="clear" w:color="auto" w:fill="auto"/>
            <w:vAlign w:val="center"/>
          </w:tcPr>
          <w:p>
            <w:pPr>
              <w:keepNext w:val="0"/>
              <w:keepLines w:val="0"/>
              <w:widowControl/>
              <w:suppressLineNumbers w:val="0"/>
              <w:jc w:val="right"/>
              <w:textAlignment w:val="center"/>
              <w:rPr>
                <w:rFonts w:ascii="仿宋_GB2312" w:hAnsi="宋体" w:eastAsia="仿宋_GB2312" w:cs="仿宋_GB2312"/>
                <w:i w:val="0"/>
                <w:iCs w:val="0"/>
                <w:color w:val="000000"/>
                <w:sz w:val="30"/>
                <w:szCs w:val="30"/>
                <w:u w:val="none"/>
              </w:rPr>
            </w:pPr>
            <w:r>
              <w:rPr>
                <w:rFonts w:hint="eastAsia" w:ascii="仿宋_GB2312" w:hAnsi="宋体" w:eastAsia="仿宋_GB2312" w:cs="仿宋_GB2312"/>
                <w:i w:val="0"/>
                <w:iCs w:val="0"/>
                <w:color w:val="000000"/>
                <w:kern w:val="0"/>
                <w:sz w:val="24"/>
                <w:szCs w:val="24"/>
                <w:u w:val="none"/>
                <w:lang w:val="en-US" w:eastAsia="zh-CN" w:bidi="ar"/>
              </w:rPr>
              <w:t>单位：元/立方米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jc w:val="center"/>
        </w:trPr>
        <w:tc>
          <w:tcPr>
            <w:tcW w:w="7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水价类别</w:t>
            </w:r>
          </w:p>
        </w:tc>
        <w:tc>
          <w:tcPr>
            <w:tcW w:w="42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11"/>
                <w:rFonts w:hAnsi="宋体"/>
                <w:sz w:val="24"/>
                <w:szCs w:val="24"/>
                <w:lang w:val="en-US" w:eastAsia="zh-CN" w:bidi="ar"/>
              </w:rPr>
              <w:t>行  业</w:t>
            </w:r>
          </w:p>
        </w:tc>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11"/>
                <w:rFonts w:hAnsi="宋体"/>
                <w:sz w:val="24"/>
                <w:szCs w:val="24"/>
                <w:lang w:val="en-US" w:eastAsia="zh-CN" w:bidi="ar"/>
              </w:rPr>
              <w:t>阶 梯</w:t>
            </w:r>
          </w:p>
        </w:tc>
        <w:tc>
          <w:tcPr>
            <w:tcW w:w="4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11"/>
                <w:rFonts w:hAnsi="宋体"/>
                <w:sz w:val="24"/>
                <w:szCs w:val="24"/>
                <w:lang w:val="en-US" w:eastAsia="zh-CN" w:bidi="ar"/>
              </w:rPr>
              <w:t>水量基数</w:t>
            </w:r>
          </w:p>
        </w:tc>
        <w:tc>
          <w:tcPr>
            <w:tcW w:w="7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供水价格</w:t>
            </w:r>
          </w:p>
        </w:tc>
        <w:tc>
          <w:tcPr>
            <w:tcW w:w="26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代收费用</w:t>
            </w:r>
          </w:p>
        </w:tc>
        <w:tc>
          <w:tcPr>
            <w:tcW w:w="7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终端水价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42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4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_GB2312" w:hAnsi="宋体" w:eastAsia="仿宋_GB2312" w:cs="仿宋_GB2312"/>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污水处理费</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水资源费</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垃圾处理费</w:t>
            </w:r>
          </w:p>
        </w:tc>
        <w:tc>
          <w:tcPr>
            <w:tcW w:w="7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居民生活用水</w:t>
            </w:r>
          </w:p>
        </w:tc>
        <w:tc>
          <w:tcPr>
            <w:tcW w:w="42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居民生活用水、部队生活用水、机关企事业单位的集体宿舍生活用水、学校教学和学生生活用水、医疗机构和幼儿园生活用水、托育机构用水、养老院和福利院以及残疾人托养机构等社会福利场所生活用水、宗教场所生活用水、社区组织工作用房和居民公益性服务设施用水等。其他有政策规定的从其政策规定。</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11"/>
                <w:rFonts w:hAnsi="宋体"/>
                <w:sz w:val="24"/>
                <w:szCs w:val="24"/>
                <w:lang w:val="en-US" w:eastAsia="zh-CN" w:bidi="ar"/>
              </w:rPr>
              <w:t>第一阶梯</w:t>
            </w:r>
          </w:p>
        </w:tc>
        <w:tc>
          <w:tcPr>
            <w:tcW w:w="4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20立方米/户/月(含)以下</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0.85</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0.12</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0.2</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42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_GB2312" w:hAnsi="宋体" w:eastAsia="仿宋_GB2312" w:cs="仿宋_GB2312"/>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11"/>
                <w:rFonts w:hAnsi="宋体"/>
                <w:sz w:val="24"/>
                <w:szCs w:val="24"/>
                <w:lang w:val="en-US" w:eastAsia="zh-CN" w:bidi="ar"/>
              </w:rPr>
              <w:t>第二阶梯</w:t>
            </w:r>
          </w:p>
        </w:tc>
        <w:tc>
          <w:tcPr>
            <w:tcW w:w="4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20立方米/户/月(不含)— 30立方米/户/月（含）</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0.85</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0.12</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0.2</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42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_GB2312" w:hAnsi="宋体" w:eastAsia="仿宋_GB2312" w:cs="仿宋_GB2312"/>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11"/>
                <w:rFonts w:hAnsi="宋体"/>
                <w:sz w:val="24"/>
                <w:szCs w:val="24"/>
                <w:lang w:val="en-US" w:eastAsia="zh-CN" w:bidi="ar"/>
              </w:rPr>
              <w:t>第三阶梯</w:t>
            </w:r>
          </w:p>
        </w:tc>
        <w:tc>
          <w:tcPr>
            <w:tcW w:w="4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30立方米/户/月（不含）以上</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0.85</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0.12</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0.2</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11"/>
                <w:rFonts w:hAnsi="宋体"/>
                <w:sz w:val="24"/>
                <w:szCs w:val="24"/>
                <w:lang w:val="en-US" w:eastAsia="zh-CN" w:bidi="ar"/>
              </w:rPr>
              <w:t>非居民用水</w:t>
            </w:r>
          </w:p>
        </w:tc>
        <w:tc>
          <w:tcPr>
            <w:tcW w:w="4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工业、经营服务用水和行政事业单位用水、市政用水（环卫、绿化）、生态用水、消防用水、游泳池用水等。</w:t>
            </w:r>
          </w:p>
        </w:tc>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超定额累进加价</w:t>
            </w:r>
          </w:p>
        </w:tc>
        <w:tc>
          <w:tcPr>
            <w:tcW w:w="4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0.12</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0.2</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11"/>
                <w:rFonts w:hAnsi="宋体"/>
                <w:sz w:val="24"/>
                <w:szCs w:val="24"/>
                <w:lang w:val="en-US" w:eastAsia="zh-CN" w:bidi="ar"/>
              </w:rPr>
              <w:t>特种用水</w:t>
            </w:r>
          </w:p>
        </w:tc>
        <w:tc>
          <w:tcPr>
            <w:tcW w:w="4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洗车、洗浴、以自来水为原料的纯净水生产、高尔夫球场用水等。</w:t>
            </w:r>
          </w:p>
        </w:tc>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4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9.8</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1.68</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0.12</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0.3</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11.9</w:t>
            </w:r>
          </w:p>
        </w:tc>
      </w:tr>
    </w:tbl>
    <w:p>
      <w:pPr>
        <w:pStyle w:val="2"/>
        <w:rPr>
          <w:rFonts w:ascii="仿宋_GB2312" w:hAnsi="仿宋_GB2312" w:eastAsia="仿宋_GB2312" w:cs="仿宋_GB2312"/>
          <w:sz w:val="32"/>
          <w:szCs w:val="32"/>
        </w:rPr>
        <w:sectPr>
          <w:pgSz w:w="16838" w:h="11906" w:orient="landscape"/>
          <w:pgMar w:top="1800" w:right="1440" w:bottom="1800" w:left="1440" w:header="851" w:footer="992" w:gutter="0"/>
          <w:pgNumType w:fmt="decimal"/>
          <w:cols w:space="425" w:num="1"/>
          <w:docGrid w:type="lines" w:linePitch="312" w:charSpace="0"/>
        </w:sect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spacing w:line="500" w:lineRule="exact"/>
        <w:rPr>
          <w:rFonts w:ascii="仿宋_GB2312" w:hAnsi="仿宋_GB2312" w:eastAsia="仿宋_GB2312"/>
          <w:color w:val="000000"/>
          <w:kern w:val="0"/>
          <w:sz w:val="32"/>
          <w:szCs w:val="32"/>
        </w:rPr>
      </w:pPr>
      <w:r>
        <w:rPr>
          <w:rFonts w:ascii="仿宋_GB2312" w:eastAsia="仿宋_GB2312"/>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7620</wp:posOffset>
                </wp:positionV>
                <wp:extent cx="5257800" cy="0"/>
                <wp:effectExtent l="0" t="4445" r="0" b="5080"/>
                <wp:wrapNone/>
                <wp:docPr id="6" name="直接连接符 6"/>
                <wp:cNvGraphicFramePr/>
                <a:graphic xmlns:a="http://schemas.openxmlformats.org/drawingml/2006/main">
                  <a:graphicData uri="http://schemas.microsoft.com/office/word/2010/wordprocessingShape">
                    <wps:wsp>
                      <wps:cNvCnPr/>
                      <wps:spPr>
                        <a:xfrm>
                          <a:off x="0" y="0"/>
                          <a:ext cx="52578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0.6pt;height:0pt;width:414pt;z-index:251660288;mso-width-relative:page;mso-height-relative:page;" filled="f" stroked="t" coordsize="21600,21600" o:gfxdata="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I6Ytk0QAAAAQBAAAPAAAAAAAAAAEAIAAAACIAAABkcnMvZG93bnJldi54bWxQSwECFAAU&#10;AAAACACHTuJAHj+JZvgBAADyAwAADgAAAAAAAAABACAAAAAgAQAAZHJzL2Uyb0RvYy54bWxQSwUG&#10;AAAAAAYABgBZAQAAigUAAAAA&#10;">
                <v:fill on="f" focussize="0,0"/>
                <v:stroke color="#000000" joinstyle="round"/>
                <v:imagedata o:title=""/>
                <o:lock v:ext="edit" aspectratio="f"/>
              </v:line>
            </w:pict>
          </mc:Fallback>
        </mc:AlternateContent>
      </w:r>
      <w:r>
        <w:rPr>
          <w:rFonts w:hint="eastAsia" w:ascii="仿宋_GB2312" w:hAnsi="仿宋_GB2312" w:eastAsia="仿宋_GB2312"/>
          <w:color w:val="000000"/>
          <w:kern w:val="0"/>
          <w:sz w:val="32"/>
          <w:szCs w:val="32"/>
        </w:rPr>
        <w:t>抄报：</w:t>
      </w:r>
      <w:r>
        <w:rPr>
          <w:rFonts w:ascii="仿宋_GB2312" w:eastAsia="仿宋_GB2312"/>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7620</wp:posOffset>
                </wp:positionV>
                <wp:extent cx="525780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2578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0.6pt;height:0pt;width:414pt;z-index:251661312;mso-width-relative:page;mso-height-relative:page;" filled="f" stroked="t" coordsize="21600,21600" o:gfxdata="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SOmLZNEAAAAEAQAADwAAAAAAAAABACAAAAAiAAAAZHJzL2Rvd25yZXYueG1sUEsBAhQA&#10;FAAAAAgAh07iQAFQ3vj5AQAA8gMAAA4AAAAAAAAAAQAgAAAAIAEAAGRycy9lMm9Eb2MueG1sUEsF&#10;BgAAAAAGAAYAWQEAAIsFAAAAAA==&#10;">
                <v:fill on="f" focussize="0,0"/>
                <v:stroke color="#000000" joinstyle="round"/>
                <v:imagedata o:title=""/>
                <o:lock v:ext="edit" aspectratio="f"/>
              </v:line>
            </w:pict>
          </mc:Fallback>
        </mc:AlternateContent>
      </w:r>
      <w:r>
        <w:rPr>
          <w:rFonts w:hint="eastAsia" w:ascii="仿宋_GB2312" w:hAnsi="仿宋_GB2312" w:eastAsia="仿宋_GB2312"/>
          <w:color w:val="000000"/>
          <w:kern w:val="0"/>
          <w:sz w:val="32"/>
          <w:szCs w:val="32"/>
        </w:rPr>
        <w:t>市发改委、县人民政府</w:t>
      </w:r>
    </w:p>
    <w:p>
      <w:pPr>
        <w:spacing w:line="500" w:lineRule="exact"/>
        <w:rPr>
          <w:rFonts w:ascii="仿宋_GB2312" w:hAnsi="仿宋_GB2312" w:eastAsia="仿宋_GB2312"/>
          <w:color w:val="000000"/>
          <w:kern w:val="0"/>
          <w:sz w:val="32"/>
          <w:szCs w:val="32"/>
        </w:rPr>
      </w:pPr>
      <w:r>
        <w:rPr>
          <w:rFonts w:ascii="仿宋_GB2312" w:hAnsi="仿宋_GB2312" w:eastAsia="仿宋_GB2312"/>
          <w:color w:val="000000"/>
          <w:kern w:val="0"/>
          <w:sz w:val="32"/>
          <w:szCs w:val="32"/>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53340</wp:posOffset>
                </wp:positionV>
                <wp:extent cx="5257800" cy="0"/>
                <wp:effectExtent l="0" t="4445" r="0" b="5080"/>
                <wp:wrapNone/>
                <wp:docPr id="2" name="直接连接符 2"/>
                <wp:cNvGraphicFramePr/>
                <a:graphic xmlns:a="http://schemas.openxmlformats.org/drawingml/2006/main">
                  <a:graphicData uri="http://schemas.microsoft.com/office/word/2010/wordprocessingShape">
                    <wps:wsp>
                      <wps:cNvCnPr/>
                      <wps:spPr>
                        <a:xfrm flipV="1">
                          <a:off x="0" y="0"/>
                          <a:ext cx="52578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0pt;margin-top:4.2pt;height:0pt;width:414pt;z-index:251664384;mso-width-relative:page;mso-height-relative:page;" filled="f" stroked="t" coordsize="21600,21600" o:gfxdata="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1aw9tEAAAAEAQAADwAAAAAAAAABACAAAAAiAAAAZHJzL2Rvd25yZXYueG1s&#10;UEsBAhQAFAAAAAgAh07iQPgfu/j/AQAA/AMAAA4AAAAAAAAAAQAgAAAAIAEAAGRycy9lMm9Eb2Mu&#10;eG1sUEsFBgAAAAAGAAYAWQEAAJEFAAAAAA==&#10;">
                <v:fill on="f" focussize="0,0"/>
                <v:stroke color="#000000" joinstyle="round"/>
                <v:imagedata o:title=""/>
                <o:lock v:ext="edit" aspectratio="f"/>
              </v:line>
            </w:pict>
          </mc:Fallback>
        </mc:AlternateContent>
      </w:r>
      <w:r>
        <w:rPr>
          <w:rFonts w:hint="eastAsia" w:ascii="仿宋_GB2312" w:hAnsi="仿宋_GB2312" w:eastAsia="仿宋_GB2312"/>
          <w:color w:val="000000"/>
          <w:kern w:val="0"/>
          <w:sz w:val="32"/>
          <w:szCs w:val="32"/>
        </w:rPr>
        <w:t>抄送：县</w:t>
      </w:r>
      <w:r>
        <w:rPr>
          <w:rFonts w:hint="eastAsia" w:ascii="仿宋_GB2312" w:hAnsi="仿宋_GB2312" w:eastAsia="仿宋_GB2312"/>
          <w:color w:val="000000"/>
          <w:kern w:val="0"/>
          <w:sz w:val="32"/>
          <w:szCs w:val="32"/>
          <w:lang w:eastAsia="zh-CN"/>
        </w:rPr>
        <w:t>水利局</w:t>
      </w:r>
      <w:r>
        <w:rPr>
          <w:rFonts w:hint="eastAsia" w:ascii="仿宋_GB2312" w:hAnsi="仿宋_GB2312" w:eastAsia="仿宋_GB2312"/>
          <w:color w:val="000000"/>
          <w:kern w:val="0"/>
          <w:sz w:val="32"/>
          <w:szCs w:val="32"/>
        </w:rPr>
        <w:t>、</w:t>
      </w:r>
      <w:r>
        <w:rPr>
          <w:rFonts w:hint="eastAsia" w:ascii="仿宋_GB2312" w:hAnsi="仿宋_GB2312" w:eastAsia="仿宋_GB2312"/>
          <w:color w:val="000000"/>
          <w:kern w:val="0"/>
          <w:sz w:val="32"/>
          <w:szCs w:val="32"/>
          <w:lang w:eastAsia="zh-CN"/>
        </w:rPr>
        <w:t>县财政局、</w:t>
      </w:r>
      <w:r>
        <w:rPr>
          <w:rFonts w:hint="eastAsia" w:ascii="仿宋_GB2312" w:hAnsi="仿宋_GB2312" w:eastAsia="仿宋_GB2312"/>
          <w:color w:val="000000"/>
          <w:kern w:val="0"/>
          <w:sz w:val="32"/>
          <w:szCs w:val="32"/>
        </w:rPr>
        <w:t>县市场监督管理局</w:t>
      </w:r>
    </w:p>
    <w:p>
      <w:pPr>
        <w:spacing w:line="500" w:lineRule="exact"/>
        <w:rPr>
          <w:rFonts w:ascii="仿宋_GB2312" w:hAnsi="仿宋_GB2312" w:eastAsia="仿宋_GB2312" w:cs="仿宋_GB2312"/>
          <w:sz w:val="32"/>
          <w:szCs w:val="32"/>
        </w:rPr>
      </w:pPr>
      <w:r>
        <w:rPr>
          <w:sz w:val="32"/>
          <w:szCs w:val="32"/>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7620</wp:posOffset>
                </wp:positionV>
                <wp:extent cx="5257800" cy="0"/>
                <wp:effectExtent l="0" t="4445" r="0" b="5080"/>
                <wp:wrapNone/>
                <wp:docPr id="1" name="直接连接符 1"/>
                <wp:cNvGraphicFramePr/>
                <a:graphic xmlns:a="http://schemas.openxmlformats.org/drawingml/2006/main">
                  <a:graphicData uri="http://schemas.microsoft.com/office/word/2010/wordprocessingShape">
                    <wps:wsp>
                      <wps:cNvCnPr/>
                      <wps:spPr>
                        <a:xfrm>
                          <a:off x="0" y="0"/>
                          <a:ext cx="52578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0.6pt;height:0pt;width:414pt;z-index:251663360;mso-width-relative:page;mso-height-relative:page;" filled="f" stroked="t" coordsize="21600,21600" o:gfxdata="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I6Ytk0QAAAAQBAAAPAAAAAAAAAAEAIAAAACIAAABkcnMvZG93bnJldi54bWxQSwECFAAU&#10;AAAACACHTuJA0bySvfgBAADyAwAADgAAAAAAAAABACAAAAAgAQAAZHJzL2Uyb0RvYy54bWxQSwUG&#10;AAAAAAYABgBZAQAAigUAAAAA&#10;">
                <v:fill on="f" focussize="0,0"/>
                <v:stroke color="#000000" joinstyle="round"/>
                <v:imagedata o:title=""/>
                <o:lock v:ext="edit" aspectratio="f"/>
              </v:line>
            </w:pict>
          </mc:Fallback>
        </mc:AlternateContent>
      </w:r>
      <w:r>
        <w:rPr>
          <w:sz w:val="32"/>
          <w:szCs w:val="3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361950</wp:posOffset>
                </wp:positionV>
                <wp:extent cx="5257800" cy="0"/>
                <wp:effectExtent l="0" t="4445" r="0" b="5080"/>
                <wp:wrapNone/>
                <wp:docPr id="5" name="直接连接符 5"/>
                <wp:cNvGraphicFramePr/>
                <a:graphic xmlns:a="http://schemas.openxmlformats.org/drawingml/2006/main">
                  <a:graphicData uri="http://schemas.microsoft.com/office/word/2010/wordprocessingShape">
                    <wps:wsp>
                      <wps:cNvCnPr/>
                      <wps:spPr>
                        <a:xfrm>
                          <a:off x="0" y="0"/>
                          <a:ext cx="52578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28.5pt;height:0pt;width:414pt;z-index:251662336;mso-width-relative:page;mso-height-relative:page;" filled="f" stroked="t" coordsize="21600,21600" o:gfxdata="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AqmFPTAAAABgEAAA8AAAAAAAAAAQAgAAAAIgAAAGRycy9kb3ducmV2LnhtbFBLAQIU&#10;ABQAAAAIAIdO4kCuZE1a+AEAAPIDAAAOAAAAAAAAAAEAIAAAACIBAABkcnMvZTJvRG9jLnhtbFBL&#10;BQYAAAAABgAGAFkBAACMBQAAAAA=&#10;">
                <v:fill on="f" focussize="0,0"/>
                <v:stroke color="#000000" joinstyle="round"/>
                <v:imagedata o:title=""/>
                <o:lock v:ext="edit" aspectratio="f"/>
              </v:line>
            </w:pict>
          </mc:Fallback>
        </mc:AlternateContent>
      </w:r>
      <w:r>
        <w:rPr>
          <w:rFonts w:hint="eastAsia" w:ascii="仿宋_GB2312" w:eastAsia="仿宋_GB2312"/>
          <w:sz w:val="32"/>
          <w:szCs w:val="32"/>
        </w:rPr>
        <w:t xml:space="preserve">湘潭县发展和改革局办公室         </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3</w:t>
      </w:r>
      <w:r>
        <w:rPr>
          <w:rFonts w:hint="eastAsia" w:ascii="仿宋_GB2312" w:eastAsia="仿宋_GB2312"/>
          <w:sz w:val="32"/>
          <w:szCs w:val="32"/>
        </w:rPr>
        <w:t>年</w:t>
      </w:r>
      <w:r>
        <w:rPr>
          <w:rFonts w:hint="eastAsia" w:ascii="Times New Roman" w:hAnsi="Times New Roman" w:eastAsia="仿宋_GB2312" w:cs="Times New Roman"/>
          <w:sz w:val="32"/>
          <w:szCs w:val="32"/>
          <w:lang w:val="en-US" w:eastAsia="zh-CN"/>
        </w:rPr>
        <w:t>7</w:t>
      </w:r>
      <w:r>
        <w:rPr>
          <w:rFonts w:hint="eastAsia" w:ascii="仿宋_GB2312" w:eastAsia="仿宋_GB2312"/>
          <w:sz w:val="32"/>
          <w:szCs w:val="32"/>
        </w:rPr>
        <w:t>月</w:t>
      </w:r>
      <w:r>
        <w:rPr>
          <w:rFonts w:hint="eastAsia" w:ascii="Times New Roman" w:hAnsi="Times New Roman" w:eastAsia="仿宋_GB2312" w:cs="Times New Roman"/>
          <w:sz w:val="32"/>
          <w:szCs w:val="32"/>
          <w:lang w:val="en-US" w:eastAsia="zh-CN"/>
        </w:rPr>
        <w:t>25</w:t>
      </w:r>
      <w:r>
        <w:rPr>
          <w:rFonts w:hint="eastAsia" w:ascii="仿宋_GB2312" w:eastAsia="仿宋_GB2312"/>
          <w:sz w:val="32"/>
          <w:szCs w:val="32"/>
        </w:rPr>
        <w:t>日印发</w:t>
      </w:r>
    </w:p>
    <w:p>
      <w:pPr>
        <w:pStyle w:val="2"/>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ˎ̥">
    <w:altName w:val="微软雅黑"/>
    <w:panose1 w:val="00000000000000000000"/>
    <w:charset w:val="00"/>
    <w:family w:val="roman"/>
    <w:pitch w:val="default"/>
    <w:sig w:usb0="00000000" w:usb1="00000000" w:usb2="00000000"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大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Batang">
    <w:panose1 w:val="02030600000101010101"/>
    <w:charset w:val="81"/>
    <w:family w:val="roman"/>
    <w:pitch w:val="default"/>
    <w:sig w:usb0="B00002AF" w:usb1="69D77CFB" w:usb2="00000030" w:usb3="00000000" w:csb0="4008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pPr>
                      <w:pStyle w:val="6"/>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3MTcwMmQ0MzE4YWY0ODlmZDM0NTZlNWQ2NWZiZTYifQ=="/>
  </w:docVars>
  <w:rsids>
    <w:rsidRoot w:val="00000000"/>
    <w:rsid w:val="001D739B"/>
    <w:rsid w:val="03192A63"/>
    <w:rsid w:val="035A75BB"/>
    <w:rsid w:val="04161698"/>
    <w:rsid w:val="043936EA"/>
    <w:rsid w:val="04431F23"/>
    <w:rsid w:val="050D2604"/>
    <w:rsid w:val="05E41769"/>
    <w:rsid w:val="063B3638"/>
    <w:rsid w:val="06F347DF"/>
    <w:rsid w:val="080D2DB2"/>
    <w:rsid w:val="08607386"/>
    <w:rsid w:val="08BF0AD6"/>
    <w:rsid w:val="097E3F67"/>
    <w:rsid w:val="098A46BA"/>
    <w:rsid w:val="0A00497C"/>
    <w:rsid w:val="0B5A3DE6"/>
    <w:rsid w:val="0B853EAD"/>
    <w:rsid w:val="0C37664F"/>
    <w:rsid w:val="0C963376"/>
    <w:rsid w:val="0CDE22C1"/>
    <w:rsid w:val="0CE560AB"/>
    <w:rsid w:val="0D103128"/>
    <w:rsid w:val="0D197B03"/>
    <w:rsid w:val="0D955F3D"/>
    <w:rsid w:val="0DDC125D"/>
    <w:rsid w:val="0E2A1FC8"/>
    <w:rsid w:val="0EAA7B2C"/>
    <w:rsid w:val="0F917E25"/>
    <w:rsid w:val="100F5919"/>
    <w:rsid w:val="11063FEA"/>
    <w:rsid w:val="118C0A0B"/>
    <w:rsid w:val="124E6A14"/>
    <w:rsid w:val="12D81484"/>
    <w:rsid w:val="14515DD5"/>
    <w:rsid w:val="14850E37"/>
    <w:rsid w:val="14F0383F"/>
    <w:rsid w:val="15107A3E"/>
    <w:rsid w:val="152E4A94"/>
    <w:rsid w:val="15A308B2"/>
    <w:rsid w:val="173E0892"/>
    <w:rsid w:val="18FE652B"/>
    <w:rsid w:val="19F26D9F"/>
    <w:rsid w:val="1BBE4697"/>
    <w:rsid w:val="1F2B3DF2"/>
    <w:rsid w:val="1FB042F7"/>
    <w:rsid w:val="207D68CF"/>
    <w:rsid w:val="20DD55C0"/>
    <w:rsid w:val="210D14B1"/>
    <w:rsid w:val="215869F4"/>
    <w:rsid w:val="228201CD"/>
    <w:rsid w:val="23A979DB"/>
    <w:rsid w:val="23E97DD8"/>
    <w:rsid w:val="240F6DE3"/>
    <w:rsid w:val="246A0F18"/>
    <w:rsid w:val="247824C4"/>
    <w:rsid w:val="24D64800"/>
    <w:rsid w:val="254A7F9C"/>
    <w:rsid w:val="25950217"/>
    <w:rsid w:val="27C46B92"/>
    <w:rsid w:val="27FF5E1C"/>
    <w:rsid w:val="28E55011"/>
    <w:rsid w:val="2A3A75DF"/>
    <w:rsid w:val="2A7A5C2D"/>
    <w:rsid w:val="2B6D185F"/>
    <w:rsid w:val="2B775096"/>
    <w:rsid w:val="2D7B4196"/>
    <w:rsid w:val="2D994BDD"/>
    <w:rsid w:val="2EB76961"/>
    <w:rsid w:val="2F3B37D1"/>
    <w:rsid w:val="2F7B0170"/>
    <w:rsid w:val="31F6203D"/>
    <w:rsid w:val="32146967"/>
    <w:rsid w:val="327F2033"/>
    <w:rsid w:val="34F5482E"/>
    <w:rsid w:val="35527ED3"/>
    <w:rsid w:val="355377A7"/>
    <w:rsid w:val="36BA5D2F"/>
    <w:rsid w:val="36C37687"/>
    <w:rsid w:val="36FA437E"/>
    <w:rsid w:val="382611A3"/>
    <w:rsid w:val="392B553E"/>
    <w:rsid w:val="39D709A6"/>
    <w:rsid w:val="39F94DC1"/>
    <w:rsid w:val="3A4A561C"/>
    <w:rsid w:val="3AEE244B"/>
    <w:rsid w:val="3BC211E2"/>
    <w:rsid w:val="3CE21CB3"/>
    <w:rsid w:val="3D070F00"/>
    <w:rsid w:val="3D9B47A9"/>
    <w:rsid w:val="3E077DD2"/>
    <w:rsid w:val="3F5465F5"/>
    <w:rsid w:val="403E177F"/>
    <w:rsid w:val="40C1415E"/>
    <w:rsid w:val="415F74F0"/>
    <w:rsid w:val="41886A2A"/>
    <w:rsid w:val="420419EC"/>
    <w:rsid w:val="431E31A2"/>
    <w:rsid w:val="43CE77CA"/>
    <w:rsid w:val="43FD36FF"/>
    <w:rsid w:val="44B26C00"/>
    <w:rsid w:val="44C67F95"/>
    <w:rsid w:val="458C1F00"/>
    <w:rsid w:val="45B744BE"/>
    <w:rsid w:val="45D34824"/>
    <w:rsid w:val="473236C0"/>
    <w:rsid w:val="480037BE"/>
    <w:rsid w:val="482963CC"/>
    <w:rsid w:val="4974451A"/>
    <w:rsid w:val="4A834233"/>
    <w:rsid w:val="4AF3760A"/>
    <w:rsid w:val="4B054C48"/>
    <w:rsid w:val="4B0F395C"/>
    <w:rsid w:val="4B2C0426"/>
    <w:rsid w:val="4B647BC0"/>
    <w:rsid w:val="4BB24DCF"/>
    <w:rsid w:val="4C0B44E0"/>
    <w:rsid w:val="4C2841B0"/>
    <w:rsid w:val="4C327CBE"/>
    <w:rsid w:val="4CA071DE"/>
    <w:rsid w:val="4CC4300C"/>
    <w:rsid w:val="4D550108"/>
    <w:rsid w:val="4EB64BD7"/>
    <w:rsid w:val="4F4C1097"/>
    <w:rsid w:val="501F0559"/>
    <w:rsid w:val="50CA60D9"/>
    <w:rsid w:val="50D457E8"/>
    <w:rsid w:val="51A54405"/>
    <w:rsid w:val="51FA302C"/>
    <w:rsid w:val="52E635B0"/>
    <w:rsid w:val="532A16EF"/>
    <w:rsid w:val="53310CD0"/>
    <w:rsid w:val="55777CC8"/>
    <w:rsid w:val="557B44E2"/>
    <w:rsid w:val="5599244D"/>
    <w:rsid w:val="55D10548"/>
    <w:rsid w:val="56244B1C"/>
    <w:rsid w:val="573D690C"/>
    <w:rsid w:val="576C0528"/>
    <w:rsid w:val="57E427B4"/>
    <w:rsid w:val="5A6279C1"/>
    <w:rsid w:val="5A6D2D52"/>
    <w:rsid w:val="5B08233D"/>
    <w:rsid w:val="5B280C0A"/>
    <w:rsid w:val="5B950EA3"/>
    <w:rsid w:val="5CBA7F88"/>
    <w:rsid w:val="5CDD77D2"/>
    <w:rsid w:val="5E14191A"/>
    <w:rsid w:val="609D05B0"/>
    <w:rsid w:val="62D5340D"/>
    <w:rsid w:val="63316ACA"/>
    <w:rsid w:val="63657D13"/>
    <w:rsid w:val="637E1B0A"/>
    <w:rsid w:val="64175CC0"/>
    <w:rsid w:val="65BA2DA7"/>
    <w:rsid w:val="66660838"/>
    <w:rsid w:val="66D460EA"/>
    <w:rsid w:val="6707201B"/>
    <w:rsid w:val="673A6AC4"/>
    <w:rsid w:val="67AD767C"/>
    <w:rsid w:val="68DC276A"/>
    <w:rsid w:val="6AD90E93"/>
    <w:rsid w:val="6B362ECF"/>
    <w:rsid w:val="6BBC7DF7"/>
    <w:rsid w:val="6C5775A1"/>
    <w:rsid w:val="6D212753"/>
    <w:rsid w:val="6D5664C0"/>
    <w:rsid w:val="6E0B6815"/>
    <w:rsid w:val="70A04271"/>
    <w:rsid w:val="71DD22F7"/>
    <w:rsid w:val="72222A39"/>
    <w:rsid w:val="724F0D1A"/>
    <w:rsid w:val="73467A28"/>
    <w:rsid w:val="756D3991"/>
    <w:rsid w:val="75D02172"/>
    <w:rsid w:val="786F38B1"/>
    <w:rsid w:val="78CC4062"/>
    <w:rsid w:val="7A714CFA"/>
    <w:rsid w:val="7C756F0E"/>
    <w:rsid w:val="7CD442F6"/>
    <w:rsid w:val="7D831C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paragraph" w:styleId="5">
    <w:name w:val="heading 6"/>
    <w:basedOn w:val="1"/>
    <w:next w:val="1"/>
    <w:semiHidden/>
    <w:unhideWhenUsed/>
    <w:qFormat/>
    <w:uiPriority w:val="0"/>
    <w:pPr>
      <w:spacing w:before="0" w:beforeAutospacing="1" w:after="0" w:afterAutospacing="1"/>
      <w:jc w:val="left"/>
    </w:pPr>
    <w:rPr>
      <w:rFonts w:hint="eastAsia" w:ascii="宋体" w:hAnsi="宋体" w:eastAsia="宋体" w:cs="宋体"/>
      <w:b/>
      <w:kern w:val="0"/>
      <w:sz w:val="15"/>
      <w:szCs w:val="15"/>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endnote text"/>
    <w:basedOn w:val="1"/>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1">
    <w:name w:val="font21"/>
    <w:basedOn w:val="10"/>
    <w:qFormat/>
    <w:uiPriority w:val="0"/>
    <w:rPr>
      <w:rFonts w:hint="eastAsia" w:ascii="仿宋_GB2312" w:eastAsia="仿宋_GB2312" w:cs="仿宋_GB2312"/>
      <w:color w:val="000000"/>
      <w:sz w:val="30"/>
      <w:szCs w:val="3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1923</Words>
  <Characters>2081</Characters>
  <Lines>0</Lines>
  <Paragraphs>0</Paragraphs>
  <TotalTime>24</TotalTime>
  <ScaleCrop>false</ScaleCrop>
  <LinksUpToDate>false</LinksUpToDate>
  <CharactersWithSpaces>2088</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pc</dc:creator>
  <cp:lastModifiedBy>WPS_1689293562</cp:lastModifiedBy>
  <cp:lastPrinted>2023-07-24T08:21:11Z</cp:lastPrinted>
  <dcterms:modified xsi:type="dcterms:W3CDTF">2023-07-24T08:21:50Z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B181D08E4D694A1EA6D875891FCD5251_13</vt:lpwstr>
  </property>
</Properties>
</file>