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jc w:val="center"/>
        <w:rPr>
          <w:rFonts w:hint="eastAsia" w:ascii="黑体" w:hAnsi="黑体" w:eastAsia="黑体" w:cs="黑体"/>
          <w:b/>
          <w:bCs/>
          <w:sz w:val="36"/>
          <w:szCs w:val="36"/>
        </w:rPr>
      </w:pPr>
      <w:r>
        <w:rPr>
          <w:rFonts w:hint="eastAsia" w:ascii="黑体" w:hAnsi="黑体" w:eastAsia="黑体" w:cs="黑体"/>
          <w:b/>
          <w:bCs/>
          <w:sz w:val="36"/>
          <w:szCs w:val="36"/>
        </w:rPr>
        <w:t>202</w:t>
      </w:r>
      <w:r>
        <w:rPr>
          <w:rFonts w:hint="eastAsia" w:ascii="黑体" w:hAnsi="黑体" w:eastAsia="黑体" w:cs="黑体"/>
          <w:b/>
          <w:bCs/>
          <w:sz w:val="36"/>
          <w:szCs w:val="36"/>
          <w:lang w:val="en-US" w:eastAsia="zh-CN"/>
        </w:rPr>
        <w:t>2</w:t>
      </w:r>
      <w:r>
        <w:rPr>
          <w:rFonts w:hint="eastAsia" w:ascii="黑体" w:hAnsi="黑体" w:eastAsia="黑体" w:cs="黑体"/>
          <w:b/>
          <w:bCs/>
          <w:sz w:val="36"/>
          <w:szCs w:val="36"/>
        </w:rPr>
        <w:t>年度</w:t>
      </w:r>
      <w:r>
        <w:rPr>
          <w:rFonts w:hint="eastAsia" w:ascii="黑体" w:hAnsi="黑体" w:eastAsia="黑体" w:cs="黑体"/>
          <w:b/>
          <w:bCs/>
          <w:sz w:val="36"/>
          <w:szCs w:val="36"/>
          <w:lang w:eastAsia="zh-CN"/>
        </w:rPr>
        <w:t>农业农村局</w:t>
      </w:r>
      <w:r>
        <w:rPr>
          <w:rFonts w:hint="eastAsia" w:ascii="黑体" w:hAnsi="黑体" w:eastAsia="黑体" w:cs="黑体"/>
          <w:b/>
          <w:bCs/>
          <w:sz w:val="36"/>
          <w:szCs w:val="36"/>
        </w:rPr>
        <w:t>部门决算</w:t>
      </w:r>
    </w:p>
    <w:p>
      <w:pPr>
        <w:pStyle w:val="21"/>
        <w:spacing w:line="500" w:lineRule="exact"/>
        <w:jc w:val="center"/>
        <w:rPr>
          <w:rFonts w:cs="Times New Roman"/>
          <w:b/>
          <w:bCs/>
          <w:sz w:val="36"/>
          <w:szCs w:val="36"/>
        </w:rPr>
      </w:pPr>
      <w:r>
        <w:rPr>
          <w:rFonts w:hint="eastAsia"/>
          <w:b/>
          <w:bCs/>
          <w:sz w:val="36"/>
          <w:szCs w:val="36"/>
        </w:rPr>
        <w:t>目录</w:t>
      </w:r>
    </w:p>
    <w:p>
      <w:pPr>
        <w:pStyle w:val="2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农业农村局</w:t>
      </w:r>
      <w:r>
        <w:rPr>
          <w:rFonts w:hint="eastAsia"/>
          <w:b/>
          <w:bCs/>
          <w:sz w:val="28"/>
          <w:szCs w:val="28"/>
        </w:rPr>
        <w:t>单位概况</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21"/>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21"/>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年度部门决算情况说明</w:t>
      </w:r>
    </w:p>
    <w:p>
      <w:pPr>
        <w:pStyle w:val="2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二、收入决算情况说明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三、支出决算情况说明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四、财政拨款收入支出决算总体情况说明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五、一般公共预算财政拨款支出决算情况说明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六、一般公共预算财政拨款基本支出决算情况说明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七、一般公共预算财政拨款三公经费支出决算情况说明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八、政府性基金预算收入支出决算情况</w:t>
      </w:r>
    </w:p>
    <w:p>
      <w:pPr>
        <w:pStyle w:val="21"/>
        <w:spacing w:line="460" w:lineRule="exact"/>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九、国有资本经营预算财政拨款支出决算情况</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lang w:eastAsia="zh-CN"/>
        </w:rPr>
        <w:t>十、</w:t>
      </w:r>
      <w:r>
        <w:rPr>
          <w:rFonts w:hint="eastAsia" w:ascii="宋体" w:hAnsi="宋体" w:eastAsia="宋体" w:cs="宋体"/>
          <w:sz w:val="28"/>
          <w:szCs w:val="28"/>
        </w:rPr>
        <w:t>关于机关运行经费支出说明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十一、一般性支出情况</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lang w:eastAsia="zh-CN"/>
        </w:rPr>
        <w:t>十二、</w:t>
      </w:r>
      <w:r>
        <w:rPr>
          <w:rFonts w:hint="eastAsia" w:ascii="宋体" w:hAnsi="宋体" w:eastAsia="宋体" w:cs="宋体"/>
          <w:sz w:val="28"/>
          <w:szCs w:val="28"/>
        </w:rPr>
        <w:t>关于政府采购支出说明</w:t>
      </w:r>
    </w:p>
    <w:p>
      <w:pPr>
        <w:pStyle w:val="21"/>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十</w:t>
      </w:r>
      <w:r>
        <w:rPr>
          <w:rFonts w:hint="eastAsia" w:ascii="宋体" w:hAnsi="宋体" w:eastAsia="宋体" w:cs="宋体"/>
          <w:sz w:val="28"/>
          <w:szCs w:val="28"/>
          <w:lang w:eastAsia="zh-CN"/>
        </w:rPr>
        <w:t>三</w:t>
      </w:r>
      <w:r>
        <w:rPr>
          <w:rFonts w:hint="eastAsia" w:ascii="宋体" w:hAnsi="宋体" w:eastAsia="宋体" w:cs="宋体"/>
          <w:sz w:val="28"/>
          <w:szCs w:val="28"/>
        </w:rPr>
        <w:t>、关于国有资产占用情况说明</w:t>
      </w:r>
    </w:p>
    <w:p>
      <w:pPr>
        <w:pStyle w:val="21"/>
        <w:spacing w:line="460" w:lineRule="exact"/>
        <w:ind w:firstLine="700" w:firstLineChars="25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十四、关于2022年度预算绩效情况的说明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t>第五部分附件</w:t>
      </w:r>
    </w:p>
    <w:p>
      <w:pPr>
        <w:autoSpaceDE w:val="0"/>
        <w:autoSpaceDN w:val="0"/>
        <w:adjustRightInd w:val="0"/>
        <w:spacing w:line="460" w:lineRule="exact"/>
        <w:jc w:val="center"/>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第一部分 农业农村局单位概况</w:t>
      </w:r>
    </w:p>
    <w:p>
      <w:pPr>
        <w:pStyle w:val="22"/>
        <w:numPr>
          <w:ilvl w:val="0"/>
          <w:numId w:val="1"/>
        </w:numPr>
        <w:ind w:firstLineChars="0"/>
        <w:jc w:val="left"/>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部门职责</w:t>
      </w:r>
    </w:p>
    <w:p>
      <w:pPr>
        <w:widowControl/>
        <w:shd w:val="clear" w:color="auto" w:fill="FFFFFF"/>
        <w:spacing w:line="400" w:lineRule="exact"/>
        <w:ind w:firstLine="480"/>
        <w:rPr>
          <w:rFonts w:ascii="仿宋" w:hAnsi="仿宋" w:eastAsia="仿宋" w:cs="宋体"/>
          <w:b/>
          <w:color w:val="auto"/>
          <w:kern w:val="0"/>
          <w:sz w:val="30"/>
          <w:szCs w:val="30"/>
          <w:highlight w:val="none"/>
        </w:rPr>
      </w:pPr>
      <w:r>
        <w:rPr>
          <w:rFonts w:hint="eastAsia" w:ascii="仿宋" w:hAnsi="仿宋" w:eastAsia="仿宋" w:cs="宋体"/>
          <w:b/>
          <w:color w:val="auto"/>
          <w:kern w:val="0"/>
          <w:sz w:val="30"/>
          <w:szCs w:val="30"/>
          <w:highlight w:val="none"/>
        </w:rPr>
        <w:t>（一）</w:t>
      </w:r>
      <w:r>
        <w:rPr>
          <w:rFonts w:ascii="仿宋" w:hAnsi="仿宋" w:eastAsia="仿宋" w:cs="宋体"/>
          <w:b/>
          <w:color w:val="auto"/>
          <w:kern w:val="0"/>
          <w:sz w:val="30"/>
          <w:szCs w:val="30"/>
          <w:highlight w:val="none"/>
        </w:rPr>
        <w:t>主要工作职能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1、拟订全县农业农村工作的发展中长期规划并指导实施。负责全县农业综合执法，推进农业依法行政。提出有关农产品，农业财政补贴及农业产业保护的政策建议，参与制定相关政策。</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2、统筹推动发展农村社会事业、农村公共服务、农村文化、农村基础设施和乡村治理。牵头组织改善农村人居环境。指导农村精神文明和优秀农耕文化建设。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3、贯彻执行党和国家扶贫开发工作方针、政策，负责拟定全县扶贫开发工作的政策和发展规划；负责组织、协调、指导全县精准扶贫工作，协调安排扶贫资金，并检查、监督使用情况。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4、研究提出深化农村经济体制改革和巩固完善农村基本经营制度的建议。负责农村宅基地改革和管理有关工作。指导农民合作经济组织、农业社会化服务体系、新型农业经营主体建设与发展。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6、负责全县种植业、畜牧业、渔业、农业机械化等农业各产业的监督管理。指导粮食等农产品生产。组织构建现代农业产业体系、生产体系、经营体系，指导农业标准化生产。负责渔政渔港监督管理。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10、负责农业防灾减灾、农作物重大病虫害防治工作。指导动植物防疫检疫体系建设，组织、监督县内动植物防疫检疫工作，并组织疫情扑灭。</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13、统一领导和管理所属的湘</w:t>
      </w:r>
      <w:r>
        <w:rPr>
          <w:rFonts w:hint="eastAsia" w:ascii="仿宋" w:hAnsi="仿宋" w:eastAsia="仿宋" w:cstheme="minorBidi"/>
          <w:sz w:val="28"/>
          <w:szCs w:val="28"/>
          <w:highlight w:val="none"/>
          <w:shd w:val="clear" w:color="auto" w:fill="auto"/>
          <w:lang w:eastAsia="zh-CN"/>
        </w:rPr>
        <w:t>潭县乡村振兴事务</w:t>
      </w:r>
      <w:r>
        <w:rPr>
          <w:rFonts w:hint="eastAsia" w:ascii="仿宋" w:hAnsi="仿宋" w:eastAsia="仿宋" w:cstheme="minorBidi"/>
          <w:sz w:val="28"/>
          <w:szCs w:val="28"/>
          <w:highlight w:val="none"/>
          <w:shd w:val="clear" w:color="auto" w:fill="auto"/>
        </w:rPr>
        <w:t>中心、湘潭县农业发展服务中心。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14、完成县委、县政府交办的其他任务。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15、职能转变。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16、有关职责分工另行规定。</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480"/>
        <w:textAlignment w:val="auto"/>
        <w:rPr>
          <w:rFonts w:ascii="仿宋" w:hAnsi="仿宋" w:eastAsia="仿宋" w:cs="宋体"/>
          <w:b/>
          <w:color w:val="auto"/>
          <w:kern w:val="0"/>
          <w:sz w:val="30"/>
          <w:szCs w:val="30"/>
          <w:highlight w:val="none"/>
        </w:rPr>
      </w:pPr>
      <w:r>
        <w:rPr>
          <w:rFonts w:hint="eastAsia" w:ascii="仿宋" w:hAnsi="仿宋" w:eastAsia="仿宋" w:cs="宋体"/>
          <w:b/>
          <w:color w:val="auto"/>
          <w:kern w:val="0"/>
          <w:sz w:val="30"/>
          <w:szCs w:val="30"/>
          <w:highlight w:val="none"/>
        </w:rPr>
        <w:t>（二）</w:t>
      </w:r>
      <w:r>
        <w:rPr>
          <w:rFonts w:ascii="仿宋" w:hAnsi="仿宋" w:eastAsia="仿宋" w:cs="宋体"/>
          <w:b/>
          <w:color w:val="auto"/>
          <w:kern w:val="0"/>
          <w:sz w:val="30"/>
          <w:szCs w:val="30"/>
          <w:highlight w:val="none"/>
        </w:rPr>
        <w:t>机构设置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湘潭县农业农村局是由原湘潭县农业局经过机构合并组成，现共有内设股室15个: 办公室、人事股、法规股、发展计划股、财务审计股、乡村产业发展办公室、农村社会事业促进股、农业资源保护与利用股、农产品质量安全监管股、畜牧水产股、兽医股、农业机械管理股、种植业管理股、扶贫开发股、政策改革</w:t>
      </w:r>
      <w:bookmarkStart w:id="3" w:name="_GoBack"/>
      <w:bookmarkEnd w:id="3"/>
      <w:r>
        <w:rPr>
          <w:rFonts w:hint="eastAsia" w:ascii="仿宋" w:hAnsi="仿宋" w:eastAsia="仿宋" w:cstheme="minorBidi"/>
          <w:sz w:val="28"/>
          <w:szCs w:val="28"/>
          <w:highlight w:val="none"/>
          <w:shd w:val="clear" w:color="auto" w:fill="auto"/>
        </w:rPr>
        <w:t>股；下属二级机构12个，湘潭县农业科技教育推广服务站、湘潭县畜牧兽医水产技术推广服务中心、湘潭县农机技术推广服务中心、湘潭县种植技术推广服务中心、湘潭县农业综合行政执法大队、湘潭县湘莲发展中心、湘潭县农业产业化发展中心、湘潭县动物疫病预防控制中心、湘潭县农业生态资源监测站、湘潭县农作物病虫害测报站、湘潭县种业发展服务中心、湘潭县水生动物防疫检疫监督站。</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现有编制人数 219人，实有人数 20</w:t>
      </w:r>
      <w:r>
        <w:rPr>
          <w:rFonts w:hint="eastAsia" w:ascii="仿宋" w:hAnsi="仿宋" w:eastAsia="仿宋" w:cstheme="minorBidi"/>
          <w:sz w:val="28"/>
          <w:szCs w:val="28"/>
          <w:highlight w:val="none"/>
          <w:shd w:val="clear" w:color="auto" w:fill="auto"/>
          <w:lang w:val="en-US" w:eastAsia="zh-CN"/>
        </w:rPr>
        <w:t>6</w:t>
      </w:r>
      <w:r>
        <w:rPr>
          <w:rFonts w:hint="eastAsia" w:ascii="仿宋" w:hAnsi="仿宋" w:eastAsia="仿宋" w:cstheme="minorBidi"/>
          <w:sz w:val="28"/>
          <w:szCs w:val="28"/>
          <w:highlight w:val="none"/>
          <w:shd w:val="clear" w:color="auto" w:fill="auto"/>
        </w:rPr>
        <w:t>人（其中统发人员 15</w:t>
      </w:r>
      <w:r>
        <w:rPr>
          <w:rFonts w:hint="eastAsia" w:ascii="仿宋" w:hAnsi="仿宋" w:eastAsia="仿宋" w:cstheme="minorBidi"/>
          <w:sz w:val="28"/>
          <w:szCs w:val="28"/>
          <w:highlight w:val="none"/>
          <w:shd w:val="clear" w:color="auto" w:fill="auto"/>
          <w:lang w:val="en-US" w:eastAsia="zh-CN"/>
        </w:rPr>
        <w:t>9</w:t>
      </w:r>
      <w:r>
        <w:rPr>
          <w:rFonts w:hint="eastAsia" w:ascii="仿宋" w:hAnsi="仿宋" w:eastAsia="仿宋" w:cstheme="minorBidi"/>
          <w:sz w:val="28"/>
          <w:szCs w:val="28"/>
          <w:highlight w:val="none"/>
          <w:shd w:val="clear" w:color="auto" w:fill="auto"/>
        </w:rPr>
        <w:t xml:space="preserve">人，非统发全额拨款人员 </w:t>
      </w:r>
      <w:r>
        <w:rPr>
          <w:rFonts w:hint="eastAsia" w:ascii="仿宋" w:hAnsi="仿宋" w:eastAsia="仿宋" w:cstheme="minorBidi"/>
          <w:sz w:val="28"/>
          <w:szCs w:val="28"/>
          <w:highlight w:val="none"/>
          <w:shd w:val="clear" w:color="auto" w:fill="auto"/>
          <w:lang w:val="en-US" w:eastAsia="zh-CN"/>
        </w:rPr>
        <w:t>13</w:t>
      </w:r>
      <w:r>
        <w:rPr>
          <w:rFonts w:hint="eastAsia" w:ascii="仿宋" w:hAnsi="仿宋" w:eastAsia="仿宋" w:cstheme="minorBidi"/>
          <w:sz w:val="28"/>
          <w:szCs w:val="28"/>
          <w:highlight w:val="none"/>
          <w:shd w:val="clear" w:color="auto" w:fill="auto"/>
        </w:rPr>
        <w:t>人，非统发</w:t>
      </w:r>
      <w:r>
        <w:rPr>
          <w:rFonts w:hint="eastAsia" w:ascii="仿宋" w:hAnsi="仿宋" w:eastAsia="仿宋" w:cstheme="minorBidi"/>
          <w:sz w:val="28"/>
          <w:szCs w:val="28"/>
          <w:highlight w:val="none"/>
          <w:shd w:val="clear" w:color="auto" w:fill="auto"/>
          <w:lang w:eastAsia="zh-CN"/>
        </w:rPr>
        <w:t>差</w:t>
      </w:r>
      <w:r>
        <w:rPr>
          <w:rFonts w:hint="eastAsia" w:ascii="仿宋" w:hAnsi="仿宋" w:eastAsia="仿宋" w:cstheme="minorBidi"/>
          <w:sz w:val="28"/>
          <w:szCs w:val="28"/>
          <w:highlight w:val="none"/>
          <w:shd w:val="clear" w:color="auto" w:fill="auto"/>
        </w:rPr>
        <w:t>额拨款人员</w:t>
      </w:r>
      <w:r>
        <w:rPr>
          <w:rFonts w:hint="eastAsia" w:ascii="仿宋" w:hAnsi="仿宋" w:eastAsia="仿宋" w:cstheme="minorBidi"/>
          <w:sz w:val="28"/>
          <w:szCs w:val="28"/>
          <w:highlight w:val="none"/>
          <w:shd w:val="clear" w:color="auto" w:fill="auto"/>
          <w:lang w:val="en-US" w:eastAsia="zh-CN"/>
        </w:rPr>
        <w:t>32</w:t>
      </w:r>
      <w:r>
        <w:rPr>
          <w:rFonts w:hint="eastAsia" w:ascii="仿宋" w:hAnsi="仿宋" w:eastAsia="仿宋" w:cstheme="minorBidi"/>
          <w:sz w:val="28"/>
          <w:szCs w:val="28"/>
          <w:highlight w:val="none"/>
          <w:shd w:val="clear" w:color="auto" w:fill="auto"/>
        </w:rPr>
        <w:t>人，非统发自收自支人员2人），另有人事代理人员 8人、劳务派遣32人(含乡镇特聘动物防疫专员20人),借调4人，双定补助5人，遗属补助13人，退休人员211人，提前退休人员1人。车辆编制数4辆，实有4辆（执法执勤车辆）。</w:t>
      </w:r>
    </w:p>
    <w:p>
      <w:pPr>
        <w:widowControl/>
        <w:spacing w:line="600" w:lineRule="exact"/>
        <w:rPr>
          <w:rFonts w:ascii="黑体" w:hAnsi="黑体" w:eastAsia="黑体" w:cs="Times New Roman"/>
          <w:kern w:val="0"/>
          <w:sz w:val="30"/>
          <w:szCs w:val="30"/>
        </w:rPr>
      </w:pPr>
      <w:r>
        <w:rPr>
          <w:rFonts w:hint="eastAsia" w:ascii="黑体" w:hAnsi="黑体" w:eastAsia="黑体" w:cs="黑体"/>
          <w:kern w:val="0"/>
          <w:sz w:val="30"/>
          <w:szCs w:val="30"/>
        </w:rPr>
        <w:t>二、机构设置及决算单位构成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r>
        <w:rPr>
          <w:rFonts w:hint="eastAsia" w:ascii="仿宋" w:hAnsi="仿宋" w:eastAsia="仿宋" w:cstheme="minorBidi"/>
          <w:sz w:val="28"/>
          <w:szCs w:val="28"/>
          <w:highlight w:val="none"/>
          <w:shd w:val="clear" w:color="auto" w:fill="auto"/>
        </w:rPr>
        <w:t>湘潭县农业农村局只有本级，没有其他二级预算单位，因此，纳入2022年部门</w:t>
      </w:r>
      <w:r>
        <w:rPr>
          <w:rFonts w:hint="eastAsia" w:ascii="仿宋" w:hAnsi="仿宋" w:eastAsia="仿宋" w:cstheme="minorBidi"/>
          <w:sz w:val="28"/>
          <w:szCs w:val="28"/>
          <w:highlight w:val="none"/>
          <w:shd w:val="clear" w:color="auto" w:fill="auto"/>
          <w:lang w:eastAsia="zh-CN"/>
        </w:rPr>
        <w:t>决</w:t>
      </w:r>
      <w:r>
        <w:rPr>
          <w:rFonts w:hint="eastAsia" w:ascii="仿宋" w:hAnsi="仿宋" w:eastAsia="仿宋" w:cstheme="minorBidi"/>
          <w:sz w:val="28"/>
          <w:szCs w:val="28"/>
          <w:highlight w:val="none"/>
          <w:shd w:val="clear" w:color="auto" w:fill="auto"/>
        </w:rPr>
        <w:t>算编制范围的只有湘潭县农业农村局本级。</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p>
    <w:p>
      <w:pPr>
        <w:jc w:val="left"/>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pStyle w:val="3"/>
        <w:jc w:val="both"/>
        <w:sectPr>
          <w:pgSz w:w="11906" w:h="16838"/>
          <w:pgMar w:top="1440" w:right="1797" w:bottom="1440" w:left="1797" w:header="851" w:footer="992" w:gutter="0"/>
          <w:cols w:space="0" w:num="1"/>
          <w:docGrid w:type="lines" w:linePitch="312" w:charSpace="0"/>
        </w:sectPr>
      </w:pPr>
    </w:p>
    <w:tbl>
      <w:tblPr>
        <w:tblStyle w:val="8"/>
        <w:tblW w:w="13623" w:type="dxa"/>
        <w:jc w:val="center"/>
        <w:tblLayout w:type="fixed"/>
        <w:tblCellMar>
          <w:top w:w="0" w:type="dxa"/>
          <w:left w:w="108" w:type="dxa"/>
          <w:bottom w:w="0" w:type="dxa"/>
          <w:right w:w="108" w:type="dxa"/>
        </w:tblCellMar>
      </w:tblPr>
      <w:tblGrid>
        <w:gridCol w:w="4582"/>
        <w:gridCol w:w="805"/>
        <w:gridCol w:w="1479"/>
        <w:gridCol w:w="4312"/>
        <w:gridCol w:w="805"/>
        <w:gridCol w:w="1640"/>
      </w:tblGrid>
      <w:tr>
        <w:tblPrEx>
          <w:tblCellMar>
            <w:top w:w="0" w:type="dxa"/>
            <w:left w:w="108" w:type="dxa"/>
            <w:bottom w:w="0" w:type="dxa"/>
            <w:right w:w="108" w:type="dxa"/>
          </w:tblCellMar>
        </w:tblPrEx>
        <w:trPr>
          <w:trHeight w:val="390" w:hRule="atLeast"/>
          <w:jc w:val="center"/>
        </w:trPr>
        <w:tc>
          <w:tcPr>
            <w:tcW w:w="13623" w:type="dxa"/>
            <w:gridSpan w:val="6"/>
            <w:tcBorders>
              <w:top w:val="nil"/>
              <w:left w:val="nil"/>
              <w:bottom w:val="nil"/>
              <w:right w:val="nil"/>
            </w:tcBorders>
            <w:shd w:val="clear" w:color="auto" w:fill="auto"/>
            <w:noWrap/>
            <w:vAlign w:val="bottom"/>
          </w:tcPr>
          <w:p>
            <w:pPr>
              <w:autoSpaceDE w:val="0"/>
              <w:autoSpaceDN w:val="0"/>
              <w:adjustRightInd w:val="0"/>
              <w:spacing w:line="460" w:lineRule="exact"/>
              <w:jc w:val="center"/>
              <w:rPr>
                <w:rFonts w:ascii="宋体" w:hAnsi="宋体" w:eastAsia="宋体" w:cs="宋体"/>
                <w:color w:val="000000"/>
                <w:sz w:val="30"/>
                <w:szCs w:val="30"/>
                <w:highlight w:val="none"/>
                <w:shd w:val="clear" w:color="auto" w:fill="auto"/>
              </w:rPr>
            </w:pPr>
            <w:r>
              <w:rPr>
                <w:rFonts w:hint="eastAsia" w:ascii="黑体" w:hAnsi="黑体" w:eastAsia="黑体" w:cs="黑体"/>
                <w:kern w:val="2"/>
                <w:sz w:val="32"/>
                <w:szCs w:val="32"/>
                <w:lang w:val="en-US" w:eastAsia="zh-CN" w:bidi="ar-SA"/>
              </w:rPr>
              <w:t>第二部分 部门决算表</w:t>
            </w:r>
          </w:p>
        </w:tc>
      </w:tr>
      <w:tr>
        <w:tblPrEx>
          <w:tblCellMar>
            <w:top w:w="0" w:type="dxa"/>
            <w:left w:w="108" w:type="dxa"/>
            <w:bottom w:w="0" w:type="dxa"/>
            <w:right w:w="108" w:type="dxa"/>
          </w:tblCellMar>
        </w:tblPrEx>
        <w:trPr>
          <w:trHeight w:val="390" w:hRule="atLeast"/>
          <w:jc w:val="center"/>
        </w:trPr>
        <w:tc>
          <w:tcPr>
            <w:tcW w:w="13623" w:type="dxa"/>
            <w:gridSpan w:val="6"/>
            <w:tcBorders>
              <w:top w:val="nil"/>
              <w:left w:val="nil"/>
              <w:bottom w:val="nil"/>
              <w:right w:val="nil"/>
            </w:tcBorders>
            <w:shd w:val="clear" w:color="auto" w:fill="auto"/>
            <w:noWrap/>
            <w:vAlign w:val="bottom"/>
          </w:tcPr>
          <w:p>
            <w:pPr>
              <w:widowControl/>
              <w:jc w:val="center"/>
              <w:textAlignment w:val="bottom"/>
              <w:rPr>
                <w:rFonts w:hint="eastAsia" w:ascii="宋体" w:hAnsi="宋体" w:eastAsia="宋体" w:cs="宋体"/>
                <w:b/>
                <w:bCs/>
                <w:color w:val="000000"/>
                <w:kern w:val="0"/>
                <w:sz w:val="32"/>
                <w:szCs w:val="32"/>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收入支出决算总表</w:t>
            </w:r>
          </w:p>
        </w:tc>
      </w:tr>
      <w:tr>
        <w:tblPrEx>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公开01表</w:t>
            </w:r>
          </w:p>
        </w:tc>
      </w:tr>
      <w:tr>
        <w:tblPrEx>
          <w:tblCellMar>
            <w:top w:w="0" w:type="dxa"/>
            <w:left w:w="108" w:type="dxa"/>
            <w:bottom w:w="0" w:type="dxa"/>
            <w:right w:w="108" w:type="dxa"/>
          </w:tblCellMar>
        </w:tblPrEx>
        <w:trPr>
          <w:trHeight w:val="255" w:hRule="atLeast"/>
          <w:jc w:val="center"/>
        </w:trPr>
        <w:tc>
          <w:tcPr>
            <w:tcW w:w="4582" w:type="dxa"/>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8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7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31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640"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CellMar>
            <w:top w:w="0" w:type="dxa"/>
            <w:left w:w="108" w:type="dxa"/>
            <w:bottom w:w="0" w:type="dxa"/>
            <w:right w:w="108" w:type="dxa"/>
          </w:tblCellMar>
        </w:tblPrEx>
        <w:trPr>
          <w:trHeight w:val="308" w:hRule="atLeast"/>
          <w:jc w:val="center"/>
        </w:trPr>
        <w:tc>
          <w:tcPr>
            <w:tcW w:w="686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收入</w:t>
            </w:r>
          </w:p>
        </w:tc>
        <w:tc>
          <w:tcPr>
            <w:tcW w:w="6757" w:type="dxa"/>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支出</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479"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805" w:type="dxa"/>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640"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36075.92</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3551.72</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三、国有资本经营预算财政拨款收入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四、上级补助收入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五、事业收入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六、经营收入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cs="宋体"/>
                <w:color w:val="000000"/>
                <w:kern w:val="0"/>
                <w:sz w:val="22"/>
                <w:highlight w:val="none"/>
                <w:shd w:val="clear" w:color="auto" w:fill="auto"/>
                <w:lang w:val="en-US" w:eastAsia="zh-CN"/>
              </w:rPr>
              <w:t>0</w:t>
            </w:r>
            <w:r>
              <w:rPr>
                <w:rFonts w:hint="eastAsia" w:ascii="宋体" w:hAnsi="宋体" w:eastAsia="宋体" w:cs="宋体"/>
                <w:color w:val="000000"/>
                <w:kern w:val="0"/>
                <w:sz w:val="22"/>
                <w:highlight w:val="none"/>
                <w:shd w:val="clear" w:color="auto" w:fill="auto"/>
              </w:rPr>
              <w:t>.00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七、附属单位上缴收入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八、其他收入</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9587.63</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533.26</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143.49</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1951.33</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32970.86</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15</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593.85</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auto"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1479" w:type="dxa"/>
            <w:tcBorders>
              <w:top w:val="nil"/>
              <w:left w:val="nil"/>
              <w:bottom w:val="single" w:color="auto"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805" w:type="dxa"/>
            <w:tcBorders>
              <w:top w:val="nil"/>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1640" w:type="dxa"/>
            <w:tcBorders>
              <w:top w:val="nil"/>
              <w:left w:val="nil"/>
              <w:bottom w:val="single" w:color="auto"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single" w:color="auto" w:sz="4" w:space="0"/>
              <w:left w:val="single" w:color="auto" w:sz="4" w:space="0"/>
              <w:bottom w:val="single" w:color="auto"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1479" w:type="dxa"/>
            <w:tcBorders>
              <w:top w:val="single" w:color="auto" w:sz="4" w:space="0"/>
              <w:left w:val="nil"/>
              <w:bottom w:val="single" w:color="auto"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805"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1640" w:type="dxa"/>
            <w:tcBorders>
              <w:top w:val="single" w:color="auto" w:sz="4" w:space="0"/>
              <w:left w:val="nil"/>
              <w:bottom w:val="single" w:color="auto" w:sz="4" w:space="0"/>
              <w:right w:val="single" w:color="auto"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183.75</w:t>
            </w:r>
          </w:p>
        </w:tc>
      </w:tr>
      <w:tr>
        <w:tblPrEx>
          <w:tblCellMar>
            <w:top w:w="0" w:type="dxa"/>
            <w:left w:w="108" w:type="dxa"/>
            <w:bottom w:w="0" w:type="dxa"/>
            <w:right w:w="108" w:type="dxa"/>
          </w:tblCellMar>
        </w:tblPrEx>
        <w:trPr>
          <w:trHeight w:val="308" w:hRule="atLeast"/>
          <w:jc w:val="center"/>
        </w:trPr>
        <w:tc>
          <w:tcPr>
            <w:tcW w:w="4582"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single" w:color="auto"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1479" w:type="dxa"/>
            <w:tcBorders>
              <w:top w:val="single" w:color="auto" w:sz="4" w:space="0"/>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single" w:color="auto" w:sz="4" w:space="0"/>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805" w:type="dxa"/>
            <w:tcBorders>
              <w:top w:val="single" w:color="auto"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1640" w:type="dxa"/>
            <w:tcBorders>
              <w:top w:val="single" w:color="auto" w:sz="4" w:space="0"/>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9.4</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b/>
                <w:bCs/>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24</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25</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26</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0"/>
                <w:szCs w:val="20"/>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45663.55</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39962.66</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使用非财政拨款结余</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结余分配</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年初结转和结余</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6329.03</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年末结转和结余</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12029.92</w:t>
            </w: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1479" w:type="dxa"/>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312"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1640" w:type="dxa"/>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08" w:hRule="atLeast"/>
          <w:jc w:val="center"/>
        </w:trPr>
        <w:tc>
          <w:tcPr>
            <w:tcW w:w="4582"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8"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147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51992.58</w:t>
            </w:r>
          </w:p>
        </w:tc>
        <w:tc>
          <w:tcPr>
            <w:tcW w:w="431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1640"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kern w:val="0"/>
                <w:sz w:val="22"/>
                <w:highlight w:val="none"/>
                <w:shd w:val="clear" w:color="auto" w:fill="auto"/>
                <w:lang w:val="en-US" w:eastAsia="zh-CN"/>
              </w:rPr>
              <w:t>51992.58</w:t>
            </w:r>
          </w:p>
        </w:tc>
      </w:tr>
    </w:tbl>
    <w:p>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3370" w:type="dxa"/>
        <w:jc w:val="center"/>
        <w:tblLayout w:type="fixed"/>
        <w:tblCellMar>
          <w:top w:w="0" w:type="dxa"/>
          <w:left w:w="108" w:type="dxa"/>
          <w:bottom w:w="0" w:type="dxa"/>
          <w:right w:w="108" w:type="dxa"/>
        </w:tblCellMar>
      </w:tblPr>
      <w:tblGrid>
        <w:gridCol w:w="342"/>
        <w:gridCol w:w="305"/>
        <w:gridCol w:w="467"/>
        <w:gridCol w:w="4592"/>
        <w:gridCol w:w="1569"/>
        <w:gridCol w:w="1319"/>
        <w:gridCol w:w="961"/>
        <w:gridCol w:w="684"/>
        <w:gridCol w:w="819"/>
        <w:gridCol w:w="984"/>
        <w:gridCol w:w="1328"/>
      </w:tblGrid>
      <w:tr>
        <w:tblPrEx>
          <w:tblCellMar>
            <w:top w:w="0" w:type="dxa"/>
            <w:left w:w="108" w:type="dxa"/>
            <w:bottom w:w="0" w:type="dxa"/>
            <w:right w:w="108" w:type="dxa"/>
          </w:tblCellMar>
        </w:tblPrEx>
        <w:trPr>
          <w:trHeight w:val="390" w:hRule="atLeast"/>
          <w:jc w:val="center"/>
        </w:trPr>
        <w:tc>
          <w:tcPr>
            <w:tcW w:w="13370" w:type="dxa"/>
            <w:gridSpan w:val="11"/>
            <w:tcBorders>
              <w:top w:val="nil"/>
              <w:left w:val="nil"/>
              <w:bottom w:val="nil"/>
              <w:right w:val="nil"/>
            </w:tcBorders>
            <w:shd w:val="clear" w:color="auto" w:fill="auto"/>
            <w:noWrap/>
            <w:vAlign w:val="bottom"/>
          </w:tcPr>
          <w:p>
            <w:pPr>
              <w:widowControl/>
              <w:jc w:val="center"/>
              <w:textAlignment w:val="bottom"/>
              <w:rPr>
                <w:rFonts w:ascii="宋体" w:hAnsi="宋体" w:eastAsia="宋体" w:cs="宋体"/>
                <w:color w:val="000000"/>
                <w:sz w:val="28"/>
                <w:szCs w:val="28"/>
                <w:highlight w:val="none"/>
                <w:shd w:val="clear" w:color="auto" w:fill="auto"/>
              </w:rPr>
            </w:pPr>
            <w:r>
              <w:rPr>
                <w:rFonts w:hint="eastAsia" w:ascii="宋体" w:hAnsi="宋体" w:eastAsia="宋体" w:cs="宋体"/>
                <w:b/>
                <w:bCs/>
                <w:color w:val="000000"/>
                <w:kern w:val="0"/>
                <w:sz w:val="32"/>
                <w:szCs w:val="32"/>
                <w:highlight w:val="none"/>
                <w:shd w:val="clear" w:color="auto" w:fill="auto"/>
              </w:rPr>
              <w:t>收入决算表</w:t>
            </w:r>
          </w:p>
        </w:tc>
      </w:tr>
      <w:tr>
        <w:tblPrEx>
          <w:tblCellMar>
            <w:top w:w="0" w:type="dxa"/>
            <w:left w:w="108" w:type="dxa"/>
            <w:bottom w:w="0" w:type="dxa"/>
            <w:right w:w="108" w:type="dxa"/>
          </w:tblCellMar>
        </w:tblPrEx>
        <w:trPr>
          <w:trHeight w:val="255" w:hRule="atLeast"/>
          <w:jc w:val="center"/>
        </w:trPr>
        <w:tc>
          <w:tcPr>
            <w:tcW w:w="34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05"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67"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592"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56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1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961"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684"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312"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公开02表</w:t>
            </w:r>
          </w:p>
        </w:tc>
      </w:tr>
      <w:tr>
        <w:tblPrEx>
          <w:tblCellMar>
            <w:top w:w="0" w:type="dxa"/>
            <w:left w:w="108" w:type="dxa"/>
            <w:bottom w:w="0" w:type="dxa"/>
            <w:right w:w="108" w:type="dxa"/>
          </w:tblCellMar>
        </w:tblPrEx>
        <w:trPr>
          <w:trHeight w:val="255" w:hRule="atLeast"/>
          <w:jc w:val="center"/>
        </w:trPr>
        <w:tc>
          <w:tcPr>
            <w:tcW w:w="5706" w:type="dxa"/>
            <w:gridSpan w:val="4"/>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56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1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961"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684"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1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312"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CellMar>
            <w:top w:w="0" w:type="dxa"/>
            <w:left w:w="108" w:type="dxa"/>
            <w:bottom w:w="0" w:type="dxa"/>
            <w:right w:w="108" w:type="dxa"/>
          </w:tblCellMar>
        </w:tblPrEx>
        <w:trPr>
          <w:trHeight w:val="308" w:hRule="atLeast"/>
          <w:jc w:val="center"/>
        </w:trPr>
        <w:tc>
          <w:tcPr>
            <w:tcW w:w="570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569"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本年收入合计</w:t>
            </w:r>
          </w:p>
        </w:tc>
        <w:tc>
          <w:tcPr>
            <w:tcW w:w="1319"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财政拨款收入</w:t>
            </w:r>
          </w:p>
        </w:tc>
        <w:tc>
          <w:tcPr>
            <w:tcW w:w="961"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上级补助收入</w:t>
            </w:r>
          </w:p>
        </w:tc>
        <w:tc>
          <w:tcPr>
            <w:tcW w:w="684"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事业收入</w:t>
            </w:r>
          </w:p>
        </w:tc>
        <w:tc>
          <w:tcPr>
            <w:tcW w:w="819"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经营收入</w:t>
            </w:r>
          </w:p>
        </w:tc>
        <w:tc>
          <w:tcPr>
            <w:tcW w:w="984"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附属单位上缴收入</w:t>
            </w:r>
          </w:p>
        </w:tc>
        <w:tc>
          <w:tcPr>
            <w:tcW w:w="1328"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其他收入</w:t>
            </w:r>
          </w:p>
        </w:tc>
      </w:tr>
      <w:tr>
        <w:tblPrEx>
          <w:tblCellMar>
            <w:top w:w="0" w:type="dxa"/>
            <w:left w:w="108" w:type="dxa"/>
            <w:bottom w:w="0" w:type="dxa"/>
            <w:right w:w="108" w:type="dxa"/>
          </w:tblCellMar>
        </w:tblPrEx>
        <w:trPr>
          <w:trHeight w:val="312" w:hRule="atLeast"/>
          <w:jc w:val="center"/>
        </w:trPr>
        <w:tc>
          <w:tcPr>
            <w:tcW w:w="1114"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4592" w:type="dxa"/>
            <w:vMerge w:val="restar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12" w:hRule="atLeast"/>
          <w:jc w:val="center"/>
        </w:trPr>
        <w:tc>
          <w:tcPr>
            <w:tcW w:w="1114"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12" w:hRule="atLeast"/>
          <w:jc w:val="center"/>
        </w:trPr>
        <w:tc>
          <w:tcPr>
            <w:tcW w:w="1114"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4592"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569" w:type="dxa"/>
            <w:vMerge w:val="continue"/>
            <w:tcBorders>
              <w:top w:val="single" w:color="000000" w:sz="4" w:space="0"/>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2"/>
                <w:highlight w:val="none"/>
                <w:shd w:val="clear" w:color="auto" w:fill="auto"/>
              </w:rPr>
            </w:pPr>
          </w:p>
        </w:tc>
        <w:tc>
          <w:tcPr>
            <w:tcW w:w="1319" w:type="dxa"/>
            <w:vMerge w:val="continue"/>
            <w:tcBorders>
              <w:top w:val="single" w:color="000000" w:sz="4" w:space="0"/>
              <w:left w:val="nil"/>
              <w:bottom w:val="single" w:color="000000" w:sz="4" w:space="0"/>
              <w:right w:val="single" w:color="000000" w:sz="4" w:space="0"/>
            </w:tcBorders>
            <w:shd w:val="clear" w:color="auto" w:fill="auto"/>
            <w:vAlign w:val="center"/>
          </w:tcPr>
          <w:p>
            <w:pPr>
              <w:jc w:val="right"/>
              <w:rPr>
                <w:rFonts w:ascii="宋体" w:hAnsi="宋体" w:eastAsia="宋体" w:cs="宋体"/>
                <w:color w:val="000000"/>
                <w:sz w:val="22"/>
                <w:highlight w:val="none"/>
                <w:shd w:val="clear" w:color="auto" w:fill="auto"/>
              </w:rPr>
            </w:pPr>
          </w:p>
        </w:tc>
        <w:tc>
          <w:tcPr>
            <w:tcW w:w="961"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6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81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984"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2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08" w:hRule="atLeast"/>
          <w:jc w:val="center"/>
        </w:trPr>
        <w:tc>
          <w:tcPr>
            <w:tcW w:w="5706"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569" w:type="dxa"/>
            <w:tcBorders>
              <w:top w:val="nil"/>
              <w:left w:val="nil"/>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319" w:type="dxa"/>
            <w:tcBorders>
              <w:top w:val="nil"/>
              <w:left w:val="nil"/>
              <w:bottom w:val="single" w:color="000000" w:sz="4" w:space="0"/>
              <w:right w:val="single" w:color="000000" w:sz="4" w:space="0"/>
            </w:tcBorders>
            <w:shd w:val="clear" w:color="auto" w:fill="auto"/>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961"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68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819"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984"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1328"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r>
      <w:tr>
        <w:tblPrEx>
          <w:tblCellMar>
            <w:top w:w="0" w:type="dxa"/>
            <w:left w:w="108" w:type="dxa"/>
            <w:bottom w:w="0" w:type="dxa"/>
            <w:right w:w="108" w:type="dxa"/>
          </w:tblCellMar>
        </w:tblPrEx>
        <w:trPr>
          <w:trHeight w:val="308" w:hRule="atLeast"/>
          <w:jc w:val="center"/>
        </w:trPr>
        <w:tc>
          <w:tcPr>
            <w:tcW w:w="5706"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45,663.55</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36,075.92</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9,587.63</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color w:val="000000"/>
                <w:kern w:val="0"/>
                <w:sz w:val="22"/>
                <w:highlight w:val="none"/>
                <w:shd w:val="clear" w:color="auto" w:fill="auto"/>
                <w:lang w:val="en-US" w:eastAsia="zh-CN"/>
              </w:rPr>
            </w:pPr>
            <w:r>
              <w:rPr>
                <w:rFonts w:hint="eastAsia" w:ascii="宋体" w:hAnsi="宋体" w:eastAsia="宋体" w:cs="宋体"/>
                <w:i w:val="0"/>
                <w:iCs w:val="0"/>
                <w:color w:val="000000"/>
                <w:kern w:val="0"/>
                <w:sz w:val="22"/>
                <w:szCs w:val="22"/>
                <w:u w:val="none"/>
                <w:lang w:val="en-US" w:eastAsia="zh-CN" w:bidi="ar"/>
              </w:rPr>
              <w:t>201</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一般公共服务支出</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3,551.72</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3,551.72</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2010301</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444.65</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444.65</w:t>
            </w:r>
          </w:p>
        </w:tc>
      </w:tr>
      <w:tr>
        <w:tblPrEx>
          <w:tblCellMar>
            <w:top w:w="0" w:type="dxa"/>
            <w:left w:w="108" w:type="dxa"/>
            <w:bottom w:w="0" w:type="dxa"/>
            <w:right w:w="108" w:type="dxa"/>
          </w:tblCellMar>
        </w:tblPrEx>
        <w:trPr>
          <w:trHeight w:val="9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2010302</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r>
      <w:tr>
        <w:tblPrEx>
          <w:tblCellMar>
            <w:top w:w="0" w:type="dxa"/>
            <w:left w:w="108" w:type="dxa"/>
            <w:bottom w:w="0" w:type="dxa"/>
            <w:right w:w="108" w:type="dxa"/>
          </w:tblCellMar>
        </w:tblPrEx>
        <w:trPr>
          <w:trHeight w:val="9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20199</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2019999</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1,408.21</w:t>
            </w:r>
          </w:p>
        </w:tc>
      </w:tr>
      <w:tr>
        <w:tblPrEx>
          <w:tblCellMar>
            <w:top w:w="0" w:type="dxa"/>
            <w:left w:w="108" w:type="dxa"/>
            <w:bottom w:w="0" w:type="dxa"/>
            <w:right w:w="108" w:type="dxa"/>
          </w:tblCellMar>
        </w:tblPrEx>
        <w:trPr>
          <w:trHeight w:val="137"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533.26</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296.30</w:t>
            </w:r>
          </w:p>
        </w:tc>
        <w:tc>
          <w:tcPr>
            <w:tcW w:w="96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20801</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6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8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236.96</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2080101</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236.96</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236.96</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20805</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2080505</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20808</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抚恤</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2080801</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死亡抚恤</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20827</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2082799</w:t>
            </w:r>
          </w:p>
        </w:tc>
        <w:tc>
          <w:tcPr>
            <w:tcW w:w="459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156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96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nil"/>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210</w:t>
            </w:r>
          </w:p>
        </w:tc>
        <w:tc>
          <w:tcPr>
            <w:tcW w:w="4592"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卫生健康支出</w:t>
            </w:r>
          </w:p>
        </w:tc>
        <w:tc>
          <w:tcPr>
            <w:tcW w:w="1569"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nil"/>
              <w:left w:val="nil"/>
              <w:bottom w:val="single" w:color="auto"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nil"/>
              <w:left w:val="nil"/>
              <w:bottom w:val="single" w:color="auto"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nil"/>
              <w:left w:val="nil"/>
              <w:bottom w:val="single" w:color="auto"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nil"/>
              <w:left w:val="nil"/>
              <w:bottom w:val="single" w:color="auto"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21011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行政事业单位医疗</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2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143.49</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143.49</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1,951.33</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1,951.33</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21103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污染防治</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2110399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其他污染防治支出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21113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循环经济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2111301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循环经济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2119999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其他节能环保支出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color w:val="000000"/>
                <w:kern w:val="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000000"/>
                <w:kern w:val="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2129999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38,671.75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32,872.80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5,798.95</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农业农村</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36,037.17</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30,238.22</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5,798.95</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7,773.94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2,073.05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5,700.89</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农垦运行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科技转化与推广服务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2130108</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病虫害控制</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2130109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农产品质量安全</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2130110</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执法监管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统计监测与信息服务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2130119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防灾救灾</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农业结构调整补贴</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农业生产发展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农村合作经济</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农产品加工与促销</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2130126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1,718.64</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2130135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农业资源保护修复与利用</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2130148</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渔业发展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1,998.01</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1,919.95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78.06</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林业和草原</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2130505</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生产发展</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2130599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2139999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21499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其他交通运输支出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62"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2149999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其他交通运输支出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商业服务业等支出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商业流通事务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2160299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其他商业流通事务支出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593.85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住房保障支出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住房改革支出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2210201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183.75</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粮油物资储备支出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粮油物资事务</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r>
        <w:tblPrEx>
          <w:tblCellMar>
            <w:top w:w="0" w:type="dxa"/>
            <w:left w:w="108" w:type="dxa"/>
            <w:bottom w:w="0" w:type="dxa"/>
            <w:right w:w="108" w:type="dxa"/>
          </w:tblCellMar>
        </w:tblPrEx>
        <w:trPr>
          <w:trHeight w:val="270" w:hRule="atLeast"/>
          <w:jc w:val="center"/>
        </w:trPr>
        <w:tc>
          <w:tcPr>
            <w:tcW w:w="111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2220199</w:t>
            </w:r>
          </w:p>
        </w:tc>
        <w:tc>
          <w:tcPr>
            <w:tcW w:w="459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其他粮油物资事务支出</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13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9.40</w:t>
            </w:r>
          </w:p>
        </w:tc>
        <w:tc>
          <w:tcPr>
            <w:tcW w:w="96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6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8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98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rPr>
            </w:pPr>
            <w:r>
              <w:rPr>
                <w:rFonts w:hint="eastAsia"/>
              </w:rPr>
              <w:t>0.00</w:t>
            </w:r>
          </w:p>
        </w:tc>
        <w:tc>
          <w:tcPr>
            <w:tcW w:w="132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rPr>
              <w:t>0.00</w:t>
            </w:r>
          </w:p>
        </w:tc>
      </w:tr>
    </w:tbl>
    <w:p>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8"/>
        <w:tblpPr w:leftFromText="180" w:rightFromText="180" w:vertAnchor="text" w:horzAnchor="page" w:tblpX="1886" w:tblpY="632"/>
        <w:tblOverlap w:val="never"/>
        <w:tblW w:w="13303" w:type="dxa"/>
        <w:tblInd w:w="0" w:type="dxa"/>
        <w:tblLayout w:type="fixed"/>
        <w:tblCellMar>
          <w:top w:w="0" w:type="dxa"/>
          <w:left w:w="108" w:type="dxa"/>
          <w:bottom w:w="0" w:type="dxa"/>
          <w:right w:w="108" w:type="dxa"/>
        </w:tblCellMar>
      </w:tblPr>
      <w:tblGrid>
        <w:gridCol w:w="330"/>
        <w:gridCol w:w="330"/>
        <w:gridCol w:w="330"/>
        <w:gridCol w:w="3837"/>
        <w:gridCol w:w="1458"/>
        <w:gridCol w:w="1388"/>
        <w:gridCol w:w="1389"/>
        <w:gridCol w:w="1383"/>
        <w:gridCol w:w="1418"/>
        <w:gridCol w:w="1440"/>
      </w:tblGrid>
      <w:tr>
        <w:tblPrEx>
          <w:tblCellMar>
            <w:top w:w="0" w:type="dxa"/>
            <w:left w:w="108" w:type="dxa"/>
            <w:bottom w:w="0" w:type="dxa"/>
            <w:right w:w="108" w:type="dxa"/>
          </w:tblCellMar>
        </w:tblPrEx>
        <w:trPr>
          <w:trHeight w:val="390" w:hRule="atLeast"/>
        </w:trPr>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837"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5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777" w:type="dxa"/>
            <w:gridSpan w:val="2"/>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r>
              <w:rPr>
                <w:rFonts w:hint="eastAsia" w:ascii="宋体" w:hAnsi="宋体" w:eastAsia="宋体" w:cs="宋体"/>
                <w:b/>
                <w:bCs/>
                <w:color w:val="000000"/>
                <w:kern w:val="0"/>
                <w:sz w:val="32"/>
                <w:szCs w:val="32"/>
                <w:highlight w:val="none"/>
                <w:shd w:val="clear" w:color="auto" w:fill="auto"/>
              </w:rPr>
              <w:t>支出决</w:t>
            </w:r>
            <w:r>
              <w:rPr>
                <w:rFonts w:hint="eastAsia" w:ascii="宋体" w:hAnsi="宋体" w:eastAsia="宋体" w:cs="宋体"/>
                <w:b/>
                <w:bCs/>
                <w:color w:val="000000"/>
                <w:kern w:val="0"/>
                <w:sz w:val="32"/>
                <w:szCs w:val="32"/>
                <w:highlight w:val="none"/>
                <w:shd w:val="clear" w:color="auto" w:fill="auto"/>
                <w:lang w:val="en-US" w:eastAsia="zh-CN"/>
              </w:rPr>
              <w:t>算</w:t>
            </w:r>
            <w:r>
              <w:rPr>
                <w:rFonts w:hint="eastAsia" w:ascii="宋体" w:hAnsi="宋体" w:eastAsia="宋体" w:cs="宋体"/>
                <w:b/>
                <w:bCs/>
                <w:color w:val="000000"/>
                <w:kern w:val="0"/>
                <w:sz w:val="32"/>
                <w:szCs w:val="32"/>
                <w:highlight w:val="none"/>
                <w:shd w:val="clear" w:color="auto" w:fill="auto"/>
              </w:rPr>
              <w:t>表</w:t>
            </w:r>
          </w:p>
        </w:tc>
        <w:tc>
          <w:tcPr>
            <w:tcW w:w="1383"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1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4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r>
      <w:tr>
        <w:tblPrEx>
          <w:tblCellMar>
            <w:top w:w="0" w:type="dxa"/>
            <w:left w:w="108" w:type="dxa"/>
            <w:bottom w:w="0" w:type="dxa"/>
            <w:right w:w="108" w:type="dxa"/>
          </w:tblCellMar>
        </w:tblPrEx>
        <w:trPr>
          <w:trHeight w:val="255" w:hRule="atLeast"/>
        </w:trPr>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837"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45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3"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858"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公开03表</w:t>
            </w:r>
          </w:p>
        </w:tc>
      </w:tr>
      <w:tr>
        <w:tblPrEx>
          <w:tblCellMar>
            <w:top w:w="0" w:type="dxa"/>
            <w:left w:w="108" w:type="dxa"/>
            <w:bottom w:w="0" w:type="dxa"/>
            <w:right w:w="108" w:type="dxa"/>
          </w:tblCellMar>
        </w:tblPrEx>
        <w:trPr>
          <w:trHeight w:val="255" w:hRule="atLeast"/>
        </w:trPr>
        <w:tc>
          <w:tcPr>
            <w:tcW w:w="4827" w:type="dxa"/>
            <w:gridSpan w:val="4"/>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145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8"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9"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383" w:type="dxa"/>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858" w:type="dxa"/>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CellMar>
            <w:top w:w="0" w:type="dxa"/>
            <w:left w:w="108" w:type="dxa"/>
            <w:bottom w:w="0" w:type="dxa"/>
            <w:right w:w="108" w:type="dxa"/>
          </w:tblCellMar>
        </w:tblPrEx>
        <w:trPr>
          <w:trHeight w:val="308" w:hRule="atLeast"/>
        </w:trPr>
        <w:tc>
          <w:tcPr>
            <w:tcW w:w="482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458"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本年支出合计</w:t>
            </w:r>
          </w:p>
        </w:tc>
        <w:tc>
          <w:tcPr>
            <w:tcW w:w="1388"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基本支出</w:t>
            </w:r>
          </w:p>
        </w:tc>
        <w:tc>
          <w:tcPr>
            <w:tcW w:w="1389"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项目支出</w:t>
            </w:r>
          </w:p>
        </w:tc>
        <w:tc>
          <w:tcPr>
            <w:tcW w:w="1383"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上缴上级支出</w:t>
            </w:r>
          </w:p>
        </w:tc>
        <w:tc>
          <w:tcPr>
            <w:tcW w:w="1418"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经营支出</w:t>
            </w:r>
          </w:p>
        </w:tc>
        <w:tc>
          <w:tcPr>
            <w:tcW w:w="144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对附属单位补助支出</w:t>
            </w:r>
          </w:p>
        </w:tc>
      </w:tr>
      <w:tr>
        <w:tblPrEx>
          <w:tblCellMar>
            <w:top w:w="0" w:type="dxa"/>
            <w:left w:w="108" w:type="dxa"/>
            <w:bottom w:w="0" w:type="dxa"/>
            <w:right w:w="108" w:type="dxa"/>
          </w:tblCellMar>
        </w:tblPrEx>
        <w:trPr>
          <w:trHeight w:val="312" w:hRule="atLeast"/>
        </w:trPr>
        <w:tc>
          <w:tcPr>
            <w:tcW w:w="990"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功能分类科目编码</w:t>
            </w:r>
          </w:p>
        </w:tc>
        <w:tc>
          <w:tcPr>
            <w:tcW w:w="3837" w:type="dxa"/>
            <w:vMerge w:val="restar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科目名称</w:t>
            </w: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12" w:hRule="atLeast"/>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3837"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12" w:hRule="atLeast"/>
        </w:trPr>
        <w:tc>
          <w:tcPr>
            <w:tcW w:w="99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3837"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145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9"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383"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18"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440" w:type="dxa"/>
            <w:vMerge w:val="continue"/>
            <w:tcBorders>
              <w:top w:val="single" w:color="000000" w:sz="4" w:space="0"/>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08" w:hRule="atLeast"/>
        </w:trPr>
        <w:tc>
          <w:tcPr>
            <w:tcW w:w="4827"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458"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388"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1389"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1383"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1418"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1440" w:type="dxa"/>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r>
      <w:tr>
        <w:tblPrEx>
          <w:tblCellMar>
            <w:top w:w="0" w:type="dxa"/>
            <w:left w:w="108" w:type="dxa"/>
            <w:bottom w:w="0" w:type="dxa"/>
            <w:right w:w="108" w:type="dxa"/>
          </w:tblCellMar>
        </w:tblPrEx>
        <w:trPr>
          <w:trHeight w:val="308" w:hRule="atLeast"/>
        </w:trPr>
        <w:tc>
          <w:tcPr>
            <w:tcW w:w="4827"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39,962.66</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3,202.47</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36,760.19</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一般公共服务支出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3,551.73</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3,293.06</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20103</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政府办公厅（室）及相关机构事务</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2,143.51</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1,884.84</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2010301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444.66</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258.67</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185.99</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2010302</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一般行政管理事务</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1,698.85</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20199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其他一般公共服务支出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2019999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其他一般公共服务支出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1,408.22</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社会保障和就业支出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533.25</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372.93</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20801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人力资源和社会保障管理事务</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236.95</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76.63</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2080101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236.95</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76.63</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160.32</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20805</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行政事业单位养老支出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2080505</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机关事业单位基本养老保险缴费支出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20808</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抚恤</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2080801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死亡抚恤</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20827</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财政对其他社会保险基金的补助</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2082799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其他财政对社会保险基金的补助</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210</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卫生健康支出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90"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21011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行政事业单位医疗</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2101101</w:t>
            </w:r>
          </w:p>
        </w:tc>
        <w:tc>
          <w:tcPr>
            <w:tcW w:w="3837" w:type="dxa"/>
            <w:tcBorders>
              <w:top w:val="nil"/>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行政单位医疗</w:t>
            </w:r>
          </w:p>
        </w:tc>
        <w:tc>
          <w:tcPr>
            <w:tcW w:w="1458"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8"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1389"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211</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节能环保支出</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21103</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污染防治</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2110399</w:t>
            </w:r>
          </w:p>
        </w:tc>
        <w:tc>
          <w:tcPr>
            <w:tcW w:w="3837" w:type="dxa"/>
            <w:tcBorders>
              <w:top w:val="single" w:color="auto" w:sz="4" w:space="0"/>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其他污染防治支出</w:t>
            </w:r>
          </w:p>
        </w:tc>
        <w:tc>
          <w:tcPr>
            <w:tcW w:w="145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1383"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21113</w:t>
            </w:r>
          </w:p>
        </w:tc>
        <w:tc>
          <w:tcPr>
            <w:tcW w:w="3837" w:type="dxa"/>
            <w:tcBorders>
              <w:top w:val="single" w:color="auto" w:sz="4" w:space="0"/>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循环经济</w:t>
            </w:r>
          </w:p>
        </w:tc>
        <w:tc>
          <w:tcPr>
            <w:tcW w:w="1458"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8"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3"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2111301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循环经济</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21199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其他节能环保支出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2119999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其他节能环保支出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212</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城乡社区支出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21299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其他城乡社区支出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2129999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其他城乡社区支出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农林水支出</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32,970.86</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2,243.63</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30,727.23</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农业农村</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30,336.28</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2,073.05</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28,263.23</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2130101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2,073.05</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2,073.05</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2130102</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一般行政管理事务</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2130104</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事业运行</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2130105</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农垦运行</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176.00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2130106</w:t>
            </w:r>
          </w:p>
        </w:tc>
        <w:tc>
          <w:tcPr>
            <w:tcW w:w="3837" w:type="dxa"/>
            <w:tcBorders>
              <w:top w:val="nil"/>
              <w:left w:val="nil"/>
              <w:bottom w:val="single" w:color="000000" w:sz="4" w:space="0"/>
              <w:right w:val="single" w:color="000000" w:sz="4" w:space="0"/>
            </w:tcBorders>
            <w:shd w:val="clear" w:color="auto" w:fill="auto"/>
            <w:noWrap/>
            <w:vAlign w:val="center"/>
          </w:tcPr>
          <w:p>
            <w:pPr>
              <w:widowControl/>
              <w:ind w:firstLine="210" w:firstLineChars="100"/>
              <w:jc w:val="left"/>
              <w:textAlignment w:val="center"/>
              <w:rPr>
                <w:rFonts w:ascii="宋体" w:hAnsi="宋体" w:eastAsia="宋体" w:cs="宋体"/>
                <w:color w:val="000000"/>
                <w:sz w:val="22"/>
                <w:highlight w:val="none"/>
                <w:shd w:val="clear" w:color="auto" w:fill="auto"/>
              </w:rPr>
            </w:pPr>
            <w:r>
              <w:rPr>
                <w:rFonts w:hint="eastAsia"/>
              </w:rPr>
              <w:t xml:space="preserve">  科技转化与推广服务</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252.66</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2130108</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病虫害控制</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839.96</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2130109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农产品质量安全</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47.91</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2130110</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执法监管</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45.00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2130111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统计监测与信息服务</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2130119</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防灾救灾</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2130121</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农业结构调整补贴</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844.81</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2130122</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农业生产发展</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19,311.46</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90"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2130124</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农村合作经济</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378.61</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2130125</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农产品加工与促销</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2130126</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农村社会事业</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1,738.64</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2130135</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农业资源保护修复与利用</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2,417.18</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2130148</w:t>
            </w:r>
          </w:p>
        </w:tc>
        <w:tc>
          <w:tcPr>
            <w:tcW w:w="3837"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渔业发展</w:t>
            </w:r>
          </w:p>
        </w:tc>
        <w:tc>
          <w:tcPr>
            <w:tcW w:w="145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8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100.00</w:t>
            </w:r>
          </w:p>
        </w:tc>
        <w:tc>
          <w:tcPr>
            <w:tcW w:w="13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990" w:type="dxa"/>
            <w:gridSpan w:val="3"/>
            <w:tcBorders>
              <w:top w:val="nil"/>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2130199</w:t>
            </w:r>
          </w:p>
        </w:tc>
        <w:tc>
          <w:tcPr>
            <w:tcW w:w="3837" w:type="dxa"/>
            <w:tcBorders>
              <w:top w:val="nil"/>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其他农业农村支出</w:t>
            </w:r>
          </w:p>
        </w:tc>
        <w:tc>
          <w:tcPr>
            <w:tcW w:w="1458"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1,998.00</w:t>
            </w:r>
          </w:p>
        </w:tc>
        <w:tc>
          <w:tcPr>
            <w:tcW w:w="1388"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1,998.00</w:t>
            </w:r>
          </w:p>
        </w:tc>
        <w:tc>
          <w:tcPr>
            <w:tcW w:w="1383"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nil"/>
              <w:left w:val="nil"/>
              <w:bottom w:val="single" w:color="auto" w:sz="4" w:space="0"/>
              <w:right w:val="single" w:color="000000" w:sz="8"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林业和草原</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行政运行</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170.58</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21305</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巩固脱贫衔接乡村振兴</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305.00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2130505</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生产发展</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2130599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其他巩固脱贫衔接乡村振兴支出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255.00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其他农林水支出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2139999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其他农林水支出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2,159.00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214</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21499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其他交通运输支出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2149999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其他交通运输支出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15.00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216</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商业服务业等支出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21602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商业流通事务</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2160299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其他商业流通事务支出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593.85</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rPr>
            </w:pPr>
            <w:r>
              <w:rPr>
                <w:rFonts w:hint="eastAsia"/>
              </w:rPr>
              <w:t>221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住房保障支出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rPr>
            </w:pPr>
            <w:r>
              <w:rPr>
                <w:rFonts w:hint="eastAsia"/>
              </w:rPr>
              <w:t>22102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住房改革支出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rPr>
            </w:pPr>
            <w:r>
              <w:rPr>
                <w:rFonts w:hint="eastAsia"/>
              </w:rPr>
              <w:t>2210201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住房公积金</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183.75</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rPr>
            </w:pPr>
            <w:r>
              <w:rPr>
                <w:rFonts w:hint="eastAsia"/>
              </w:rPr>
              <w:t>222</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粮油物资储备支出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rPr>
            </w:pPr>
            <w:r>
              <w:rPr>
                <w:rFonts w:hint="eastAsia"/>
              </w:rPr>
              <w:t>22201</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粮油物资事务</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trPr>
        <w:tc>
          <w:tcPr>
            <w:tcW w:w="99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rPr>
            </w:pPr>
            <w:r>
              <w:rPr>
                <w:rFonts w:hint="eastAsia"/>
              </w:rPr>
              <w:t>2220199</w:t>
            </w:r>
          </w:p>
        </w:tc>
        <w:tc>
          <w:tcPr>
            <w:tcW w:w="38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rPr>
              <w:t xml:space="preserve">  其他粮油物资事务支出</w:t>
            </w:r>
          </w:p>
        </w:tc>
        <w:tc>
          <w:tcPr>
            <w:tcW w:w="145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3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138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bl>
    <w:p>
      <w:pPr>
        <w:widowControl/>
        <w:jc w:val="both"/>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8"/>
        <w:tblW w:w="4359" w:type="pct"/>
        <w:jc w:val="center"/>
        <w:tblLayout w:type="fixed"/>
        <w:tblCellMar>
          <w:top w:w="0" w:type="dxa"/>
          <w:left w:w="108" w:type="dxa"/>
          <w:bottom w:w="0" w:type="dxa"/>
          <w:right w:w="108" w:type="dxa"/>
        </w:tblCellMar>
      </w:tblPr>
      <w:tblGrid>
        <w:gridCol w:w="3098"/>
        <w:gridCol w:w="612"/>
        <w:gridCol w:w="1199"/>
        <w:gridCol w:w="3494"/>
        <w:gridCol w:w="533"/>
        <w:gridCol w:w="1068"/>
        <w:gridCol w:w="1298"/>
        <w:gridCol w:w="1144"/>
        <w:gridCol w:w="1166"/>
      </w:tblGrid>
      <w:tr>
        <w:tblPrEx>
          <w:tblCellMar>
            <w:top w:w="0" w:type="dxa"/>
            <w:left w:w="108" w:type="dxa"/>
            <w:bottom w:w="0" w:type="dxa"/>
            <w:right w:w="108" w:type="dxa"/>
          </w:tblCellMar>
        </w:tblPrEx>
        <w:trPr>
          <w:trHeight w:val="390" w:hRule="atLeast"/>
          <w:jc w:val="center"/>
        </w:trPr>
        <w:tc>
          <w:tcPr>
            <w:tcW w:w="5000" w:type="pct"/>
            <w:gridSpan w:val="9"/>
            <w:tcBorders>
              <w:top w:val="nil"/>
              <w:left w:val="nil"/>
              <w:bottom w:val="nil"/>
              <w:right w:val="nil"/>
            </w:tcBorders>
            <w:shd w:val="clear" w:color="auto" w:fill="auto"/>
            <w:noWrap/>
            <w:vAlign w:val="bottom"/>
          </w:tcPr>
          <w:p>
            <w:pPr>
              <w:jc w:val="center"/>
              <w:rPr>
                <w:rFonts w:hint="eastAsia" w:ascii="宋体" w:hAnsi="宋体" w:eastAsia="宋体" w:cs="宋体"/>
                <w:b/>
                <w:bCs/>
                <w:color w:val="000000"/>
                <w:kern w:val="0"/>
                <w:sz w:val="32"/>
                <w:szCs w:val="32"/>
                <w:highlight w:val="none"/>
                <w:shd w:val="clear" w:color="auto" w:fill="auto"/>
              </w:rPr>
            </w:pPr>
            <w:bookmarkStart w:id="0" w:name="RANGE_A1_I22"/>
            <w:bookmarkEnd w:id="0"/>
            <w:bookmarkStart w:id="1" w:name="RANGE_A1_F16"/>
          </w:p>
          <w:p>
            <w:pPr>
              <w:jc w:val="center"/>
              <w:rPr>
                <w:rFonts w:hint="eastAsia" w:ascii="宋体" w:hAnsi="宋体" w:eastAsia="宋体" w:cs="宋体"/>
                <w:b/>
                <w:bCs/>
                <w:color w:val="000000"/>
                <w:kern w:val="0"/>
                <w:sz w:val="32"/>
                <w:szCs w:val="32"/>
                <w:highlight w:val="none"/>
                <w:shd w:val="clear" w:color="auto" w:fill="auto"/>
              </w:rPr>
            </w:pPr>
          </w:p>
          <w:p>
            <w:pPr>
              <w:jc w:val="center"/>
              <w:rPr>
                <w:rFonts w:hint="eastAsia" w:ascii="宋体" w:hAnsi="宋体" w:eastAsia="宋体" w:cs="宋体"/>
                <w:b/>
                <w:bCs/>
                <w:color w:val="000000"/>
                <w:kern w:val="0"/>
                <w:sz w:val="32"/>
                <w:szCs w:val="32"/>
                <w:highlight w:val="none"/>
                <w:shd w:val="clear" w:color="auto" w:fill="auto"/>
              </w:rPr>
            </w:pPr>
          </w:p>
          <w:p>
            <w:pPr>
              <w:jc w:val="center"/>
              <w:rPr>
                <w:rFonts w:hint="eastAsia" w:ascii="宋体" w:hAnsi="宋体" w:eastAsia="宋体" w:cs="宋体"/>
                <w:b/>
                <w:bCs/>
                <w:color w:val="000000"/>
                <w:kern w:val="0"/>
                <w:sz w:val="32"/>
                <w:szCs w:val="32"/>
                <w:highlight w:val="none"/>
                <w:shd w:val="clear" w:color="auto" w:fill="auto"/>
              </w:rPr>
            </w:pPr>
          </w:p>
          <w:p>
            <w:pPr>
              <w:jc w:val="center"/>
              <w:rPr>
                <w:rFonts w:hint="eastAsia" w:ascii="宋体" w:hAnsi="宋体" w:eastAsia="宋体" w:cs="宋体"/>
                <w:b/>
                <w:bCs/>
                <w:color w:val="000000"/>
                <w:kern w:val="0"/>
                <w:sz w:val="32"/>
                <w:szCs w:val="32"/>
                <w:highlight w:val="none"/>
                <w:shd w:val="clear" w:color="auto" w:fill="auto"/>
              </w:rPr>
            </w:pPr>
          </w:p>
          <w:p>
            <w:pPr>
              <w:jc w:val="center"/>
              <w:rPr>
                <w:rFonts w:hint="eastAsia" w:ascii="宋体" w:hAnsi="宋体" w:eastAsia="宋体" w:cs="宋体"/>
                <w:b/>
                <w:bCs/>
                <w:color w:val="000000"/>
                <w:kern w:val="0"/>
                <w:sz w:val="32"/>
                <w:szCs w:val="32"/>
                <w:highlight w:val="none"/>
                <w:shd w:val="clear" w:color="auto" w:fill="auto"/>
              </w:rPr>
            </w:pPr>
          </w:p>
          <w:p>
            <w:pPr>
              <w:jc w:val="center"/>
              <w:rPr>
                <w:rFonts w:hint="eastAsia" w:ascii="宋体" w:hAnsi="宋体" w:eastAsia="宋体" w:cs="宋体"/>
                <w:b/>
                <w:bCs/>
                <w:color w:val="000000"/>
                <w:kern w:val="0"/>
                <w:sz w:val="32"/>
                <w:szCs w:val="32"/>
                <w:highlight w:val="none"/>
                <w:shd w:val="clear" w:color="auto" w:fill="auto"/>
              </w:rPr>
            </w:pPr>
          </w:p>
          <w:p>
            <w:pPr>
              <w:jc w:val="center"/>
              <w:rPr>
                <w:rFonts w:ascii="Arial" w:hAnsi="Arial" w:eastAsia="宋体" w:cs="Arial"/>
                <w:color w:val="000000"/>
                <w:sz w:val="22"/>
                <w:highlight w:val="none"/>
                <w:shd w:val="clear" w:color="auto" w:fill="auto"/>
              </w:rPr>
            </w:pPr>
            <w:r>
              <w:rPr>
                <w:rFonts w:hint="eastAsia" w:ascii="宋体" w:hAnsi="宋体" w:eastAsia="宋体" w:cs="宋体"/>
                <w:b/>
                <w:bCs/>
                <w:color w:val="000000"/>
                <w:kern w:val="0"/>
                <w:sz w:val="32"/>
                <w:szCs w:val="32"/>
                <w:highlight w:val="none"/>
                <w:shd w:val="clear" w:color="auto" w:fill="auto"/>
              </w:rPr>
              <w:t>财政拨款收入支出决算总表</w:t>
            </w:r>
          </w:p>
        </w:tc>
      </w:tr>
      <w:tr>
        <w:tblPrEx>
          <w:tblCellMar>
            <w:top w:w="0" w:type="dxa"/>
            <w:left w:w="108" w:type="dxa"/>
            <w:bottom w:w="0" w:type="dxa"/>
            <w:right w:w="108" w:type="dxa"/>
          </w:tblCellMar>
        </w:tblPrEx>
        <w:trPr>
          <w:trHeight w:val="255" w:hRule="atLeast"/>
          <w:jc w:val="center"/>
        </w:trPr>
        <w:tc>
          <w:tcPr>
            <w:tcW w:w="1137"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224"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40"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2"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95"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92"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77"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49" w:type="pct"/>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公开04表</w:t>
            </w:r>
          </w:p>
        </w:tc>
      </w:tr>
      <w:tr>
        <w:tblPrEx>
          <w:tblCellMar>
            <w:top w:w="0" w:type="dxa"/>
            <w:left w:w="108" w:type="dxa"/>
            <w:bottom w:w="0" w:type="dxa"/>
            <w:right w:w="108" w:type="dxa"/>
          </w:tblCellMar>
        </w:tblPrEx>
        <w:trPr>
          <w:trHeight w:val="255" w:hRule="atLeast"/>
          <w:jc w:val="center"/>
        </w:trPr>
        <w:tc>
          <w:tcPr>
            <w:tcW w:w="1137" w:type="pct"/>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部门：湘潭县农业农村局</w:t>
            </w:r>
          </w:p>
        </w:tc>
        <w:tc>
          <w:tcPr>
            <w:tcW w:w="224"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40"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282"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195"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392"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477" w:type="pct"/>
            <w:tcBorders>
              <w:top w:val="nil"/>
              <w:left w:val="nil"/>
              <w:bottom w:val="nil"/>
              <w:right w:val="nil"/>
            </w:tcBorders>
            <w:shd w:val="clear" w:color="auto" w:fill="auto"/>
            <w:noWrap/>
            <w:vAlign w:val="bottom"/>
          </w:tcPr>
          <w:p>
            <w:pPr>
              <w:rPr>
                <w:rFonts w:ascii="Arial" w:hAnsi="Arial" w:eastAsia="宋体" w:cs="Arial"/>
                <w:color w:val="000000"/>
                <w:sz w:val="20"/>
                <w:szCs w:val="20"/>
                <w:highlight w:val="none"/>
                <w:shd w:val="clear" w:color="auto" w:fill="auto"/>
              </w:rPr>
            </w:pPr>
          </w:p>
        </w:tc>
        <w:tc>
          <w:tcPr>
            <w:tcW w:w="849" w:type="pct"/>
            <w:gridSpan w:val="2"/>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000000"/>
                <w:sz w:val="20"/>
                <w:szCs w:val="20"/>
                <w:highlight w:val="none"/>
                <w:shd w:val="clear" w:color="auto" w:fill="auto"/>
              </w:rPr>
            </w:pPr>
            <w:r>
              <w:rPr>
                <w:rFonts w:hint="eastAsia" w:ascii="宋体" w:hAnsi="宋体" w:eastAsia="宋体" w:cs="宋体"/>
                <w:color w:val="000000"/>
                <w:kern w:val="0"/>
                <w:sz w:val="20"/>
                <w:szCs w:val="20"/>
                <w:highlight w:val="none"/>
                <w:shd w:val="clear" w:color="auto" w:fill="auto"/>
              </w:rPr>
              <w:t>金额单位：万元</w:t>
            </w:r>
          </w:p>
        </w:tc>
      </w:tr>
      <w:tr>
        <w:tblPrEx>
          <w:tblCellMar>
            <w:top w:w="0" w:type="dxa"/>
            <w:left w:w="108" w:type="dxa"/>
            <w:bottom w:w="0" w:type="dxa"/>
            <w:right w:w="108" w:type="dxa"/>
          </w:tblCellMar>
        </w:tblPrEx>
        <w:trPr>
          <w:trHeight w:val="308" w:hRule="atLeast"/>
          <w:jc w:val="center"/>
        </w:trPr>
        <w:tc>
          <w:tcPr>
            <w:tcW w:w="180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收     入</w:t>
            </w:r>
          </w:p>
        </w:tc>
        <w:tc>
          <w:tcPr>
            <w:tcW w:w="3197" w:type="pct"/>
            <w:gridSpan w:val="6"/>
            <w:tcBorders>
              <w:top w:val="single" w:color="000000"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支     出</w:t>
            </w:r>
          </w:p>
        </w:tc>
      </w:tr>
      <w:tr>
        <w:tblPrEx>
          <w:tblCellMar>
            <w:top w:w="0" w:type="dxa"/>
            <w:left w:w="108" w:type="dxa"/>
            <w:bottom w:w="0" w:type="dxa"/>
            <w:right w:w="108" w:type="dxa"/>
          </w:tblCellMar>
        </w:tblPrEx>
        <w:trPr>
          <w:trHeight w:val="312" w:hRule="atLeast"/>
          <w:jc w:val="center"/>
        </w:trPr>
        <w:tc>
          <w:tcPr>
            <w:tcW w:w="11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224"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440"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金额</w:t>
            </w:r>
          </w:p>
        </w:tc>
        <w:tc>
          <w:tcPr>
            <w:tcW w:w="1282"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项目</w:t>
            </w:r>
          </w:p>
        </w:tc>
        <w:tc>
          <w:tcPr>
            <w:tcW w:w="195"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行次</w:t>
            </w:r>
          </w:p>
        </w:tc>
        <w:tc>
          <w:tcPr>
            <w:tcW w:w="392" w:type="pct"/>
            <w:vMerge w:val="restar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合计</w:t>
            </w:r>
          </w:p>
        </w:tc>
        <w:tc>
          <w:tcPr>
            <w:tcW w:w="477"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一般公共预算财政拨款</w:t>
            </w:r>
          </w:p>
        </w:tc>
        <w:tc>
          <w:tcPr>
            <w:tcW w:w="420"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政府性基金预算财政拨款</w:t>
            </w:r>
          </w:p>
        </w:tc>
        <w:tc>
          <w:tcPr>
            <w:tcW w:w="428" w:type="pct"/>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国有资本经营预算财政拨款</w:t>
            </w:r>
          </w:p>
        </w:tc>
      </w:tr>
      <w:tr>
        <w:tblPrEx>
          <w:tblCellMar>
            <w:top w:w="0" w:type="dxa"/>
            <w:left w:w="108" w:type="dxa"/>
            <w:bottom w:w="0" w:type="dxa"/>
            <w:right w:w="108" w:type="dxa"/>
          </w:tblCellMar>
        </w:tblPrEx>
        <w:trPr>
          <w:trHeight w:val="615" w:hRule="atLeast"/>
          <w:jc w:val="center"/>
        </w:trPr>
        <w:tc>
          <w:tcPr>
            <w:tcW w:w="1137" w:type="pct"/>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224" w:type="pct"/>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440" w:type="pct"/>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282" w:type="pct"/>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195" w:type="pct"/>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392" w:type="pct"/>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477" w:type="pct"/>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420" w:type="pct"/>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c>
          <w:tcPr>
            <w:tcW w:w="428" w:type="pct"/>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224" w:type="pct"/>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440"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128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栏次</w:t>
            </w:r>
          </w:p>
        </w:tc>
        <w:tc>
          <w:tcPr>
            <w:tcW w:w="195" w:type="pct"/>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000000"/>
                <w:sz w:val="22"/>
                <w:highlight w:val="none"/>
                <w:shd w:val="clear" w:color="auto" w:fill="auto"/>
              </w:rPr>
            </w:pPr>
          </w:p>
        </w:tc>
        <w:tc>
          <w:tcPr>
            <w:tcW w:w="39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一、一般公共预算财政拨款</w:t>
            </w: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一、一般公共服务支出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33</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二、政府性基金预算财政拨款</w:t>
            </w: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二、外交支出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34</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三、国有资本经营财政拨款</w:t>
            </w: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三、国防支出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35</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四、公共安全支出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36</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五、教育支出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37</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六、科学技术支出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38</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7</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七、文化旅游体育与传媒支出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39</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8</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八、社会保障和就业支出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40</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sz w:val="22"/>
                <w:highlight w:val="none"/>
                <w:shd w:val="clear" w:color="auto" w:fill="auto"/>
                <w:lang w:eastAsia="zh-CN"/>
              </w:rPr>
            </w:pPr>
            <w:r>
              <w:rPr>
                <w:rFonts w:hint="eastAsia"/>
              </w:rPr>
              <w:t>296.30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eastAsia" w:ascii="宋体" w:hAnsi="宋体" w:eastAsia="宋体" w:cs="宋体"/>
                <w:color w:val="000000"/>
                <w:kern w:val="2"/>
                <w:sz w:val="22"/>
                <w:szCs w:val="21"/>
                <w:highlight w:val="none"/>
                <w:shd w:val="clear" w:color="auto" w:fill="auto"/>
                <w:lang w:val="en-US" w:eastAsia="zh-CN" w:bidi="ar-SA"/>
              </w:rPr>
            </w:pPr>
            <w:r>
              <w:rPr>
                <w:rFonts w:hint="eastAsia"/>
              </w:rPr>
              <w:t>296.30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9</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九、卫生健康支出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41</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143.49</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143.49</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10</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十、节能环保支出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42</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1,951.33</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1,951.33</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11</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十一、城乡社区支出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43</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10.00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12</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十二、农林水支出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44</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32,872.80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32,872.80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13</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十三、交通运输支出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45</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15.00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15.00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14</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十四、资源勘探工业信息等支出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46</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15</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十五、商业服务业等支出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47</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593.85</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593.85</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16</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十六、金融支出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48</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90"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17</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十七、援助其他地区支出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49</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18</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十八、自然资源海洋气象等支出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50</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19</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十九、住房保障支出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51</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183.75</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183.75</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20</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二十、粮油物资储备支出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52</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9.40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9.40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21</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二十一、国有资本经营预算支出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53</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22</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二十二、灾害防治及应急管理支出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54</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auto"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224" w:type="pct"/>
            <w:tcBorders>
              <w:top w:val="nil"/>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23</w:t>
            </w:r>
          </w:p>
        </w:tc>
        <w:tc>
          <w:tcPr>
            <w:tcW w:w="440" w:type="pct"/>
            <w:tcBorders>
              <w:top w:val="nil"/>
              <w:left w:val="nil"/>
              <w:bottom w:val="single" w:color="auto"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二十三、其他支出</w:t>
            </w:r>
          </w:p>
        </w:tc>
        <w:tc>
          <w:tcPr>
            <w:tcW w:w="195" w:type="pct"/>
            <w:tcBorders>
              <w:top w:val="nil"/>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55</w:t>
            </w:r>
          </w:p>
        </w:tc>
        <w:tc>
          <w:tcPr>
            <w:tcW w:w="392" w:type="pct"/>
            <w:tcBorders>
              <w:top w:val="nil"/>
              <w:left w:val="nil"/>
              <w:bottom w:val="single" w:color="auto"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auto"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auto"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auto"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single" w:color="auto" w:sz="4" w:space="0"/>
              <w:left w:val="single" w:color="auto" w:sz="4" w:space="0"/>
              <w:bottom w:val="single" w:color="auto" w:sz="4" w:space="0"/>
              <w:right w:val="single" w:color="000000" w:sz="4" w:space="0"/>
            </w:tcBorders>
            <w:shd w:val="clear" w:color="auto" w:fill="auto"/>
            <w:noWrap/>
            <w:vAlign w:val="center"/>
          </w:tcPr>
          <w:p>
            <w:pPr>
              <w:jc w:val="center"/>
              <w:rPr>
                <w:rFonts w:ascii="宋体" w:hAnsi="宋体" w:eastAsia="宋体" w:cs="宋体"/>
                <w:b/>
                <w:bCs/>
                <w:color w:val="000000"/>
                <w:sz w:val="20"/>
                <w:szCs w:val="20"/>
                <w:highlight w:val="none"/>
                <w:shd w:val="clear" w:color="auto" w:fill="auto"/>
              </w:rPr>
            </w:pPr>
          </w:p>
        </w:tc>
        <w:tc>
          <w:tcPr>
            <w:tcW w:w="224" w:type="pct"/>
            <w:tcBorders>
              <w:top w:val="single" w:color="auto" w:sz="4" w:space="0"/>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24</w:t>
            </w:r>
          </w:p>
        </w:tc>
        <w:tc>
          <w:tcPr>
            <w:tcW w:w="440" w:type="pct"/>
            <w:tcBorders>
              <w:top w:val="single" w:color="auto" w:sz="4" w:space="0"/>
              <w:left w:val="nil"/>
              <w:bottom w:val="single" w:color="auto"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single" w:color="auto" w:sz="4" w:space="0"/>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二十四、债务还本支出</w:t>
            </w:r>
          </w:p>
        </w:tc>
        <w:tc>
          <w:tcPr>
            <w:tcW w:w="195" w:type="pct"/>
            <w:tcBorders>
              <w:top w:val="single" w:color="auto" w:sz="4" w:space="0"/>
              <w:left w:val="nil"/>
              <w:bottom w:val="single" w:color="auto"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56</w:t>
            </w:r>
          </w:p>
        </w:tc>
        <w:tc>
          <w:tcPr>
            <w:tcW w:w="392" w:type="pct"/>
            <w:tcBorders>
              <w:top w:val="single" w:color="auto" w:sz="4" w:space="0"/>
              <w:left w:val="nil"/>
              <w:bottom w:val="single" w:color="auto"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single" w:color="auto" w:sz="4" w:space="0"/>
              <w:left w:val="nil"/>
              <w:bottom w:val="single" w:color="auto"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single" w:color="auto"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highlight w:val="none"/>
                <w:shd w:val="clear" w:color="auto" w:fill="auto"/>
              </w:rPr>
            </w:pPr>
          </w:p>
        </w:tc>
        <w:tc>
          <w:tcPr>
            <w:tcW w:w="224" w:type="pct"/>
            <w:tcBorders>
              <w:top w:val="single" w:color="auto"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25</w:t>
            </w:r>
          </w:p>
        </w:tc>
        <w:tc>
          <w:tcPr>
            <w:tcW w:w="440" w:type="pct"/>
            <w:tcBorders>
              <w:top w:val="single" w:color="auto" w:sz="4" w:space="0"/>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single" w:color="auto" w:sz="4" w:space="0"/>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二十五、债务付息支出</w:t>
            </w:r>
          </w:p>
        </w:tc>
        <w:tc>
          <w:tcPr>
            <w:tcW w:w="195" w:type="pct"/>
            <w:tcBorders>
              <w:top w:val="single" w:color="auto" w:sz="4" w:space="0"/>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57</w:t>
            </w:r>
          </w:p>
        </w:tc>
        <w:tc>
          <w:tcPr>
            <w:tcW w:w="392"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single" w:color="auto" w:sz="4" w:space="0"/>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single" w:color="auto"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single" w:color="auto"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0"/>
                <w:szCs w:val="20"/>
                <w:highlight w:val="none"/>
                <w:shd w:val="clear" w:color="auto" w:fill="auto"/>
              </w:rPr>
            </w:pP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26</w:t>
            </w:r>
          </w:p>
        </w:tc>
        <w:tc>
          <w:tcPr>
            <w:tcW w:w="440"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二十六、抗疫特别国债安排的支出</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58</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本年收入合计</w:t>
            </w: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27</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hint="default" w:ascii="宋体" w:hAnsi="宋体" w:eastAsia="宋体" w:cs="宋体"/>
                <w:color w:val="000000"/>
                <w:sz w:val="22"/>
                <w:highlight w:val="none"/>
                <w:shd w:val="clear" w:color="auto" w:fill="auto"/>
                <w:lang w:val="en-US" w:eastAsia="zh-CN"/>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本年支出合计</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59</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36,075.92</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36,075.92</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年初财政拨款结转和结余</w:t>
            </w: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28</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年末财政拨款结转和结余</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60</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0.00</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0.00</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一般公共预算财政拨款</w:t>
            </w: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29</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61</w:t>
            </w:r>
          </w:p>
        </w:tc>
        <w:tc>
          <w:tcPr>
            <w:tcW w:w="3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政府性基金预算财政拨款</w:t>
            </w: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30</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62</w:t>
            </w:r>
          </w:p>
        </w:tc>
        <w:tc>
          <w:tcPr>
            <w:tcW w:w="3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 xml:space="preserve">  国有资本经营预算财政拨款</w:t>
            </w:r>
          </w:p>
        </w:tc>
        <w:tc>
          <w:tcPr>
            <w:tcW w:w="224"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31</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p>
        </w:tc>
        <w:tc>
          <w:tcPr>
            <w:tcW w:w="1282" w:type="pct"/>
            <w:tcBorders>
              <w:top w:val="nil"/>
              <w:left w:val="nil"/>
              <w:bottom w:val="single" w:color="000000" w:sz="4" w:space="0"/>
              <w:right w:val="single" w:color="000000" w:sz="4" w:space="0"/>
            </w:tcBorders>
            <w:shd w:val="clear" w:color="auto" w:fill="auto"/>
            <w:noWrap/>
            <w:vAlign w:val="center"/>
          </w:tcPr>
          <w:p>
            <w:pPr>
              <w:jc w:val="left"/>
              <w:rPr>
                <w:rFonts w:ascii="宋体" w:hAnsi="宋体" w:eastAsia="宋体" w:cs="宋体"/>
                <w:color w:val="000000"/>
                <w:sz w:val="22"/>
                <w:highlight w:val="none"/>
                <w:shd w:val="clear" w:color="auto" w:fill="auto"/>
              </w:rPr>
            </w:pP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63</w:t>
            </w:r>
          </w:p>
        </w:tc>
        <w:tc>
          <w:tcPr>
            <w:tcW w:w="3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sz w:val="22"/>
                <w:highlight w:val="none"/>
                <w:shd w:val="clear" w:color="auto" w:fill="auto"/>
              </w:rPr>
            </w:pPr>
          </w:p>
        </w:tc>
        <w:tc>
          <w:tcPr>
            <w:tcW w:w="477" w:type="pct"/>
            <w:tcBorders>
              <w:top w:val="nil"/>
              <w:left w:val="nil"/>
              <w:bottom w:val="single" w:color="000000" w:sz="4" w:space="0"/>
              <w:right w:val="single" w:color="000000" w:sz="4" w:space="0"/>
            </w:tcBorders>
            <w:shd w:val="clear" w:color="auto" w:fill="auto"/>
            <w:noWrap/>
            <w:vAlign w:val="center"/>
          </w:tcPr>
          <w:p>
            <w:pPr>
              <w:jc w:val="right"/>
              <w:rPr>
                <w:rFonts w:ascii="宋体" w:hAnsi="宋体" w:eastAsia="宋体" w:cs="宋体"/>
                <w:color w:val="000000"/>
                <w:kern w:val="2"/>
                <w:sz w:val="22"/>
                <w:szCs w:val="21"/>
                <w:highlight w:val="none"/>
                <w:shd w:val="clear" w:color="auto" w:fill="auto"/>
                <w:lang w:val="en-US" w:eastAsia="zh-CN" w:bidi="ar-SA"/>
              </w:rPr>
            </w:pP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p>
        </w:tc>
      </w:tr>
      <w:tr>
        <w:tblPrEx>
          <w:tblCellMar>
            <w:top w:w="0" w:type="dxa"/>
            <w:left w:w="108" w:type="dxa"/>
            <w:bottom w:w="0" w:type="dxa"/>
            <w:right w:w="108" w:type="dxa"/>
          </w:tblCellMar>
        </w:tblPrEx>
        <w:trPr>
          <w:trHeight w:val="308" w:hRule="atLeast"/>
          <w:jc w:val="center"/>
        </w:trPr>
        <w:tc>
          <w:tcPr>
            <w:tcW w:w="1137"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224" w:type="pct"/>
            <w:tcBorders>
              <w:top w:val="nil"/>
              <w:left w:val="nil"/>
              <w:bottom w:val="single" w:color="000000" w:sz="8"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32</w:t>
            </w:r>
          </w:p>
        </w:tc>
        <w:tc>
          <w:tcPr>
            <w:tcW w:w="440"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ascii="宋体" w:hAnsi="宋体" w:cs="宋体"/>
                <w:color w:val="000000"/>
                <w:sz w:val="22"/>
                <w:highlight w:val="none"/>
                <w:shd w:val="clear" w:color="auto" w:fill="auto"/>
                <w:lang w:val="en-US" w:eastAsia="zh-CN"/>
              </w:rPr>
              <w:t>36075.92</w:t>
            </w:r>
          </w:p>
        </w:tc>
        <w:tc>
          <w:tcPr>
            <w:tcW w:w="1282"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b/>
                <w:bCs/>
                <w:color w:val="000000"/>
                <w:sz w:val="22"/>
                <w:highlight w:val="none"/>
                <w:shd w:val="clear" w:color="auto" w:fill="auto"/>
              </w:rPr>
            </w:pPr>
            <w:r>
              <w:rPr>
                <w:rFonts w:hint="eastAsia" w:ascii="宋体" w:hAnsi="宋体" w:eastAsia="宋体" w:cs="宋体"/>
                <w:b/>
                <w:bCs/>
                <w:color w:val="000000"/>
                <w:kern w:val="0"/>
                <w:sz w:val="22"/>
                <w:highlight w:val="none"/>
                <w:shd w:val="clear" w:color="auto" w:fill="auto"/>
              </w:rPr>
              <w:t>总计</w:t>
            </w:r>
          </w:p>
        </w:tc>
        <w:tc>
          <w:tcPr>
            <w:tcW w:w="195" w:type="pc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2"/>
                <w:highlight w:val="none"/>
                <w:shd w:val="clear" w:color="auto" w:fill="auto"/>
              </w:rPr>
            </w:pPr>
            <w:r>
              <w:rPr>
                <w:rFonts w:hint="eastAsia" w:ascii="宋体" w:hAnsi="宋体" w:eastAsia="宋体" w:cs="宋体"/>
                <w:color w:val="000000"/>
                <w:kern w:val="0"/>
                <w:sz w:val="22"/>
                <w:highlight w:val="none"/>
                <w:shd w:val="clear" w:color="auto" w:fill="auto"/>
              </w:rPr>
              <w:t>64</w:t>
            </w:r>
          </w:p>
        </w:tc>
        <w:tc>
          <w:tcPr>
            <w:tcW w:w="392"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sz w:val="22"/>
                <w:highlight w:val="none"/>
                <w:shd w:val="clear" w:color="auto" w:fill="auto"/>
              </w:rPr>
            </w:pPr>
            <w:r>
              <w:rPr>
                <w:rFonts w:hint="eastAsia"/>
              </w:rPr>
              <w:t>36,075.92</w:t>
            </w:r>
          </w:p>
        </w:tc>
        <w:tc>
          <w:tcPr>
            <w:tcW w:w="477"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eastAsia="宋体" w:cs="宋体"/>
                <w:color w:val="000000"/>
                <w:kern w:val="2"/>
                <w:sz w:val="22"/>
                <w:szCs w:val="21"/>
                <w:highlight w:val="none"/>
                <w:shd w:val="clear" w:color="auto" w:fill="auto"/>
                <w:lang w:val="en-US" w:eastAsia="zh-CN" w:bidi="ar-SA"/>
              </w:rPr>
            </w:pPr>
            <w:r>
              <w:rPr>
                <w:rFonts w:hint="eastAsia"/>
              </w:rPr>
              <w:t>36,075.92</w:t>
            </w:r>
          </w:p>
        </w:tc>
        <w:tc>
          <w:tcPr>
            <w:tcW w:w="42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428"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宋体"/>
                <w:color w:val="000000"/>
                <w:sz w:val="22"/>
                <w:highlight w:val="none"/>
                <w:shd w:val="clear" w:color="auto" w:fill="auto"/>
              </w:rPr>
            </w:pPr>
            <w:r>
              <w:rPr>
                <w:rFonts w:hint="eastAsia" w:ascii="宋体" w:hAnsi="宋体" w:cs="宋体"/>
                <w:color w:val="000000"/>
                <w:kern w:val="0"/>
              </w:rPr>
              <w:t>　</w:t>
            </w:r>
            <w:r>
              <w:rPr>
                <w:rFonts w:hint="eastAsia" w:ascii="宋体" w:hAnsi="宋体" w:cs="宋体"/>
                <w:color w:val="000000"/>
                <w:kern w:val="0"/>
                <w:lang w:val="en-US" w:eastAsia="zh-CN"/>
              </w:rPr>
              <w:t>0.00</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widowControl/>
        <w:jc w:val="center"/>
        <w:rPr>
          <w:rFonts w:hint="eastAsia" w:ascii="Times New Roman" w:hAnsi="Times New Roman" w:eastAsia="方正小标宋_GBK" w:cs="方正小标宋_GBK"/>
          <w:kern w:val="0"/>
          <w:sz w:val="36"/>
          <w:szCs w:val="36"/>
        </w:rPr>
      </w:pPr>
    </w:p>
    <w:p>
      <w:pPr>
        <w:pStyle w:val="2"/>
        <w:rPr>
          <w:rFonts w:hint="eastAsia" w:ascii="Times New Roman" w:hAnsi="Times New Roman" w:eastAsia="方正小标宋_GBK" w:cs="方正小标宋_GBK"/>
          <w:kern w:val="0"/>
          <w:sz w:val="36"/>
          <w:szCs w:val="36"/>
        </w:rPr>
      </w:pPr>
    </w:p>
    <w:p>
      <w:pPr>
        <w:pStyle w:val="3"/>
        <w:rPr>
          <w:rFonts w:hint="eastAsia" w:ascii="Times New Roman" w:hAnsi="Times New Roman" w:eastAsia="方正小标宋_GBK" w:cs="方正小标宋_GBK"/>
          <w:kern w:val="0"/>
          <w:sz w:val="36"/>
          <w:szCs w:val="36"/>
        </w:rPr>
      </w:pPr>
    </w:p>
    <w:p>
      <w:pPr>
        <w:rPr>
          <w:rFonts w:hint="eastAsia" w:ascii="Times New Roman" w:hAnsi="Times New Roman" w:eastAsia="方正小标宋_GBK" w:cs="方正小标宋_GBK"/>
          <w:kern w:val="0"/>
          <w:sz w:val="36"/>
          <w:szCs w:val="36"/>
        </w:rPr>
      </w:pPr>
    </w:p>
    <w:p>
      <w:pPr>
        <w:pStyle w:val="2"/>
        <w:rPr>
          <w:rFonts w:hint="eastAsia"/>
        </w:rPr>
      </w:pPr>
    </w:p>
    <w:p>
      <w:pPr>
        <w:widowControl/>
        <w:jc w:val="both"/>
        <w:rPr>
          <w:rFonts w:hint="eastAsia" w:ascii="Times New Roman" w:hAnsi="Times New Roman" w:eastAsia="方正小标宋_GBK" w:cs="方正小标宋_GBK"/>
          <w:kern w:val="0"/>
          <w:sz w:val="36"/>
          <w:szCs w:val="36"/>
        </w:rPr>
      </w:pPr>
    </w:p>
    <w:bookmarkEnd w:id="1"/>
    <w:p>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p>
    <w:tbl>
      <w:tblPr>
        <w:tblStyle w:val="8"/>
        <w:tblW w:w="12386" w:type="dxa"/>
        <w:jc w:val="center"/>
        <w:tblLayout w:type="fixed"/>
        <w:tblCellMar>
          <w:top w:w="0" w:type="dxa"/>
          <w:left w:w="108" w:type="dxa"/>
          <w:bottom w:w="0" w:type="dxa"/>
          <w:right w:w="108" w:type="dxa"/>
        </w:tblCellMar>
      </w:tblPr>
      <w:tblGrid>
        <w:gridCol w:w="876"/>
        <w:gridCol w:w="330"/>
        <w:gridCol w:w="594"/>
        <w:gridCol w:w="4044"/>
        <w:gridCol w:w="2119"/>
        <w:gridCol w:w="2052"/>
        <w:gridCol w:w="2371"/>
      </w:tblGrid>
      <w:tr>
        <w:tblPrEx>
          <w:tblCellMar>
            <w:top w:w="0" w:type="dxa"/>
            <w:left w:w="108" w:type="dxa"/>
            <w:bottom w:w="0" w:type="dxa"/>
            <w:right w:w="108" w:type="dxa"/>
          </w:tblCellMar>
        </w:tblPrEx>
        <w:trPr>
          <w:trHeight w:val="390" w:hRule="atLeast"/>
          <w:jc w:val="center"/>
        </w:trPr>
        <w:tc>
          <w:tcPr>
            <w:tcW w:w="12386" w:type="dxa"/>
            <w:gridSpan w:val="7"/>
            <w:tcBorders>
              <w:top w:val="nil"/>
              <w:left w:val="nil"/>
              <w:bottom w:val="nil"/>
              <w:right w:val="nil"/>
            </w:tcBorders>
            <w:shd w:val="clear" w:color="auto" w:fill="auto"/>
            <w:noWrap/>
            <w:vAlign w:val="bottom"/>
          </w:tcPr>
          <w:p>
            <w:pPr>
              <w:widowControl/>
              <w:jc w:val="both"/>
              <w:textAlignment w:val="bottom"/>
              <w:rPr>
                <w:rFonts w:hint="eastAsia" w:ascii="宋体" w:hAnsi="宋体" w:eastAsia="宋体" w:cs="宋体"/>
                <w:b/>
                <w:bCs/>
                <w:color w:val="auto"/>
                <w:kern w:val="0"/>
                <w:sz w:val="32"/>
                <w:szCs w:val="32"/>
                <w:highlight w:val="none"/>
                <w:shd w:val="clear" w:color="auto" w:fill="auto"/>
              </w:rPr>
            </w:pPr>
          </w:p>
          <w:p>
            <w:pPr>
              <w:widowControl/>
              <w:jc w:val="center"/>
              <w:textAlignment w:val="bottom"/>
              <w:rPr>
                <w:rFonts w:ascii="宋体" w:hAnsi="宋体" w:eastAsia="宋体" w:cs="宋体"/>
                <w:color w:val="auto"/>
                <w:sz w:val="30"/>
                <w:szCs w:val="30"/>
                <w:highlight w:val="none"/>
                <w:shd w:val="clear" w:color="auto" w:fill="auto"/>
              </w:rPr>
            </w:pPr>
            <w:r>
              <w:rPr>
                <w:rFonts w:hint="eastAsia" w:ascii="宋体" w:hAnsi="宋体" w:eastAsia="宋体" w:cs="宋体"/>
                <w:b/>
                <w:bCs/>
                <w:color w:val="000000"/>
                <w:kern w:val="0"/>
                <w:sz w:val="32"/>
                <w:szCs w:val="32"/>
                <w:highlight w:val="none"/>
                <w:shd w:val="clear" w:color="auto" w:fill="auto"/>
              </w:rPr>
              <w:t>一般公共预算财政拨款支出决算表</w:t>
            </w:r>
          </w:p>
        </w:tc>
      </w:tr>
      <w:tr>
        <w:tblPrEx>
          <w:tblCellMar>
            <w:top w:w="0" w:type="dxa"/>
            <w:left w:w="108" w:type="dxa"/>
            <w:bottom w:w="0" w:type="dxa"/>
            <w:right w:w="108" w:type="dxa"/>
          </w:tblCellMar>
        </w:tblPrEx>
        <w:trPr>
          <w:trHeight w:val="255" w:hRule="atLeast"/>
          <w:jc w:val="center"/>
        </w:trPr>
        <w:tc>
          <w:tcPr>
            <w:tcW w:w="876"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330"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594"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4044"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119"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371"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公开05表</w:t>
            </w:r>
          </w:p>
        </w:tc>
      </w:tr>
      <w:tr>
        <w:tblPrEx>
          <w:tblCellMar>
            <w:top w:w="0" w:type="dxa"/>
            <w:left w:w="108" w:type="dxa"/>
            <w:bottom w:w="0" w:type="dxa"/>
            <w:right w:w="108" w:type="dxa"/>
          </w:tblCellMar>
        </w:tblPrEx>
        <w:trPr>
          <w:trHeight w:val="255" w:hRule="atLeast"/>
          <w:jc w:val="center"/>
        </w:trPr>
        <w:tc>
          <w:tcPr>
            <w:tcW w:w="5844" w:type="dxa"/>
            <w:gridSpan w:val="4"/>
            <w:tcBorders>
              <w:top w:val="nil"/>
              <w:left w:val="nil"/>
              <w:bottom w:val="nil"/>
              <w:right w:val="nil"/>
            </w:tcBorders>
            <w:shd w:val="clear" w:color="auto" w:fill="auto"/>
            <w:noWrap/>
            <w:vAlign w:val="bottom"/>
          </w:tcPr>
          <w:p>
            <w:pPr>
              <w:widowControl/>
              <w:jc w:val="lef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部门：湘潭县农业农村局</w:t>
            </w:r>
          </w:p>
        </w:tc>
        <w:tc>
          <w:tcPr>
            <w:tcW w:w="2119"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052" w:type="dxa"/>
            <w:tcBorders>
              <w:top w:val="nil"/>
              <w:left w:val="nil"/>
              <w:bottom w:val="nil"/>
              <w:right w:val="nil"/>
            </w:tcBorders>
            <w:shd w:val="clear" w:color="auto" w:fill="auto"/>
            <w:noWrap/>
            <w:vAlign w:val="bottom"/>
          </w:tcPr>
          <w:p>
            <w:pPr>
              <w:rPr>
                <w:rFonts w:ascii="Arial" w:hAnsi="Arial" w:eastAsia="宋体" w:cs="Arial"/>
                <w:color w:val="auto"/>
                <w:sz w:val="20"/>
                <w:szCs w:val="20"/>
                <w:highlight w:val="none"/>
                <w:shd w:val="clear" w:color="auto" w:fill="auto"/>
              </w:rPr>
            </w:pPr>
          </w:p>
        </w:tc>
        <w:tc>
          <w:tcPr>
            <w:tcW w:w="2371" w:type="dxa"/>
            <w:tcBorders>
              <w:top w:val="nil"/>
              <w:left w:val="nil"/>
              <w:bottom w:val="nil"/>
              <w:right w:val="nil"/>
            </w:tcBorders>
            <w:shd w:val="clear" w:color="auto" w:fill="auto"/>
            <w:noWrap/>
            <w:vAlign w:val="bottom"/>
          </w:tcPr>
          <w:p>
            <w:pPr>
              <w:widowControl/>
              <w:jc w:val="right"/>
              <w:textAlignment w:val="bottom"/>
              <w:rPr>
                <w:rFonts w:ascii="宋体" w:hAnsi="宋体" w:eastAsia="宋体" w:cs="宋体"/>
                <w:color w:val="auto"/>
                <w:sz w:val="20"/>
                <w:szCs w:val="20"/>
                <w:highlight w:val="none"/>
                <w:shd w:val="clear" w:color="auto" w:fill="auto"/>
              </w:rPr>
            </w:pPr>
            <w:r>
              <w:rPr>
                <w:rFonts w:hint="eastAsia" w:ascii="宋体" w:hAnsi="宋体" w:eastAsia="宋体" w:cs="宋体"/>
                <w:color w:val="auto"/>
                <w:kern w:val="0"/>
                <w:sz w:val="20"/>
                <w:szCs w:val="20"/>
                <w:highlight w:val="none"/>
                <w:shd w:val="clear" w:color="auto" w:fill="auto"/>
              </w:rPr>
              <w:t>金额单位：万元</w:t>
            </w:r>
          </w:p>
        </w:tc>
      </w:tr>
      <w:tr>
        <w:tblPrEx>
          <w:tblCellMar>
            <w:top w:w="0" w:type="dxa"/>
            <w:left w:w="108" w:type="dxa"/>
            <w:bottom w:w="0" w:type="dxa"/>
            <w:right w:w="108" w:type="dxa"/>
          </w:tblCellMar>
        </w:tblPrEx>
        <w:trPr>
          <w:trHeight w:val="308" w:hRule="atLeast"/>
          <w:jc w:val="center"/>
        </w:trPr>
        <w:tc>
          <w:tcPr>
            <w:tcW w:w="584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w:t>
            </w:r>
          </w:p>
        </w:tc>
        <w:tc>
          <w:tcPr>
            <w:tcW w:w="6542"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本年支出</w:t>
            </w:r>
          </w:p>
        </w:tc>
      </w:tr>
      <w:tr>
        <w:tblPrEx>
          <w:tblCellMar>
            <w:top w:w="0" w:type="dxa"/>
            <w:left w:w="108" w:type="dxa"/>
            <w:bottom w:w="0" w:type="dxa"/>
            <w:right w:w="108" w:type="dxa"/>
          </w:tblCellMar>
        </w:tblPrEx>
        <w:trPr>
          <w:trHeight w:val="312" w:hRule="atLeast"/>
          <w:jc w:val="center"/>
        </w:trPr>
        <w:tc>
          <w:tcPr>
            <w:tcW w:w="1800"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功能分类科目编码</w:t>
            </w:r>
          </w:p>
        </w:tc>
        <w:tc>
          <w:tcPr>
            <w:tcW w:w="4044" w:type="dxa"/>
            <w:vMerge w:val="restart"/>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科目名称</w:t>
            </w:r>
          </w:p>
        </w:tc>
        <w:tc>
          <w:tcPr>
            <w:tcW w:w="2119"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小计</w:t>
            </w:r>
          </w:p>
        </w:tc>
        <w:tc>
          <w:tcPr>
            <w:tcW w:w="2052"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基本支出</w:t>
            </w:r>
          </w:p>
        </w:tc>
        <w:tc>
          <w:tcPr>
            <w:tcW w:w="2371" w:type="dxa"/>
            <w:vMerge w:val="restart"/>
            <w:tcBorders>
              <w:top w:val="nil"/>
              <w:left w:val="nil"/>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项目支出</w:t>
            </w:r>
          </w:p>
        </w:tc>
      </w:tr>
      <w:tr>
        <w:tblPrEx>
          <w:tblCellMar>
            <w:top w:w="0" w:type="dxa"/>
            <w:left w:w="108" w:type="dxa"/>
            <w:bottom w:w="0" w:type="dxa"/>
            <w:right w:w="108" w:type="dxa"/>
          </w:tblCellMar>
        </w:tblPrEx>
        <w:trPr>
          <w:trHeight w:val="312" w:hRule="atLeast"/>
          <w:jc w:val="center"/>
        </w:trPr>
        <w:tc>
          <w:tcPr>
            <w:tcW w:w="180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4044"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22"/>
                <w:highlight w:val="none"/>
                <w:shd w:val="clear" w:color="auto" w:fill="auto"/>
              </w:rPr>
            </w:pPr>
          </w:p>
        </w:tc>
        <w:tc>
          <w:tcPr>
            <w:tcW w:w="2119"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2371"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r>
      <w:tr>
        <w:tblPrEx>
          <w:tblCellMar>
            <w:top w:w="0" w:type="dxa"/>
            <w:left w:w="108" w:type="dxa"/>
            <w:bottom w:w="0" w:type="dxa"/>
            <w:right w:w="108" w:type="dxa"/>
          </w:tblCellMar>
        </w:tblPrEx>
        <w:trPr>
          <w:trHeight w:val="312" w:hRule="atLeast"/>
          <w:jc w:val="center"/>
        </w:trPr>
        <w:tc>
          <w:tcPr>
            <w:tcW w:w="1800"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4044" w:type="dxa"/>
            <w:vMerge w:val="continue"/>
            <w:tcBorders>
              <w:top w:val="nil"/>
              <w:left w:val="nil"/>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22"/>
                <w:highlight w:val="none"/>
                <w:shd w:val="clear" w:color="auto" w:fill="auto"/>
              </w:rPr>
            </w:pPr>
          </w:p>
        </w:tc>
        <w:tc>
          <w:tcPr>
            <w:tcW w:w="2119"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2052"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c>
          <w:tcPr>
            <w:tcW w:w="2371" w:type="dxa"/>
            <w:vMerge w:val="continue"/>
            <w:tcBorders>
              <w:top w:val="nil"/>
              <w:left w:val="nil"/>
              <w:bottom w:val="single" w:color="000000" w:sz="4" w:space="0"/>
              <w:right w:val="single" w:color="000000" w:sz="4" w:space="0"/>
            </w:tcBorders>
            <w:shd w:val="clear" w:color="auto" w:fill="auto"/>
            <w:vAlign w:val="center"/>
          </w:tcPr>
          <w:p>
            <w:pPr>
              <w:jc w:val="center"/>
              <w:rPr>
                <w:rFonts w:ascii="宋体" w:hAnsi="宋体" w:eastAsia="宋体" w:cs="宋体"/>
                <w:color w:val="auto"/>
                <w:sz w:val="22"/>
                <w:highlight w:val="none"/>
                <w:shd w:val="clear" w:color="auto" w:fill="auto"/>
              </w:rPr>
            </w:pPr>
          </w:p>
        </w:tc>
      </w:tr>
      <w:tr>
        <w:tblPrEx>
          <w:tblCellMar>
            <w:top w:w="0" w:type="dxa"/>
            <w:left w:w="108" w:type="dxa"/>
            <w:bottom w:w="0" w:type="dxa"/>
            <w:right w:w="108" w:type="dxa"/>
          </w:tblCellMar>
        </w:tblPrEx>
        <w:trPr>
          <w:trHeight w:val="308" w:hRule="atLeast"/>
          <w:jc w:val="center"/>
        </w:trPr>
        <w:tc>
          <w:tcPr>
            <w:tcW w:w="5844"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栏次</w:t>
            </w:r>
          </w:p>
        </w:tc>
        <w:tc>
          <w:tcPr>
            <w:tcW w:w="2119"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1</w:t>
            </w:r>
          </w:p>
        </w:tc>
        <w:tc>
          <w:tcPr>
            <w:tcW w:w="2052"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2</w:t>
            </w:r>
          </w:p>
        </w:tc>
        <w:tc>
          <w:tcPr>
            <w:tcW w:w="2371" w:type="dxa"/>
            <w:tcBorders>
              <w:top w:val="nil"/>
              <w:left w:val="nil"/>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3</w:t>
            </w:r>
          </w:p>
        </w:tc>
      </w:tr>
      <w:tr>
        <w:tblPrEx>
          <w:tblCellMar>
            <w:top w:w="0" w:type="dxa"/>
            <w:left w:w="108" w:type="dxa"/>
            <w:bottom w:w="0" w:type="dxa"/>
            <w:right w:w="108" w:type="dxa"/>
          </w:tblCellMar>
        </w:tblPrEx>
        <w:trPr>
          <w:trHeight w:val="308" w:hRule="atLeast"/>
          <w:jc w:val="center"/>
        </w:trPr>
        <w:tc>
          <w:tcPr>
            <w:tcW w:w="5844" w:type="dxa"/>
            <w:gridSpan w:val="4"/>
            <w:tcBorders>
              <w:top w:val="nil"/>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kern w:val="0"/>
                <w:sz w:val="22"/>
                <w:highlight w:val="none"/>
                <w:shd w:val="clear" w:color="auto" w:fill="auto"/>
              </w:rPr>
              <w:t>合计</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36,075.92</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2,867.17</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33,208.75</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208</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社会保障和就业支出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296.30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296.30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20805</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行政事业单位养老支出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2080505</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机关事业单位基本养老保险缴费支出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199.64</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20808</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抚恤</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auto"/>
                <w:sz w:val="22"/>
                <w:highlight w:val="none"/>
                <w:shd w:val="clear" w:color="auto" w:fill="auto"/>
                <w:lang w:eastAsia="zh-CN"/>
              </w:rPr>
            </w:pPr>
            <w:r>
              <w:rPr>
                <w:rFonts w:hint="eastAsia" w:ascii="宋体" w:hAnsi="宋体" w:eastAsia="宋体" w:cs="宋体"/>
                <w:i w:val="0"/>
                <w:iCs w:val="0"/>
                <w:color w:val="000000"/>
                <w:kern w:val="0"/>
                <w:sz w:val="22"/>
                <w:szCs w:val="22"/>
                <w:u w:val="none"/>
                <w:lang w:val="en-US" w:eastAsia="zh-CN" w:bidi="ar"/>
              </w:rPr>
              <w:t>35.80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2080801</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死亡抚恤</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35.80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20827</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财政对其他社会保险基金的补助</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2082799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其他财政对社会保险基金的补助</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60.86</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210</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卫生健康支出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21011</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行政事业单位医疗</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2101101</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行政单位医疗</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143.49</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211</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节能环保支出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1,951.33</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21103</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污染防治</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2110399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其他污染防治支出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1,629.75</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21113</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循环经济</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2111301</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循环经济</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80.00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21199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其他节能环保支出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2119999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其他节能环保支出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241.58</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212</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城乡社区支出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21299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其他城乡社区支出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2129999</w:t>
            </w:r>
          </w:p>
        </w:tc>
        <w:tc>
          <w:tcPr>
            <w:tcW w:w="404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农林水支出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32,872.80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2,243.63</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30,629.17</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w:t>
            </w:r>
          </w:p>
        </w:tc>
        <w:tc>
          <w:tcPr>
            <w:tcW w:w="4044" w:type="dxa"/>
            <w:tcBorders>
              <w:top w:val="nil"/>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农业农村</w:t>
            </w:r>
          </w:p>
        </w:tc>
        <w:tc>
          <w:tcPr>
            <w:tcW w:w="2119"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30,238.22</w:t>
            </w:r>
          </w:p>
        </w:tc>
        <w:tc>
          <w:tcPr>
            <w:tcW w:w="2052"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371"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28,165.17</w:t>
            </w:r>
          </w:p>
        </w:tc>
      </w:tr>
      <w:tr>
        <w:tblPrEx>
          <w:tblCellMar>
            <w:top w:w="0" w:type="dxa"/>
            <w:left w:w="108" w:type="dxa"/>
            <w:bottom w:w="0" w:type="dxa"/>
            <w:right w:w="108" w:type="dxa"/>
          </w:tblCellMar>
        </w:tblPrEx>
        <w:trPr>
          <w:trHeight w:val="308" w:hRule="atLeast"/>
          <w:jc w:val="center"/>
        </w:trPr>
        <w:tc>
          <w:tcPr>
            <w:tcW w:w="180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2130101</w:t>
            </w:r>
          </w:p>
        </w:tc>
        <w:tc>
          <w:tcPr>
            <w:tcW w:w="4044" w:type="dxa"/>
            <w:tcBorders>
              <w:top w:val="single" w:color="auto" w:sz="4" w:space="0"/>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行政运行</w:t>
            </w:r>
          </w:p>
        </w:tc>
        <w:tc>
          <w:tcPr>
            <w:tcW w:w="2119"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052" w:type="dxa"/>
            <w:tcBorders>
              <w:top w:val="single" w:color="auto" w:sz="4" w:space="0"/>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2,073.05</w:t>
            </w:r>
          </w:p>
        </w:tc>
        <w:tc>
          <w:tcPr>
            <w:tcW w:w="237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2130102</w:t>
            </w:r>
          </w:p>
        </w:tc>
        <w:tc>
          <w:tcPr>
            <w:tcW w:w="4044" w:type="dxa"/>
            <w:tcBorders>
              <w:top w:val="single" w:color="auto" w:sz="4" w:space="0"/>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一般行政管理事务</w:t>
            </w:r>
          </w:p>
        </w:tc>
        <w:tc>
          <w:tcPr>
            <w:tcW w:w="2119"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25.00</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nil"/>
              <w:bottom w:val="single" w:color="000000"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auto"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2130104</w:t>
            </w:r>
          </w:p>
        </w:tc>
        <w:tc>
          <w:tcPr>
            <w:tcW w:w="4044" w:type="dxa"/>
            <w:tcBorders>
              <w:top w:val="nil"/>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事业运行</w:t>
            </w:r>
          </w:p>
        </w:tc>
        <w:tc>
          <w:tcPr>
            <w:tcW w:w="2119"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30.00</w:t>
            </w:r>
          </w:p>
        </w:tc>
        <w:tc>
          <w:tcPr>
            <w:tcW w:w="2052"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30.00</w:t>
            </w:r>
          </w:p>
        </w:tc>
      </w:tr>
      <w:tr>
        <w:tblPrEx>
          <w:tblCellMar>
            <w:top w:w="0" w:type="dxa"/>
            <w:left w:w="108" w:type="dxa"/>
            <w:bottom w:w="0" w:type="dxa"/>
            <w:right w:w="108" w:type="dxa"/>
          </w:tblCellMar>
        </w:tblPrEx>
        <w:trPr>
          <w:trHeight w:val="308" w:hRule="atLeast"/>
          <w:jc w:val="center"/>
        </w:trPr>
        <w:tc>
          <w:tcPr>
            <w:tcW w:w="1800"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2130105</w:t>
            </w:r>
          </w:p>
        </w:tc>
        <w:tc>
          <w:tcPr>
            <w:tcW w:w="4044" w:type="dxa"/>
            <w:tcBorders>
              <w:top w:val="single" w:color="auto" w:sz="4" w:space="0"/>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农垦运行</w:t>
            </w:r>
          </w:p>
        </w:tc>
        <w:tc>
          <w:tcPr>
            <w:tcW w:w="2119"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176.00</w:t>
            </w:r>
          </w:p>
        </w:tc>
        <w:tc>
          <w:tcPr>
            <w:tcW w:w="2052"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176.00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2130106</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科技转化与推广服务</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252.66</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252.66</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2130108</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病虫害控制</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839.96</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839.96</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2130109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农产品质量安全</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47.90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47.90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2130110</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执法监管</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45.00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45.00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2130111</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统计监测与信息服务</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6.00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2130119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防灾救灾</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2130121</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农业结构调整补贴</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844.81</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844.81</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2130122</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农业生产发展</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19,311.46</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19,311.46</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2130124</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农村合作经济</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378.61</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378.61</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2130125</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农产品加工与促销</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2130126</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农村社会事业</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1,718.64</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1,718.64</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2130135</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农业资源保护修复与利用</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2,417.18</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2,417.18</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2130148</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渔业发展</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100.00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ascii="宋体" w:hAnsi="宋体" w:eastAsia="宋体" w:cs="宋体"/>
                <w:color w:val="auto"/>
                <w:sz w:val="22"/>
                <w:highlight w:val="none"/>
                <w:shd w:val="clear" w:color="auto" w:fill="auto"/>
              </w:rPr>
              <w:t>2130199</w:t>
            </w:r>
            <w:r>
              <w:rPr>
                <w:rFonts w:hint="eastAsia" w:ascii="宋体" w:hAnsi="宋体" w:eastAsia="宋体" w:cs="宋体"/>
                <w:color w:val="auto"/>
                <w:sz w:val="22"/>
                <w:highlight w:val="none"/>
                <w:shd w:val="clear" w:color="auto" w:fill="auto"/>
              </w:rPr>
              <w:tab/>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其他农业农村支出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1,919.95</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1,919.95</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21302</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林业和草原</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2130201</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行政运行</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170.58</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21305</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巩固脱贫衔接乡村振兴</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305.00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305.00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2130505</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生产发展</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50.00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2130599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其他巩固脱贫衔接乡村振兴支出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255.00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255.00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21399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其他农林水支出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2139999</w:t>
            </w:r>
          </w:p>
        </w:tc>
        <w:tc>
          <w:tcPr>
            <w:tcW w:w="4044" w:type="dxa"/>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其他农林水支出</w:t>
            </w:r>
          </w:p>
        </w:tc>
        <w:tc>
          <w:tcPr>
            <w:tcW w:w="211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c>
          <w:tcPr>
            <w:tcW w:w="205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2,159.00</w:t>
            </w:r>
          </w:p>
        </w:tc>
      </w:tr>
      <w:tr>
        <w:tblPrEx>
          <w:tblCellMar>
            <w:top w:w="0" w:type="dxa"/>
            <w:left w:w="108" w:type="dxa"/>
            <w:bottom w:w="0" w:type="dxa"/>
            <w:right w:w="108" w:type="dxa"/>
          </w:tblCellMar>
        </w:tblPrEx>
        <w:trPr>
          <w:trHeight w:val="308" w:hRule="atLeast"/>
          <w:jc w:val="center"/>
        </w:trPr>
        <w:tc>
          <w:tcPr>
            <w:tcW w:w="1800" w:type="dxa"/>
            <w:gridSpan w:val="3"/>
            <w:tcBorders>
              <w:top w:val="nil"/>
              <w:left w:val="single" w:color="000000" w:sz="4" w:space="0"/>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214</w:t>
            </w:r>
          </w:p>
        </w:tc>
        <w:tc>
          <w:tcPr>
            <w:tcW w:w="4044" w:type="dxa"/>
            <w:tcBorders>
              <w:top w:val="nil"/>
              <w:left w:val="nil"/>
              <w:bottom w:val="single" w:color="auto" w:sz="4" w:space="0"/>
              <w:right w:val="single" w:color="000000"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交通运输支出</w:t>
            </w:r>
          </w:p>
        </w:tc>
        <w:tc>
          <w:tcPr>
            <w:tcW w:w="2119"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nil"/>
              <w:left w:val="nil"/>
              <w:bottom w:val="single" w:color="auto"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tblPrEx>
          <w:tblCellMar>
            <w:top w:w="0" w:type="dxa"/>
            <w:left w:w="108" w:type="dxa"/>
            <w:bottom w:w="0" w:type="dxa"/>
            <w:right w:w="108" w:type="dxa"/>
          </w:tblCellMar>
        </w:tblPrEx>
        <w:trPr>
          <w:trHeight w:val="270"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21499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其他交通运输支出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2149999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其他交通运输支出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15.00</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216</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商业服务业等支出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21602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商业流通事务</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2160299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其他商业流通事务支出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593.85</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221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住房保障支出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22102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住房改革支出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2210201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住房公积金</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183.75</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222</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粮油物资储备支出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22201</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粮油物资事务</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kern w:val="2"/>
                <w:sz w:val="22"/>
                <w:szCs w:val="21"/>
                <w:highlight w:val="none"/>
                <w:shd w:val="clear" w:color="auto" w:fill="auto"/>
                <w:lang w:val="en-US" w:eastAsia="zh-CN" w:bidi="ar-SA"/>
              </w:rPr>
            </w:pPr>
            <w:r>
              <w:rPr>
                <w:rFonts w:hint="eastAsia" w:ascii="宋体" w:hAnsi="宋体" w:eastAsia="宋体" w:cs="宋体"/>
                <w:i w:val="0"/>
                <w:iCs w:val="0"/>
                <w:color w:val="000000"/>
                <w:kern w:val="0"/>
                <w:sz w:val="22"/>
                <w:szCs w:val="22"/>
                <w:u w:val="none"/>
                <w:lang w:val="en-US" w:eastAsia="zh-CN" w:bidi="ar"/>
              </w:rPr>
              <w:t>9.40</w:t>
            </w:r>
          </w:p>
        </w:tc>
      </w:tr>
      <w:tr>
        <w:tblPrEx>
          <w:tblCellMar>
            <w:top w:w="0" w:type="dxa"/>
            <w:left w:w="108" w:type="dxa"/>
            <w:bottom w:w="0" w:type="dxa"/>
            <w:right w:w="108" w:type="dxa"/>
          </w:tblCellMar>
        </w:tblPrEx>
        <w:trPr>
          <w:trHeight w:val="285" w:hRule="atLeast"/>
          <w:jc w:val="center"/>
        </w:trPr>
        <w:tc>
          <w:tcPr>
            <w:tcW w:w="180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hint="eastAsia"/>
              </w:rPr>
            </w:pPr>
            <w:r>
              <w:rPr>
                <w:rFonts w:hint="eastAsia"/>
              </w:rPr>
              <w:t>2220199</w:t>
            </w:r>
          </w:p>
        </w:tc>
        <w:tc>
          <w:tcPr>
            <w:tcW w:w="40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auto"/>
                <w:sz w:val="22"/>
                <w:highlight w:val="none"/>
                <w:shd w:val="clear" w:color="auto" w:fill="auto"/>
              </w:rPr>
            </w:pPr>
            <w:r>
              <w:rPr>
                <w:rFonts w:hint="eastAsia"/>
              </w:rPr>
              <w:t xml:space="preserve">  其他粮油物资事务支出</w:t>
            </w:r>
          </w:p>
        </w:tc>
        <w:tc>
          <w:tcPr>
            <w:tcW w:w="211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c>
          <w:tcPr>
            <w:tcW w:w="205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0.00</w:t>
            </w:r>
          </w:p>
        </w:tc>
        <w:tc>
          <w:tcPr>
            <w:tcW w:w="237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auto"/>
                <w:sz w:val="22"/>
                <w:highlight w:val="none"/>
                <w:shd w:val="clear" w:color="auto" w:fill="auto"/>
              </w:rPr>
            </w:pPr>
            <w:r>
              <w:rPr>
                <w:rFonts w:hint="eastAsia" w:ascii="宋体" w:hAnsi="宋体" w:eastAsia="宋体" w:cs="宋体"/>
                <w:i w:val="0"/>
                <w:iCs w:val="0"/>
                <w:color w:val="000000"/>
                <w:kern w:val="0"/>
                <w:sz w:val="22"/>
                <w:szCs w:val="22"/>
                <w:u w:val="none"/>
                <w:lang w:val="en-US" w:eastAsia="zh-CN" w:bidi="ar"/>
              </w:rPr>
              <w:t>9.40</w:t>
            </w:r>
          </w:p>
        </w:tc>
      </w:tr>
    </w:tbl>
    <w:p>
      <w:pPr>
        <w:widowControl/>
        <w:ind w:firstLine="1680" w:firstLineChars="800"/>
        <w:jc w:val="left"/>
        <w:rPr>
          <w:rFonts w:ascii="Times New Roman" w:hAnsi="Times New Roman" w:eastAsia="仿宋_GB2312" w:cs="Times New Roman"/>
          <w:kern w:val="0"/>
        </w:rPr>
      </w:pPr>
      <w:r>
        <w:rPr>
          <w:rFonts w:hint="eastAsia"/>
        </w:rPr>
        <w:t>注：本表反映部门本年度一般公共预算财政拨款支出情况。</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8"/>
        <w:tblW w:w="15130" w:type="dxa"/>
        <w:tblInd w:w="188" w:type="dxa"/>
        <w:tblLayout w:type="fixed"/>
        <w:tblCellMar>
          <w:top w:w="0" w:type="dxa"/>
          <w:left w:w="108" w:type="dxa"/>
          <w:bottom w:w="0" w:type="dxa"/>
          <w:right w:w="108" w:type="dxa"/>
        </w:tblCellMar>
      </w:tblPr>
      <w:tblGrid>
        <w:gridCol w:w="775"/>
        <w:gridCol w:w="3414"/>
        <w:gridCol w:w="1276"/>
        <w:gridCol w:w="1059"/>
        <w:gridCol w:w="2247"/>
        <w:gridCol w:w="1319"/>
        <w:gridCol w:w="1026"/>
        <w:gridCol w:w="2892"/>
        <w:gridCol w:w="1122"/>
      </w:tblGrid>
      <w:tr>
        <w:tblPrEx>
          <w:tblCellMar>
            <w:top w:w="0" w:type="dxa"/>
            <w:left w:w="108" w:type="dxa"/>
            <w:bottom w:w="0" w:type="dxa"/>
            <w:right w:w="108" w:type="dxa"/>
          </w:tblCellMar>
        </w:tblPrEx>
        <w:trPr>
          <w:trHeight w:val="113" w:hRule="atLeast"/>
        </w:trPr>
        <w:tc>
          <w:tcPr>
            <w:tcW w:w="15130" w:type="dxa"/>
            <w:gridSpan w:val="9"/>
            <w:tcBorders>
              <w:top w:val="nil"/>
              <w:left w:val="nil"/>
              <w:bottom w:val="nil"/>
              <w:right w:val="nil"/>
            </w:tcBorders>
            <w:noWrap/>
            <w:vAlign w:val="center"/>
          </w:tcPr>
          <w:p>
            <w:pPr>
              <w:widowControl/>
              <w:jc w:val="center"/>
              <w:textAlignment w:val="bottom"/>
              <w:rPr>
                <w:rFonts w:hint="eastAsia" w:ascii="宋体" w:hAnsi="宋体" w:eastAsia="宋体" w:cs="宋体"/>
                <w:b/>
                <w:bCs/>
                <w:color w:val="000000"/>
                <w:kern w:val="0"/>
                <w:sz w:val="32"/>
                <w:szCs w:val="32"/>
                <w:highlight w:val="none"/>
                <w:shd w:val="clear" w:color="auto" w:fill="auto"/>
              </w:rPr>
            </w:pPr>
            <w:bookmarkStart w:id="2" w:name="RANGE_A1_I34"/>
            <w:r>
              <w:rPr>
                <w:rFonts w:hint="eastAsia" w:ascii="宋体" w:hAnsi="宋体" w:eastAsia="宋体" w:cs="宋体"/>
                <w:b/>
                <w:bCs/>
                <w:color w:val="000000"/>
                <w:kern w:val="0"/>
                <w:sz w:val="32"/>
                <w:szCs w:val="32"/>
                <w:highlight w:val="none"/>
                <w:shd w:val="clear" w:color="auto" w:fill="auto"/>
              </w:rPr>
              <w:t>一般公共预算财政拨款基本支出决算表</w:t>
            </w:r>
            <w:bookmarkEnd w:id="2"/>
          </w:p>
          <w:p>
            <w:pPr>
              <w:widowControl/>
              <w:wordWrap w:val="0"/>
              <w:ind w:firstLine="420" w:firstLineChars="200"/>
              <w:jc w:val="center"/>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both"/>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部门：</w:t>
            </w:r>
            <w:r>
              <w:rPr>
                <w:rFonts w:hint="eastAsia" w:ascii="宋体" w:hAnsi="宋体" w:eastAsia="宋体" w:cs="宋体"/>
                <w:color w:val="auto"/>
                <w:kern w:val="0"/>
                <w:sz w:val="20"/>
                <w:szCs w:val="20"/>
                <w:highlight w:val="none"/>
                <w:shd w:val="clear" w:color="auto" w:fill="auto"/>
              </w:rPr>
              <w:t>湘潭县农业农村局</w:t>
            </w:r>
            <w:r>
              <w:rPr>
                <w:rFonts w:hint="eastAsia" w:ascii="宋体" w:hAnsi="宋体" w:cs="宋体"/>
                <w:color w:val="auto"/>
                <w:kern w:val="0"/>
                <w:sz w:val="20"/>
                <w:szCs w:val="20"/>
                <w:highlight w:val="none"/>
                <w:shd w:val="clear" w:color="auto" w:fill="auto"/>
                <w:lang w:val="en-US" w:eastAsia="zh-CN"/>
              </w:rPr>
              <w:t xml:space="preserve">                                                                                                                   </w:t>
            </w: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113" w:hRule="atLeast"/>
        </w:trPr>
        <w:tc>
          <w:tcPr>
            <w:tcW w:w="77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41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05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24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31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c>
          <w:tcPr>
            <w:tcW w:w="102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经济分类科目编码</w:t>
            </w:r>
          </w:p>
        </w:tc>
        <w:tc>
          <w:tcPr>
            <w:tcW w:w="289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科目名称</w:t>
            </w:r>
          </w:p>
        </w:tc>
        <w:tc>
          <w:tcPr>
            <w:tcW w:w="112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rPr>
            </w:pPr>
            <w:r>
              <w:rPr>
                <w:rFonts w:hint="eastAsia" w:ascii="宋体" w:hAnsi="宋体" w:cs="宋体"/>
                <w:color w:val="000000"/>
                <w:kern w:val="0"/>
              </w:rPr>
              <w:t>决算数</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工资福利支出</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2,509.79</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商品和服务支出</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286.08</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债务利息及费用支出</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30101</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998.57</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30201</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26.66</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30701</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30102</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180.29</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30202</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6.52</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30702</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30103</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395.67</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30203</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0.10</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资本性支出</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30106</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37.01</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30204</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319" w:type="dxa"/>
            <w:tcBorders>
              <w:top w:val="nil"/>
              <w:left w:val="nil"/>
              <w:bottom w:val="single" w:color="auto" w:sz="4" w:space="0"/>
              <w:right w:val="single" w:color="auto" w:sz="4" w:space="0"/>
            </w:tcBorders>
            <w:noWrap/>
            <w:vAlign w:val="center"/>
          </w:tcPr>
          <w:p>
            <w:pPr>
              <w:widowControl/>
              <w:ind w:firstLine="210" w:firstLineChars="100"/>
              <w:jc w:val="left"/>
              <w:rPr>
                <w:rFonts w:ascii="宋体" w:cs="Times New Roman"/>
                <w:color w:val="000000"/>
                <w:kern w:val="0"/>
              </w:rPr>
            </w:pPr>
            <w:r>
              <w:rPr>
                <w:rFonts w:hint="eastAsia" w:ascii="宋体" w:hAnsi="宋体" w:cs="宋体"/>
                <w:color w:val="000000"/>
                <w:kern w:val="0"/>
                <w:lang w:val="en-US" w:eastAsia="zh-CN"/>
              </w:rPr>
              <w:t>0.00</w:t>
            </w:r>
            <w:r>
              <w:rPr>
                <w:rFonts w:hint="eastAsia" w:ascii="宋体" w:hAnsi="宋体" w:cs="宋体"/>
                <w:color w:val="000000"/>
                <w:kern w:val="0"/>
              </w:rPr>
              <w:t>　</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31001</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30107</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241.22</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30205</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2.55</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31002</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30108</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203.78</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30206</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15.93</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31003</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30109</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46.14</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30207</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5.42</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31005</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30110</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97.61</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30208</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31006</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30111</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30209</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4.37</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31007</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30112</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73.90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30211</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13.93</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31008</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30113</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276" w:type="dxa"/>
            <w:tcBorders>
              <w:top w:val="nil"/>
              <w:left w:val="nil"/>
              <w:bottom w:val="single" w:color="auto" w:sz="4" w:space="0"/>
              <w:right w:val="single" w:color="auto" w:sz="4" w:space="0"/>
            </w:tcBorders>
            <w:noWrap/>
            <w:vAlign w:val="center"/>
          </w:tcPr>
          <w:p>
            <w:pPr>
              <w:widowControl/>
              <w:ind w:firstLine="210" w:firstLineChars="100"/>
              <w:jc w:val="left"/>
              <w:rPr>
                <w:rFonts w:hint="default" w:ascii="宋体" w:hAnsi="宋体" w:cs="宋体"/>
                <w:color w:val="000000"/>
                <w:kern w:val="0"/>
                <w:lang w:val="en-US" w:eastAsia="zh-CN"/>
              </w:rPr>
            </w:pPr>
            <w:r>
              <w:rPr>
                <w:rFonts w:hint="eastAsia" w:ascii="宋体" w:hAnsi="宋体" w:cs="宋体"/>
                <w:color w:val="000000"/>
                <w:kern w:val="0"/>
                <w:lang w:val="en-US" w:eastAsia="zh-CN"/>
              </w:rPr>
              <w:t>214.22</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30212</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31009</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30114</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276" w:type="dxa"/>
            <w:tcBorders>
              <w:top w:val="nil"/>
              <w:left w:val="nil"/>
              <w:bottom w:val="single" w:color="auto" w:sz="4" w:space="0"/>
              <w:right w:val="single" w:color="auto" w:sz="4" w:space="0"/>
            </w:tcBorders>
            <w:noWrap/>
            <w:vAlign w:val="center"/>
          </w:tcPr>
          <w:p>
            <w:pPr>
              <w:widowControl/>
              <w:ind w:firstLine="210" w:firstLineChars="100"/>
              <w:jc w:val="left"/>
              <w:rPr>
                <w:rFonts w:hint="default" w:ascii="宋体" w:hAnsi="宋体" w:cs="宋体"/>
                <w:color w:val="000000"/>
                <w:kern w:val="0"/>
                <w:lang w:val="en-US" w:eastAsia="zh-CN"/>
              </w:rPr>
            </w:pP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30213</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18.87</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31010</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30199</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21.38</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30214</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31011</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对个人和家庭的补助</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71.3</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30215</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4.5</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31012</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30301</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2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30216</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1.7</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31013</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30302</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2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30217</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23.52</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31019</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30303</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2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30218</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31021</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30304</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276" w:type="dxa"/>
            <w:tcBorders>
              <w:top w:val="nil"/>
              <w:left w:val="nil"/>
              <w:bottom w:val="single" w:color="auto" w:sz="4" w:space="0"/>
              <w:right w:val="single" w:color="auto" w:sz="4" w:space="0"/>
            </w:tcBorders>
            <w:noWrap/>
            <w:vAlign w:val="center"/>
          </w:tcPr>
          <w:p>
            <w:pPr>
              <w:widowControl/>
              <w:ind w:firstLine="210" w:firstLineChars="100"/>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21.94</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30224</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31022</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30305</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276" w:type="dxa"/>
            <w:tcBorders>
              <w:top w:val="nil"/>
              <w:left w:val="nil"/>
              <w:bottom w:val="single" w:color="auto" w:sz="4" w:space="0"/>
              <w:right w:val="single" w:color="auto" w:sz="4" w:space="0"/>
            </w:tcBorders>
            <w:noWrap/>
            <w:vAlign w:val="center"/>
          </w:tcPr>
          <w:p>
            <w:pPr>
              <w:widowControl/>
              <w:ind w:firstLine="210" w:firstLineChars="100"/>
              <w:jc w:val="left"/>
              <w:rPr>
                <w:rFonts w:hint="default" w:ascii="宋体" w:eastAsia="宋体" w:cs="Times New Roman"/>
                <w:color w:val="000000"/>
                <w:kern w:val="0"/>
                <w:lang w:val="en-US" w:eastAsia="zh-CN"/>
              </w:rPr>
            </w:pPr>
            <w:r>
              <w:rPr>
                <w:rFonts w:hint="eastAsia" w:ascii="宋体" w:cs="Times New Roman"/>
                <w:color w:val="000000"/>
                <w:kern w:val="0"/>
                <w:lang w:val="en-US" w:eastAsia="zh-CN"/>
              </w:rPr>
              <w:t>32.04</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30225</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31099</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30306</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2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30226</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21.15</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其他支出</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30307</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2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30227</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39906</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30308</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2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30228</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14.97</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39907</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30309</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2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30229</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7.26</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39908</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nil"/>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30310</w:t>
            </w:r>
          </w:p>
        </w:tc>
        <w:tc>
          <w:tcPr>
            <w:tcW w:w="3414"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27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c>
          <w:tcPr>
            <w:tcW w:w="1059"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30231</w:t>
            </w:r>
          </w:p>
        </w:tc>
        <w:tc>
          <w:tcPr>
            <w:tcW w:w="2247"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319"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16.74</w:t>
            </w:r>
          </w:p>
        </w:tc>
        <w:tc>
          <w:tcPr>
            <w:tcW w:w="1026"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39999</w:t>
            </w:r>
          </w:p>
        </w:tc>
        <w:tc>
          <w:tcPr>
            <w:tcW w:w="289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1122" w:type="dxa"/>
            <w:tcBorders>
              <w:top w:val="nil"/>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r>
              <w:rPr>
                <w:rFonts w:hint="eastAsia" w:ascii="宋体" w:hAnsi="宋体" w:cs="宋体"/>
                <w:color w:val="000000"/>
                <w:kern w:val="0"/>
                <w:lang w:val="en-US" w:eastAsia="zh-CN"/>
              </w:rPr>
              <w:t>0.00</w:t>
            </w:r>
          </w:p>
        </w:tc>
      </w:tr>
      <w:tr>
        <w:tblPrEx>
          <w:tblCellMar>
            <w:top w:w="0" w:type="dxa"/>
            <w:left w:w="108" w:type="dxa"/>
            <w:bottom w:w="0" w:type="dxa"/>
            <w:right w:w="108" w:type="dxa"/>
          </w:tblCellMar>
        </w:tblPrEx>
        <w:trPr>
          <w:trHeight w:val="284" w:hRule="exact"/>
        </w:trPr>
        <w:tc>
          <w:tcPr>
            <w:tcW w:w="77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30311</w:t>
            </w:r>
          </w:p>
        </w:tc>
        <w:tc>
          <w:tcPr>
            <w:tcW w:w="3414"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276" w:type="dxa"/>
            <w:tcBorders>
              <w:top w:val="single" w:color="auto" w:sz="4" w:space="0"/>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9.36</w:t>
            </w:r>
          </w:p>
        </w:tc>
        <w:tc>
          <w:tcPr>
            <w:tcW w:w="1059"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30239</w:t>
            </w:r>
          </w:p>
        </w:tc>
        <w:tc>
          <w:tcPr>
            <w:tcW w:w="2247"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319" w:type="dxa"/>
            <w:tcBorders>
              <w:top w:val="single" w:color="auto" w:sz="4" w:space="0"/>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92.43</w:t>
            </w:r>
          </w:p>
        </w:tc>
        <w:tc>
          <w:tcPr>
            <w:tcW w:w="1026"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77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30399</w:t>
            </w:r>
          </w:p>
        </w:tc>
        <w:tc>
          <w:tcPr>
            <w:tcW w:w="3414"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276" w:type="dxa"/>
            <w:tcBorders>
              <w:top w:val="single" w:color="auto" w:sz="4" w:space="0"/>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7.98</w:t>
            </w:r>
          </w:p>
        </w:tc>
        <w:tc>
          <w:tcPr>
            <w:tcW w:w="1059"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30240</w:t>
            </w:r>
          </w:p>
        </w:tc>
        <w:tc>
          <w:tcPr>
            <w:tcW w:w="2247"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319" w:type="dxa"/>
            <w:tcBorders>
              <w:top w:val="single" w:color="auto" w:sz="4" w:space="0"/>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0.64</w:t>
            </w:r>
          </w:p>
        </w:tc>
        <w:tc>
          <w:tcPr>
            <w:tcW w:w="1026"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775" w:type="dxa"/>
            <w:tcBorders>
              <w:top w:val="single" w:color="auto" w:sz="4" w:space="0"/>
              <w:left w:val="single" w:color="auto" w:sz="4" w:space="0"/>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3414"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276"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059"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30299</w:t>
            </w:r>
          </w:p>
        </w:tc>
        <w:tc>
          <w:tcPr>
            <w:tcW w:w="2247"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319" w:type="dxa"/>
            <w:tcBorders>
              <w:top w:val="single" w:color="auto" w:sz="4" w:space="0"/>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8.82</w:t>
            </w:r>
          </w:p>
        </w:tc>
        <w:tc>
          <w:tcPr>
            <w:tcW w:w="1026"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2892"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c>
          <w:tcPr>
            <w:tcW w:w="1122" w:type="dxa"/>
            <w:tcBorders>
              <w:top w:val="single" w:color="auto" w:sz="4" w:space="0"/>
              <w:left w:val="nil"/>
              <w:bottom w:val="single" w:color="auto" w:sz="4" w:space="0"/>
              <w:right w:val="single" w:color="auto" w:sz="4" w:space="0"/>
            </w:tcBorders>
            <w:noWrap/>
            <w:vAlign w:val="center"/>
          </w:tcPr>
          <w:p>
            <w:pPr>
              <w:widowControl/>
              <w:jc w:val="left"/>
              <w:rPr>
                <w:rFonts w:ascii="宋体" w:cs="Times New Roman"/>
                <w:color w:val="000000"/>
                <w:kern w:val="0"/>
              </w:rPr>
            </w:pPr>
            <w:r>
              <w:rPr>
                <w:rFonts w:hint="eastAsia" w:ascii="宋体" w:hAnsi="宋体" w:cs="宋体"/>
                <w:color w:val="000000"/>
                <w:kern w:val="0"/>
              </w:rPr>
              <w:t>　</w:t>
            </w:r>
          </w:p>
        </w:tc>
      </w:tr>
      <w:tr>
        <w:tblPrEx>
          <w:tblCellMar>
            <w:top w:w="0" w:type="dxa"/>
            <w:left w:w="108" w:type="dxa"/>
            <w:bottom w:w="0" w:type="dxa"/>
            <w:right w:w="108" w:type="dxa"/>
          </w:tblCellMar>
        </w:tblPrEx>
        <w:trPr>
          <w:trHeight w:val="284" w:hRule="exact"/>
        </w:trPr>
        <w:tc>
          <w:tcPr>
            <w:tcW w:w="4189"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人员经费合计</w:t>
            </w:r>
          </w:p>
        </w:tc>
        <w:tc>
          <w:tcPr>
            <w:tcW w:w="1276"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2581.09</w:t>
            </w:r>
          </w:p>
        </w:tc>
        <w:tc>
          <w:tcPr>
            <w:tcW w:w="8543" w:type="dxa"/>
            <w:gridSpan w:val="5"/>
            <w:tcBorders>
              <w:top w:val="single" w:color="auto" w:sz="4" w:space="0"/>
              <w:left w:val="nil"/>
              <w:bottom w:val="single" w:color="auto" w:sz="4" w:space="0"/>
              <w:right w:val="single" w:color="auto" w:sz="4" w:space="0"/>
            </w:tcBorders>
            <w:noWrap/>
            <w:vAlign w:val="center"/>
          </w:tcPr>
          <w:p>
            <w:pPr>
              <w:widowControl/>
              <w:jc w:val="center"/>
              <w:rPr>
                <w:rFonts w:ascii="宋体" w:cs="Times New Roman"/>
                <w:color w:val="000000"/>
                <w:kern w:val="0"/>
              </w:rPr>
            </w:pPr>
            <w:r>
              <w:rPr>
                <w:rFonts w:hint="eastAsia" w:ascii="宋体" w:hAnsi="宋体" w:cs="宋体"/>
                <w:color w:val="000000"/>
                <w:kern w:val="0"/>
              </w:rPr>
              <w:t>公用经费合计</w:t>
            </w:r>
          </w:p>
        </w:tc>
        <w:tc>
          <w:tcPr>
            <w:tcW w:w="1122" w:type="dxa"/>
            <w:tcBorders>
              <w:top w:val="nil"/>
              <w:left w:val="nil"/>
              <w:bottom w:val="single" w:color="auto" w:sz="4" w:space="0"/>
              <w:right w:val="single" w:color="auto" w:sz="4" w:space="0"/>
            </w:tcBorders>
            <w:noWrap/>
            <w:vAlign w:val="center"/>
          </w:tcPr>
          <w:p>
            <w:pPr>
              <w:widowControl/>
              <w:jc w:val="lef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286.08</w:t>
            </w:r>
          </w:p>
        </w:tc>
      </w:tr>
      <w:tr>
        <w:tblPrEx>
          <w:tblCellMar>
            <w:top w:w="0" w:type="dxa"/>
            <w:left w:w="108" w:type="dxa"/>
            <w:bottom w:w="0" w:type="dxa"/>
            <w:right w:w="108" w:type="dxa"/>
          </w:tblCellMar>
        </w:tblPrEx>
        <w:trPr>
          <w:trHeight w:val="284" w:hRule="exact"/>
        </w:trPr>
        <w:tc>
          <w:tcPr>
            <w:tcW w:w="15130" w:type="dxa"/>
            <w:gridSpan w:val="9"/>
            <w:tcBorders>
              <w:top w:val="nil"/>
              <w:left w:val="nil"/>
              <w:bottom w:val="nil"/>
              <w:right w:val="nil"/>
            </w:tcBorders>
            <w:noWrap/>
            <w:vAlign w:val="center"/>
          </w:tcPr>
          <w:p>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hint="eastAsia"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pPr>
        <w:widowControl/>
        <w:ind w:firstLine="840" w:firstLineChars="40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ind w:right="420"/>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rPr>
            </w:pPr>
          </w:p>
        </w:tc>
      </w:tr>
      <w:tr>
        <w:tblPrEx>
          <w:tblCellMar>
            <w:top w:w="0" w:type="dxa"/>
            <w:left w:w="108" w:type="dxa"/>
            <w:bottom w:w="0" w:type="dxa"/>
            <w:right w:w="108" w:type="dxa"/>
          </w:tblCellMar>
        </w:tblPrEx>
        <w:trPr>
          <w:trHeight w:val="481"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CellMar>
            <w:top w:w="0" w:type="dxa"/>
            <w:left w:w="108" w:type="dxa"/>
            <w:bottom w:w="0" w:type="dxa"/>
            <w:right w:w="108" w:type="dxa"/>
          </w:tblCellMar>
        </w:tblPrEx>
        <w:trPr>
          <w:trHeight w:val="551" w:hRule="atLeast"/>
          <w:jc w:val="center"/>
        </w:trPr>
        <w:tc>
          <w:tcPr>
            <w:tcW w:w="1220" w:type="dxa"/>
            <w:tcBorders>
              <w:top w:val="nil"/>
              <w:left w:val="single" w:color="auto" w:sz="8" w:space="0"/>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60.00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hint="default" w:ascii="Times New Roman" w:hAnsi="Times New Roman" w:eastAsia="仿宋_GB2312" w:cs="Times New Roman"/>
                <w:kern w:val="0"/>
                <w:lang w:val="en-US" w:eastAsia="zh-CN"/>
              </w:rPr>
            </w:pPr>
            <w:r>
              <w:rPr>
                <w:rFonts w:hint="eastAsia" w:ascii="Times New Roman" w:hAnsi="Times New Roman" w:eastAsia="仿宋_GB2312" w:cs="仿宋_GB2312"/>
                <w:kern w:val="0"/>
              </w:rPr>
              <w:t>　60.00</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rPr>
              <w:t>19.20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Times New Roman"/>
                <w:kern w:val="0"/>
              </w:rPr>
              <w:t>40.80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59.41</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59.41</w:t>
            </w:r>
          </w:p>
        </w:tc>
        <w:tc>
          <w:tcPr>
            <w:tcW w:w="1220" w:type="dxa"/>
            <w:tcBorders>
              <w:top w:val="nil"/>
              <w:left w:val="nil"/>
              <w:bottom w:val="single" w:color="auto" w:sz="8" w:space="0"/>
              <w:right w:val="single" w:color="auto" w:sz="4" w:space="0"/>
            </w:tcBorders>
            <w:vAlign w:val="center"/>
          </w:tcPr>
          <w:p>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19.14</w:t>
            </w:r>
          </w:p>
        </w:tc>
        <w:tc>
          <w:tcPr>
            <w:tcW w:w="1220" w:type="dxa"/>
            <w:tcBorders>
              <w:top w:val="nil"/>
              <w:left w:val="single" w:color="auto" w:sz="4" w:space="0"/>
              <w:bottom w:val="single" w:color="auto" w:sz="8" w:space="0"/>
              <w:right w:val="single" w:color="auto" w:sz="8" w:space="0"/>
            </w:tcBorders>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40.27</w:t>
            </w:r>
          </w:p>
        </w:tc>
      </w:tr>
    </w:tbl>
    <w:p>
      <w:pPr>
        <w:widowControl/>
        <w:ind w:left="479" w:leftChars="228" w:firstLine="0" w:firstLineChars="0"/>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jc w:val="left"/>
        <w:rPr>
          <w:rFonts w:hint="eastAsia" w:ascii="Times New Roman" w:hAnsi="Times New Roman" w:eastAsia="仿宋_GB2312" w:cs="仿宋_GB2312"/>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公开08表</w:t>
      </w:r>
    </w:p>
    <w:p>
      <w:pPr>
        <w:widowControl/>
        <w:ind w:firstLine="1470" w:firstLineChars="7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 xml:space="preserve">部门： </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p>
    <w:tbl>
      <w:tblPr>
        <w:tblStyle w:val="8"/>
        <w:tblW w:w="1265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517"/>
        <w:gridCol w:w="1713"/>
        <w:gridCol w:w="1549"/>
        <w:gridCol w:w="1462"/>
        <w:gridCol w:w="1811"/>
        <w:gridCol w:w="1723"/>
        <w:gridCol w:w="175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1713"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1549"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4996" w:type="dxa"/>
            <w:gridSpan w:val="3"/>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1757"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517"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1713" w:type="dxa"/>
            <w:vMerge w:val="continue"/>
            <w:vAlign w:val="center"/>
          </w:tcPr>
          <w:p>
            <w:pPr>
              <w:widowControl/>
              <w:jc w:val="left"/>
              <w:rPr>
                <w:rFonts w:ascii="Times New Roman" w:hAnsi="Times New Roman" w:eastAsia="仿宋_GB2312" w:cs="Times New Roman"/>
                <w:b/>
                <w:bCs/>
                <w:kern w:val="0"/>
              </w:rPr>
            </w:pPr>
          </w:p>
        </w:tc>
        <w:tc>
          <w:tcPr>
            <w:tcW w:w="1549" w:type="dxa"/>
            <w:vMerge w:val="continue"/>
            <w:vAlign w:val="center"/>
          </w:tcPr>
          <w:p>
            <w:pPr>
              <w:widowControl/>
              <w:jc w:val="left"/>
              <w:rPr>
                <w:rFonts w:ascii="Times New Roman" w:hAnsi="Times New Roman" w:eastAsia="仿宋_GB2312" w:cs="Times New Roman"/>
                <w:b/>
                <w:bCs/>
                <w:kern w:val="0"/>
              </w:rPr>
            </w:pPr>
          </w:p>
        </w:tc>
        <w:tc>
          <w:tcPr>
            <w:tcW w:w="1462"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1811"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1723" w:type="dxa"/>
            <w:vMerge w:val="restart"/>
            <w:vAlign w:val="center"/>
          </w:tcPr>
          <w:p>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1757" w:type="dxa"/>
            <w:vMerge w:val="continue"/>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517" w:type="dxa"/>
            <w:vMerge w:val="continue"/>
            <w:vAlign w:val="center"/>
          </w:tcPr>
          <w:p>
            <w:pPr>
              <w:widowControl/>
              <w:jc w:val="left"/>
              <w:rPr>
                <w:rFonts w:ascii="Times New Roman" w:hAnsi="Times New Roman" w:eastAsia="仿宋_GB2312" w:cs="Times New Roman"/>
                <w:kern w:val="0"/>
              </w:rPr>
            </w:pPr>
          </w:p>
        </w:tc>
        <w:tc>
          <w:tcPr>
            <w:tcW w:w="1713" w:type="dxa"/>
            <w:vMerge w:val="continue"/>
            <w:vAlign w:val="center"/>
          </w:tcPr>
          <w:p>
            <w:pPr>
              <w:widowControl/>
              <w:jc w:val="left"/>
              <w:rPr>
                <w:rFonts w:ascii="Times New Roman" w:hAnsi="Times New Roman" w:eastAsia="仿宋_GB2312" w:cs="Times New Roman"/>
                <w:kern w:val="0"/>
              </w:rPr>
            </w:pPr>
          </w:p>
        </w:tc>
        <w:tc>
          <w:tcPr>
            <w:tcW w:w="1549" w:type="dxa"/>
            <w:vMerge w:val="continue"/>
            <w:vAlign w:val="center"/>
          </w:tcPr>
          <w:p>
            <w:pPr>
              <w:widowControl/>
              <w:jc w:val="left"/>
              <w:rPr>
                <w:rFonts w:ascii="Times New Roman" w:hAnsi="Times New Roman" w:eastAsia="仿宋_GB2312" w:cs="Times New Roman"/>
                <w:kern w:val="0"/>
              </w:rPr>
            </w:pPr>
          </w:p>
        </w:tc>
        <w:tc>
          <w:tcPr>
            <w:tcW w:w="1462" w:type="dxa"/>
            <w:vMerge w:val="continue"/>
            <w:vAlign w:val="center"/>
          </w:tcPr>
          <w:p>
            <w:pPr>
              <w:widowControl/>
              <w:jc w:val="left"/>
              <w:rPr>
                <w:rFonts w:ascii="Times New Roman" w:hAnsi="Times New Roman" w:eastAsia="仿宋_GB2312" w:cs="Times New Roman"/>
                <w:kern w:val="0"/>
              </w:rPr>
            </w:pPr>
          </w:p>
        </w:tc>
        <w:tc>
          <w:tcPr>
            <w:tcW w:w="1811" w:type="dxa"/>
            <w:vMerge w:val="continue"/>
            <w:vAlign w:val="center"/>
          </w:tcPr>
          <w:p>
            <w:pPr>
              <w:widowControl/>
              <w:jc w:val="left"/>
              <w:rPr>
                <w:rFonts w:ascii="Times New Roman" w:hAnsi="Times New Roman" w:eastAsia="仿宋_GB2312" w:cs="Times New Roman"/>
                <w:kern w:val="0"/>
              </w:rPr>
            </w:pPr>
          </w:p>
        </w:tc>
        <w:tc>
          <w:tcPr>
            <w:tcW w:w="1723" w:type="dxa"/>
            <w:vMerge w:val="continue"/>
            <w:vAlign w:val="center"/>
          </w:tcPr>
          <w:p>
            <w:pPr>
              <w:widowControl/>
              <w:jc w:val="left"/>
              <w:rPr>
                <w:rFonts w:ascii="Times New Roman" w:hAnsi="Times New Roman" w:eastAsia="仿宋_GB2312" w:cs="Times New Roman"/>
                <w:kern w:val="0"/>
              </w:rPr>
            </w:pPr>
          </w:p>
        </w:tc>
        <w:tc>
          <w:tcPr>
            <w:tcW w:w="1757"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rPr>
            </w:pPr>
          </w:p>
        </w:tc>
        <w:tc>
          <w:tcPr>
            <w:tcW w:w="1517" w:type="dxa"/>
            <w:vMerge w:val="continue"/>
            <w:vAlign w:val="center"/>
          </w:tcPr>
          <w:p>
            <w:pPr>
              <w:widowControl/>
              <w:jc w:val="left"/>
              <w:rPr>
                <w:rFonts w:ascii="Times New Roman" w:hAnsi="Times New Roman" w:eastAsia="仿宋_GB2312" w:cs="Times New Roman"/>
                <w:kern w:val="0"/>
              </w:rPr>
            </w:pPr>
          </w:p>
        </w:tc>
        <w:tc>
          <w:tcPr>
            <w:tcW w:w="1713" w:type="dxa"/>
            <w:vMerge w:val="continue"/>
            <w:vAlign w:val="center"/>
          </w:tcPr>
          <w:p>
            <w:pPr>
              <w:widowControl/>
              <w:jc w:val="left"/>
              <w:rPr>
                <w:rFonts w:ascii="Times New Roman" w:hAnsi="Times New Roman" w:eastAsia="仿宋_GB2312" w:cs="Times New Roman"/>
                <w:kern w:val="0"/>
              </w:rPr>
            </w:pPr>
          </w:p>
        </w:tc>
        <w:tc>
          <w:tcPr>
            <w:tcW w:w="1549" w:type="dxa"/>
            <w:vMerge w:val="continue"/>
            <w:vAlign w:val="center"/>
          </w:tcPr>
          <w:p>
            <w:pPr>
              <w:widowControl/>
              <w:jc w:val="left"/>
              <w:rPr>
                <w:rFonts w:ascii="Times New Roman" w:hAnsi="Times New Roman" w:eastAsia="仿宋_GB2312" w:cs="Times New Roman"/>
                <w:kern w:val="0"/>
              </w:rPr>
            </w:pPr>
          </w:p>
        </w:tc>
        <w:tc>
          <w:tcPr>
            <w:tcW w:w="1462" w:type="dxa"/>
            <w:vMerge w:val="continue"/>
            <w:vAlign w:val="center"/>
          </w:tcPr>
          <w:p>
            <w:pPr>
              <w:widowControl/>
              <w:jc w:val="left"/>
              <w:rPr>
                <w:rFonts w:ascii="Times New Roman" w:hAnsi="Times New Roman" w:eastAsia="仿宋_GB2312" w:cs="Times New Roman"/>
                <w:kern w:val="0"/>
              </w:rPr>
            </w:pPr>
          </w:p>
        </w:tc>
        <w:tc>
          <w:tcPr>
            <w:tcW w:w="1811" w:type="dxa"/>
            <w:vMerge w:val="continue"/>
            <w:vAlign w:val="center"/>
          </w:tcPr>
          <w:p>
            <w:pPr>
              <w:widowControl/>
              <w:jc w:val="left"/>
              <w:rPr>
                <w:rFonts w:ascii="Times New Roman" w:hAnsi="Times New Roman" w:eastAsia="仿宋_GB2312" w:cs="Times New Roman"/>
                <w:kern w:val="0"/>
              </w:rPr>
            </w:pPr>
          </w:p>
        </w:tc>
        <w:tc>
          <w:tcPr>
            <w:tcW w:w="1723" w:type="dxa"/>
            <w:vMerge w:val="continue"/>
            <w:vAlign w:val="center"/>
          </w:tcPr>
          <w:p>
            <w:pPr>
              <w:widowControl/>
              <w:jc w:val="left"/>
              <w:rPr>
                <w:rFonts w:ascii="Times New Roman" w:hAnsi="Times New Roman" w:eastAsia="仿宋_GB2312" w:cs="Times New Roman"/>
                <w:kern w:val="0"/>
              </w:rPr>
            </w:pPr>
          </w:p>
        </w:tc>
        <w:tc>
          <w:tcPr>
            <w:tcW w:w="1757" w:type="dxa"/>
            <w:vMerge w:val="continue"/>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1713"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549"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462"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811"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723"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757"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637" w:type="dxa"/>
            <w:gridSpan w:val="2"/>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713"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8258" w:type="dxa"/>
            <w:gridSpan w:val="5"/>
            <w:vAlign w:val="center"/>
          </w:tcPr>
          <w:p>
            <w:pPr>
              <w:widowControl/>
              <w:jc w:val="center"/>
              <w:rPr>
                <w:rFonts w:ascii="Times New Roman" w:hAnsi="Times New Roman" w:eastAsia="仿宋_GB2312" w:cs="Times New Roman"/>
                <w:kern w:val="0"/>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无政府基金收入</w:t>
            </w:r>
            <w:r>
              <w:rPr>
                <w:rFonts w:hint="eastAsia" w:ascii="ËÎÌå" w:hAnsi="ËÎÌå" w:eastAsia="宋体" w:cs="Calibri"/>
                <w:b/>
                <w:bCs/>
                <w:color w:val="000000"/>
                <w:sz w:val="22"/>
                <w:szCs w:val="24"/>
                <w:highlight w:val="none"/>
                <w:shd w:val="clear" w:color="auto" w:fill="auto"/>
              </w:rPr>
              <w:t>，也没有政府性基金安排支出，故本表无数据</w:t>
            </w:r>
          </w:p>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1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1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549"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462"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811"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23"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757"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ind w:firstLine="630" w:firstLineChars="300"/>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黑体" w:hAnsi="黑体" w:eastAsia="黑体" w:cs="Times New Roman"/>
        </w:rPr>
      </w:pPr>
      <w:r>
        <w:rPr>
          <w:rFonts w:ascii="黑体" w:hAnsi="黑体" w:eastAsia="黑体" w:cs="Times New Roman"/>
        </w:rPr>
        <w:br w:type="page"/>
      </w:r>
    </w:p>
    <w:tbl>
      <w:tblPr>
        <w:tblStyle w:val="8"/>
        <w:tblpPr w:leftFromText="180" w:rightFromText="180" w:vertAnchor="text" w:horzAnchor="page" w:tblpX="2468" w:tblpY="777"/>
        <w:tblOverlap w:val="never"/>
        <w:tblW w:w="12491" w:type="dxa"/>
        <w:tblInd w:w="0" w:type="dxa"/>
        <w:tblLayout w:type="fixed"/>
        <w:tblCellMar>
          <w:top w:w="0" w:type="dxa"/>
          <w:left w:w="108" w:type="dxa"/>
          <w:bottom w:w="0" w:type="dxa"/>
          <w:right w:w="108" w:type="dxa"/>
        </w:tblCellMar>
      </w:tblPr>
      <w:tblGrid>
        <w:gridCol w:w="2433"/>
        <w:gridCol w:w="2073"/>
        <w:gridCol w:w="2314"/>
        <w:gridCol w:w="2977"/>
        <w:gridCol w:w="2694"/>
      </w:tblGrid>
      <w:tr>
        <w:tblPrEx>
          <w:tblCellMar>
            <w:top w:w="0" w:type="dxa"/>
            <w:left w:w="108" w:type="dxa"/>
            <w:bottom w:w="0" w:type="dxa"/>
            <w:right w:w="108" w:type="dxa"/>
          </w:tblCellMar>
        </w:tblPrEx>
        <w:trPr>
          <w:trHeight w:val="720" w:hRule="atLeast"/>
        </w:trPr>
        <w:tc>
          <w:tcPr>
            <w:tcW w:w="12491" w:type="dxa"/>
            <w:gridSpan w:val="5"/>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570" w:hRule="atLeast"/>
        </w:trPr>
        <w:tc>
          <w:tcPr>
            <w:tcW w:w="12491" w:type="dxa"/>
            <w:gridSpan w:val="5"/>
            <w:tcBorders>
              <w:top w:val="nil"/>
              <w:left w:val="nil"/>
              <w:bottom w:val="nil"/>
              <w:right w:val="nil"/>
            </w:tcBorders>
            <w:shd w:val="clear" w:color="000000" w:fill="FFFFFF"/>
            <w:noWrap/>
            <w:vAlign w:val="center"/>
          </w:tcPr>
          <w:p>
            <w:pPr>
              <w:widowControl/>
              <w:jc w:val="both"/>
              <w:rPr>
                <w:rFonts w:ascii="宋体" w:cs="Times New Roman"/>
                <w:color w:val="000000"/>
                <w:kern w:val="0"/>
                <w:sz w:val="20"/>
                <w:szCs w:val="20"/>
              </w:rPr>
            </w:pP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r>
              <w:rPr>
                <w:rFonts w:hint="eastAsia" w:ascii="宋体" w:hAnsi="宋体" w:cs="宋体"/>
                <w:color w:val="000000"/>
                <w:kern w:val="0"/>
                <w:sz w:val="20"/>
                <w:szCs w:val="20"/>
                <w:lang w:val="en-US"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宋体" w:hAnsi="宋体" w:cs="宋体"/>
                <w:color w:val="000000"/>
                <w:kern w:val="0"/>
                <w:sz w:val="20"/>
                <w:szCs w:val="20"/>
              </w:rPr>
              <w:t>部门：</w:t>
            </w:r>
            <w:r>
              <w:rPr>
                <w:rFonts w:hint="eastAsia" w:ascii="Times New Roman" w:hAnsi="Times New Roman" w:eastAsia="仿宋_GB2312" w:cs="仿宋_GB2312"/>
                <w:color w:val="000000"/>
                <w:kern w:val="0"/>
                <w:lang w:eastAsia="zh-CN"/>
              </w:rPr>
              <w:t>湘潭县农业农村局</w:t>
            </w:r>
            <w:r>
              <w:rPr>
                <w:rFonts w:hint="eastAsia" w:ascii="Times New Roman" w:hAnsi="Times New Roman" w:eastAsia="仿宋_GB2312" w:cs="仿宋_GB2312"/>
                <w:color w:val="000000"/>
                <w:kern w:val="0"/>
                <w:lang w:val="en-US" w:eastAsia="zh-CN"/>
              </w:rPr>
              <w:t xml:space="preserve">                                                                                      </w:t>
            </w: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506"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7985" w:type="dxa"/>
            <w:gridSpan w:val="3"/>
            <w:tcBorders>
              <w:top w:val="single" w:color="auto" w:sz="8" w:space="0"/>
              <w:left w:val="nil"/>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433"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073"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31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269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433"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07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31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69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433"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07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4"/>
                <w:szCs w:val="24"/>
              </w:rPr>
            </w:pPr>
          </w:p>
        </w:tc>
        <w:tc>
          <w:tcPr>
            <w:tcW w:w="231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97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c>
          <w:tcPr>
            <w:tcW w:w="269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506" w:type="dxa"/>
            <w:gridSpan w:val="2"/>
            <w:tcBorders>
              <w:top w:val="single" w:color="auto" w:sz="4" w:space="0"/>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31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26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506" w:type="dxa"/>
            <w:gridSpan w:val="2"/>
            <w:tcBorders>
              <w:top w:val="nil"/>
              <w:left w:val="single" w:color="auto" w:sz="8" w:space="0"/>
              <w:bottom w:val="single" w:color="auto" w:sz="4" w:space="0"/>
              <w:right w:val="single" w:color="000000"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31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10058" w:type="dxa"/>
            <w:gridSpan w:val="4"/>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ËÎÌå" w:hAnsi="ËÎÌå" w:eastAsia="宋体" w:cs="Calibri"/>
                <w:b/>
                <w:bCs/>
                <w:color w:val="000000"/>
                <w:sz w:val="22"/>
                <w:szCs w:val="24"/>
                <w:highlight w:val="none"/>
                <w:shd w:val="clear" w:color="auto" w:fill="auto"/>
              </w:rPr>
              <w:t>湘潭县农业农村局</w:t>
            </w:r>
            <w:r>
              <w:rPr>
                <w:rFonts w:hint="eastAsia" w:ascii="宋体" w:hAnsi="宋体" w:eastAsia="宋体" w:cs="宋体"/>
                <w:b/>
                <w:bCs/>
                <w:color w:val="000000"/>
                <w:sz w:val="22"/>
                <w:szCs w:val="24"/>
                <w:highlight w:val="none"/>
                <w:shd w:val="clear" w:color="auto" w:fill="auto"/>
              </w:rPr>
              <w:t>无国有资本经营支出</w:t>
            </w:r>
            <w:r>
              <w:rPr>
                <w:rFonts w:hint="eastAsia" w:ascii="ËÎÌå" w:hAnsi="ËÎÌå" w:eastAsia="宋体" w:cs="Calibri"/>
                <w:b/>
                <w:bCs/>
                <w:color w:val="000000"/>
                <w:sz w:val="22"/>
                <w:szCs w:val="24"/>
                <w:highlight w:val="none"/>
                <w:shd w:val="clear" w:color="auto" w:fill="auto"/>
              </w:rPr>
              <w:t>，故本表无数据</w:t>
            </w:r>
          </w:p>
        </w:tc>
      </w:tr>
      <w:tr>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31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2433" w:type="dxa"/>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2073"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314"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694"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2491" w:type="dxa"/>
            <w:gridSpan w:val="5"/>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21"/>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21"/>
        <w:jc w:val="center"/>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第三部分</w:t>
      </w:r>
      <w:r>
        <w:rPr>
          <w:rFonts w:hint="eastAsia" w:hAnsi="黑体" w:cs="黑体"/>
          <w:color w:val="auto"/>
          <w:kern w:val="2"/>
          <w:sz w:val="32"/>
          <w:szCs w:val="32"/>
          <w:lang w:val="en-US" w:eastAsia="zh-CN" w:bidi="ar-SA"/>
        </w:rPr>
        <w:t xml:space="preserve"> </w:t>
      </w:r>
      <w:r>
        <w:rPr>
          <w:rFonts w:hint="eastAsia" w:ascii="黑体" w:hAnsi="黑体" w:eastAsia="黑体" w:cs="黑体"/>
          <w:color w:val="auto"/>
          <w:kern w:val="2"/>
          <w:sz w:val="32"/>
          <w:szCs w:val="32"/>
          <w:lang w:val="en-US" w:eastAsia="zh-CN" w:bidi="ar-SA"/>
        </w:rPr>
        <w:t>2022年度部门决算情况说明</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一、收入支出决算总体情况说明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2022年度收、支总计51992.58万元,与上年相比，增加7054.67万元，增长15.70%，主要是因为本年度项目经费预算安排增加。</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二、收入决算情况说明</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本年收入合计45663.55万元，其中：财政拨款收入36075.92万元，占79%；上级补助收入0万元，占0%；事业收入0万元，占0%；经营收入0万元，占0%；附属单位上缴收入0万元，占0%；其他收入9587.63万元，占21%。</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三、支出决算情况说明</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本年支出合计39962.66万元，其中：基本支出3202.47万元，占8.01%；项目支出36760.19万元，占91.99%；上缴上级支出0万元，占0%；经营支出0万元，占0%；对附属单位补助支出0万元，占0%。</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四、财政拨款收入支出决算总体情况说明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2022年度财政拨款收、支总计36075.92万元，与上年相比，减少384.66万元,减少1.06%，主要是因为主要是因为本年度部分项目进度较慢未验收相比往年支付减少。</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五、一般公共预算财政拨款支出决算情况说明</w:t>
      </w:r>
    </w:p>
    <w:p>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（一）财政拨款支出决算总体情况</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2022年度财政拨款支出36075.92万元，占本年支出合计的100%，与上年相比，财政拨款支出减少384.66万元，减少1.06%，主要是因为本年度财政项目经费预算安排减少，相应支出减少。</w:t>
      </w:r>
    </w:p>
    <w:p>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（二）财政拨款支出决算结构情况</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ascii="宋体" w:hAnsi="宋体" w:eastAsia="宋体" w:cs="Times New Roman"/>
          <w:sz w:val="32"/>
          <w:szCs w:val="32"/>
        </w:rPr>
      </w:pPr>
      <w:r>
        <w:rPr>
          <w:rFonts w:hint="eastAsia" w:ascii="仿宋" w:hAnsi="仿宋" w:eastAsia="仿宋" w:cstheme="minorBidi"/>
          <w:color w:val="auto"/>
          <w:kern w:val="2"/>
          <w:sz w:val="28"/>
          <w:szCs w:val="28"/>
          <w:highlight w:val="none"/>
          <w:shd w:val="clear" w:color="auto" w:fill="auto"/>
          <w:lang w:val="en-US" w:eastAsia="zh-CN" w:bidi="ar-SA"/>
        </w:rPr>
        <w:t xml:space="preserve">2022年度财政拨款支出36075.92万元，主要用于以下方面：社会保障和就业（类）支出296.3万元，占0.82%；卫生康健（类）支出143.49万元，占0.40%；节能环保（类）支出1951.33万元，占5.40%；城乡社区（类）支出10万元，占0.03%；农林水支出（类）支出32872.8万元，占91.12%；交通运输（类）支出15万元，占0.04%；商业服务业等（类）支出593.85万元，占1.65%；住房保障（类）支出183.75万元，占0.51%;粮油物资储备（类）支出9.4万元，占0.03%。  </w:t>
      </w:r>
      <w:r>
        <w:rPr>
          <w:rFonts w:hint="eastAsia" w:ascii="宋体" w:hAnsi="宋体" w:eastAsia="宋体" w:cs="宋体"/>
          <w:sz w:val="32"/>
          <w:szCs w:val="32"/>
          <w:lang w:val="en-US" w:eastAsia="zh-CN"/>
        </w:rPr>
        <w:t xml:space="preserve">  </w:t>
      </w:r>
    </w:p>
    <w:p>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（三）财政拨款支出决算具体情况</w:t>
      </w:r>
    </w:p>
    <w:p>
      <w:pPr>
        <w:pStyle w:val="21"/>
        <w:keepNext w:val="0"/>
        <w:keepLines w:val="0"/>
        <w:pageBreakBefore w:val="0"/>
        <w:widowControl w:val="0"/>
        <w:kinsoku/>
        <w:wordWrap/>
        <w:overflowPunct/>
        <w:topLinePunct w:val="0"/>
        <w:bidi w:val="0"/>
        <w:snapToGrid/>
        <w:spacing w:line="5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2022年度财政拨款支出年初预算数为36,681.88万元，支出决算数为36075.92万元，完成年初预算的98.35%，其中：</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1、社会保障和就业（类）行政事业单位养老（款）行政事业单位养老保险缴费支出（项）。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年初预算为199.64万元，支出决算为199.64万元，完成年初预算的100%。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2、社会保障和就业（类）抚恤（款）死亡抚恤支出（项）。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年初预算为35.8万元，支出决算为35.8万元，完成年初预算的100%。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3、社会保障和就业（类）财政对其他社会保险基金的补助（款)其他财政对社会保险基金的补助支出（项）。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年初预算为60.86万元，支出决算为60.86万元，完成年初预算的100%。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4、卫生健康（类）行政事业单位医疗（款)行政单位医疗支出（项）。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年初预算为143.49万元，支出决算为143.49万元，完成年初预算的100%。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5、节能环保（类）污染防治（款）其他污染防治支出（项）。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年初预算为1629.75万元，支出决算为1629.75万元，完成年初预算的100%。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6、节能环保（类）循环经济（款）循环经济（项）。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年初预算为80万元，支出决算为80万元，完成年初预算的100%。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7、节能环保（类）其他节能环保（款）其他节能环保支出（项）。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年初预算为241.58万元，支出决算为241.58万元，完成年初预算的100%。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8、城乡社区支出（类）其他城乡社区支出（款）其他其他城乡社区支出（项）。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年初预算为10万元，支出决算为10万元，完成年初预算的100%。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9、农林水支出（类） 农业农村（款）行政运行（项）。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年初预算为2073.05万元，支出决算为2073.05万元，完成年初预算的100%。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10、农林水支出（类） 农业农村（款）一般行政管理事务（项）。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年初预算为25万元，支出决算为25万元，完成年初预算的100%。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11、农林水支出（类） 农业农村（款）事业运行（项）。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年初预算为30万元，支出决算为30万元，完成年初预算的100%。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12、农林水支出（类） 农业农村（款）农垦运行（项）。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年初预算为176万元，支出决算为176万元，完成年初预算的100%。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13、农林水支出（类） 农业农村（款）科技转化与推广服务（项）。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年初预算为252.66万元，支出决算为252.66万元，完成年初预算的100%。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14、农林水支出（类）农业农村（款）病虫害控制（项）。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年初预算为839.96万元，支出决算为839.96万元，完成年初预算的100%。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15、农林水支出（类）农业农村（款）农产品质量安全（项）。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年初预算为47.90万元，支出决算为47.90万元，完成年初预算的100%。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16、农林水支出（类）农业农村（款）执法监管（项）。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年初预算为45万元，支出决算为45万元，完成年初预算的100%。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17、农林水支出（类）农业农村（款）统计监测与信息服务（项）。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年初预算为6万元，支出决算为6万元，完成年初预算的100%。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18、农林水支出（类）农业农村（款）防灾救灾（项）。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年初预算为2万元，支出决算为2万元，完成年初预算的100%。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19、农林水支出（类）农业农村（款）农业结构调整补贴（项）。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年初预算为844.81万元，支出决算为844.81万元，完成年初预算的100%。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20、农林水支出（类）农业农村（款）农业生产发展（项）。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年初预算为19311.46万元，支出决算为19311.46万元，完成年初预算的100%。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21、农林水支出（类）农业农村（款）农村合作经济（项）。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年初预算为378.61万元，支出决算为378.61万元，完成年初预算的100%.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22、农林水支出（类）农业农村（款）农产品加工与促销（项）。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年初预算为50万元，支出决算为50万元，完成年初预算的100%。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23、农林水支出（类）农业农村（款）农村社会事业（项）。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年初预算为1718.64万元，支出决算为1718.64万元，完成年初预算的100%。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24、农林水支出（类）农业农村（款）农业资源保护修复与利用（项）。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年初预算为2417.18万元，支出决算为2417.18万元，完成年初预算的100%。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25、农林水支出（类）农业农村（款）渔业发展（项）。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年初预算为100万元，支出决算为100万元，完成年初预算的100%。</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26、农林水支出（类）农业农村（款）其他农业农村支出（项）。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年初预算为2525.91万元，支出决算为1919.95万元，完成年初预算的76.01%，决算数小于年初预算数的主要原因是：本年有未验收及未完工的项目。</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27、农林水支出（类）林业和草原（款）行政运行（项）。</w:t>
      </w:r>
    </w:p>
    <w:p>
      <w:pPr>
        <w:keepNext w:val="0"/>
        <w:keepLines w:val="0"/>
        <w:pageBreakBefore w:val="0"/>
        <w:widowControl w:val="0"/>
        <w:kinsoku/>
        <w:wordWrap/>
        <w:overflowPunct/>
        <w:topLinePunct w:val="0"/>
        <w:bidi w:val="0"/>
        <w:snapToGrid/>
        <w:spacing w:line="500" w:lineRule="exact"/>
        <w:ind w:firstLine="602"/>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年初预算为170.58万元，支出决算为170.58万元，完成年初预算的100%。</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28、农林水支出（类）巩固脱贫衔接乡村振兴（款）生产发展（项）</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年初预算为50万元，支出决算为50万元，完成年初预算100%。</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25、农林水支出（类）巩固脱贫衔接乡村振兴（款）其他巩固脱贫衔接乡村振兴（项）。</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年初预算为255万元，支出决算为255万元，完成年初预算100%。</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26、农林水支出（类）其他农林水支出（款）其他农林水支出（项）。</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年初预算为2159万元，支出决算为2159万元，完成年初预算的100%。</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27、交通运输支出（类）其他交通运输支出（款）其他交通运输支出（项）。</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年初预算为15万元，支出决算为15万元，完成年初预算的100%。</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28、商业服务业等支出（类）商业流通事务（款）其他商业流通事务支出（项）。</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年初预算为593.85万元，支出决算为593.85万元，完成年初预算的100%。</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29、住房保障支出（类）住房改革支出（款）住房公积金（项）。</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年初预算为183.75万元，支出决算为183.75万元，完成年初预算的100%。</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30、粮油物资储备支出（类）粮油物资事务（款）其他粮油物资事务支出（项）。</w:t>
      </w:r>
    </w:p>
    <w:p>
      <w:pPr>
        <w:keepNext w:val="0"/>
        <w:keepLines w:val="0"/>
        <w:pageBreakBefore w:val="0"/>
        <w:widowControl w:val="0"/>
        <w:kinsoku/>
        <w:wordWrap/>
        <w:overflowPunct/>
        <w:topLinePunct w:val="0"/>
        <w:autoSpaceDE/>
        <w:autoSpaceDN/>
        <w:bidi w:val="0"/>
        <w:adjustRightInd/>
        <w:snapToGrid/>
        <w:spacing w:line="500" w:lineRule="exact"/>
        <w:ind w:firstLine="601"/>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年初预算为9.4万元，支出决算为9.4万元，完成年初预算的100%。</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六、一般公共预算财政拨款基本支出决算情况说明</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财政拨款基本支出2867.17万元，其中：人员经费2581.09万元，占基本支出的90.02%,主要包括基本工资、津贴补贴、奖金、伙食补助费、基本养老保险、职业年金、基本医疗保险、公务员医疗补助、其他社会保障费、住房公积金、其他工资福利支出、对个人和家庭的补助、抚恤金、其他对个人和家庭的补助；公用经费286.08万元，占基本支出的9.98%，主要包括办公费、印刷费、咨询费、手续费、水电费、邮电费、维修维护费、租赁费、公务接待、委托业务费、公车运行维护费、其他交通费用。</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七、一般公共预算财政拨款三公经费支出决算情况说明</w:t>
      </w:r>
    </w:p>
    <w:p>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（一）“三公”经费财政拨款支出决算总体情况说明</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700" w:firstLineChars="25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“三公”经费财政拨款支出预算为60万元，支出决算为59.41万元，完成预算的99.02%，其中：</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 xml:space="preserve">因公出国（境）费支出预算为0万元，支出决算为0万元，完成预算的0%，主要原因是无因公出国（境）费支出。             </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接待费支出预算为40.8万元，支出决算为40.27万元，完成预算的98.7%，决算数小于预算数的主要原因厉行节俭，压缩经费支出，与上年相比减少0.86万元，减少2.09%,减少的主要原因是一、因机构改革，部分职能划转到农业发展服务中心，二、根据上级要求进行三公经费支出压减。</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公务用车购置费及运行维护费支出预算为19.2万元，支出决算为19.14万元，完成预算的99.69%，决算数小于预算数的主要原因是根据上级要求进行三公经费支出压减，与上年相比增加0.2万元，增长1.06%,增长的主要原因是下乡项目验收增加。</w:t>
      </w:r>
    </w:p>
    <w:p>
      <w:pPr>
        <w:pStyle w:val="21"/>
        <w:rPr>
          <w:rFonts w:hint="eastAsia" w:ascii="宋体" w:hAnsi="宋体" w:eastAsia="宋体" w:cs="宋体"/>
          <w:b w:val="0"/>
          <w:bCs w:val="0"/>
          <w:sz w:val="30"/>
          <w:szCs w:val="30"/>
        </w:rPr>
      </w:pPr>
      <w:r>
        <w:rPr>
          <w:rFonts w:hint="eastAsia" w:ascii="宋体" w:hAnsi="宋体" w:eastAsia="宋体" w:cs="宋体"/>
          <w:b w:val="0"/>
          <w:bCs w:val="0"/>
          <w:sz w:val="30"/>
          <w:szCs w:val="30"/>
        </w:rPr>
        <w:t>（二）“三公”经费财政拨款支出决算具体情况说明</w:t>
      </w:r>
    </w:p>
    <w:p>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2022年度“三公”经费财政拨款支出决算中，公务接待费支出决算40.27万元，占67.78%,因公出国（境）费支出决算0万元，占0%,公务用车购置费及运行维护费支出决算19.14万元，占32.22%。其中：</w:t>
      </w:r>
    </w:p>
    <w:p>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1、因公出国（境）费支出决算为0万元，全年安排因公出国（境）团组0个，累计0人次,开支内容包括：</w:t>
      </w:r>
    </w:p>
    <w:p>
      <w:pPr>
        <w:pStyle w:val="21"/>
        <w:keepNext w:val="0"/>
        <w:keepLines w:val="0"/>
        <w:pageBreakBefore w:val="0"/>
        <w:widowControl w:val="0"/>
        <w:kinsoku/>
        <w:wordWrap/>
        <w:overflowPunct/>
        <w:topLinePunct w:val="0"/>
        <w:bidi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2、公务接待费支出决算为40.27万元，全年共接待来访团组468个、来宾4125人次，主要是主要是招商引资、信访维稳、项目前期工作会议、农民培训活动、基层农技推广会议等相关项目发生的接待支出。</w:t>
      </w:r>
    </w:p>
    <w:p>
      <w:pPr>
        <w:keepNext w:val="0"/>
        <w:keepLines w:val="0"/>
        <w:pageBreakBefore w:val="0"/>
        <w:widowControl w:val="0"/>
        <w:kinsoku/>
        <w:wordWrap/>
        <w:overflowPunct/>
        <w:topLinePunct w:val="0"/>
        <w:bidi w:val="0"/>
        <w:snapToGrid/>
        <w:spacing w:line="500" w:lineRule="exact"/>
        <w:ind w:firstLine="700" w:firstLineChars="250"/>
        <w:textAlignment w:val="auto"/>
        <w:rPr>
          <w:rFonts w:ascii="宋体" w:cs="Times New Roman"/>
          <w:color w:val="000000"/>
          <w:kern w:val="0"/>
          <w:sz w:val="32"/>
          <w:szCs w:val="32"/>
        </w:rPr>
      </w:pPr>
      <w:r>
        <w:rPr>
          <w:rFonts w:hint="eastAsia" w:ascii="仿宋" w:hAnsi="仿宋" w:eastAsia="仿宋" w:cstheme="minorBidi"/>
          <w:color w:val="auto"/>
          <w:kern w:val="2"/>
          <w:sz w:val="28"/>
          <w:szCs w:val="28"/>
          <w:highlight w:val="none"/>
          <w:shd w:val="clear" w:color="auto" w:fill="auto"/>
          <w:lang w:val="en-US" w:eastAsia="zh-CN" w:bidi="ar-SA"/>
        </w:rPr>
        <w:t>3、公务用车购置费及运行维护费支出决算为19.14万元，其中：公务用车购置费0万元，更新公务用车0辆。公务用车运行维护费19.14万元，主要是公务用车加油费、过桥过路费及维护修理支出，截止2022年12月31日，我单位开支财政拨款的公务用车保有量为4辆。</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八、政府性基金预算收入支出决算情况</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ascii="宋体" w:hAnsi="宋体" w:eastAsia="宋体" w:cs="宋体"/>
          <w:sz w:val="32"/>
          <w:szCs w:val="32"/>
        </w:rPr>
        <w:t xml:space="preserve">     </w:t>
      </w:r>
      <w:r>
        <w:rPr>
          <w:rFonts w:hint="eastAsia" w:ascii="仿宋" w:hAnsi="仿宋" w:eastAsia="仿宋" w:cstheme="minorBidi"/>
          <w:color w:val="auto"/>
          <w:kern w:val="2"/>
          <w:sz w:val="28"/>
          <w:szCs w:val="28"/>
          <w:highlight w:val="none"/>
          <w:shd w:val="clear" w:color="auto" w:fill="auto"/>
          <w:lang w:val="en-US" w:eastAsia="zh-CN" w:bidi="ar-SA"/>
        </w:rPr>
        <w:t>2022年度政府性基金预算财政拨款收入0万元；年初结转和结余0万元；支出0万元，其中基本支出0万元，项目支出0万元；年末结转和结余0万元。（本单位无政府性基金收支）</w:t>
      </w:r>
    </w:p>
    <w:p>
      <w:pPr>
        <w:pStyle w:val="21"/>
        <w:numPr>
          <w:ilvl w:val="0"/>
          <w:numId w:val="0"/>
        </w:numPr>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九、国有资本经营预算财政拨款支出决算情况</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textAlignment w:val="auto"/>
        <w:rPr>
          <w:rFonts w:hint="default"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2022年我单位无国有资本经营预算财政拨款支出。</w:t>
      </w:r>
    </w:p>
    <w:p>
      <w:pPr>
        <w:pStyle w:val="21"/>
        <w:numPr>
          <w:ilvl w:val="0"/>
          <w:numId w:val="0"/>
        </w:numPr>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十、关于机关运行经费支出说明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本部门2022年度机关运行经费支出286.08万元），比上年决算数减少305.25 万元，降低51.62%。主要原因是：一方面因为机构改革，部分职能划转到农业发展服务中心，另一方面按照相关规定进行经费压减。</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十一、一般性支出情况</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2022年本部门开支会议费4.5万元，用于召开单位培训及日常活动会议，人数992人，内容为项目会议会、日常工作会议、培训活动；开支培训费1.7万元，用于开展农民培训、农药执法监管培训、专业技术人员培训培训，人数271人，内容为农民素质教育培训、农技人员培训、事业人员继续教育、支部培训等；举办日常工作活动等节庆、晚会、论坛、赛事活动，开支0万元。</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十二、关于政府采购支出说明</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本部门2022年度政府采购支出总额721.29万元，其中：政府采购货物支出215.13 万元、政府采购工程支出6.51 万元、政府采购服务支出499.65万元。授予中小企业合同金额721.29万元，占政府采购支出总额的100%，其中：授予小微企业合同金额721.29万元，占政府采购支出总额的100%。</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十三、关于国有资产占用情况说明</w:t>
      </w:r>
    </w:p>
    <w:p>
      <w:pPr>
        <w:pStyle w:val="21"/>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截至2022年12月31日，本单位共有车辆4辆，其中，主要领导干部用车0辆，机要通信用车0辆、应急保障用车0辆、执法执勤用车4辆、特种专业技术用车0辆、其他用车0辆；单位价值50万元以上通用设备0台（套）；单位价值100万元以上专用设备0台（套）。</w:t>
      </w:r>
    </w:p>
    <w:p>
      <w:pPr>
        <w:pStyle w:val="21"/>
        <w:rPr>
          <w:rFonts w:hint="eastAsia" w:ascii="宋体" w:hAnsi="宋体" w:eastAsia="宋体" w:cs="宋体"/>
          <w:b/>
          <w:color w:val="auto"/>
          <w:kern w:val="0"/>
          <w:sz w:val="30"/>
          <w:szCs w:val="30"/>
          <w:highlight w:val="none"/>
          <w:lang w:val="en-US" w:eastAsia="zh-CN" w:bidi="ar-SA"/>
        </w:rPr>
      </w:pPr>
      <w:r>
        <w:rPr>
          <w:rFonts w:hint="eastAsia" w:ascii="宋体" w:hAnsi="宋体" w:eastAsia="宋体" w:cs="宋体"/>
          <w:b/>
          <w:color w:val="auto"/>
          <w:kern w:val="0"/>
          <w:sz w:val="30"/>
          <w:szCs w:val="30"/>
          <w:highlight w:val="none"/>
          <w:lang w:val="en-US" w:eastAsia="zh-CN" w:bidi="ar-SA"/>
        </w:rPr>
        <w:t>十四、关于2022年度预算绩效情况的说明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lang w:val="en-US" w:eastAsia="zh-CN"/>
        </w:rPr>
      </w:pPr>
      <w:r>
        <w:rPr>
          <w:rFonts w:hint="eastAsia" w:ascii="仿宋" w:hAnsi="仿宋" w:eastAsia="仿宋" w:cstheme="minorBidi"/>
          <w:sz w:val="28"/>
          <w:szCs w:val="28"/>
          <w:highlight w:val="none"/>
          <w:shd w:val="clear" w:color="auto" w:fill="auto"/>
          <w:lang w:val="en-US" w:eastAsia="zh-CN"/>
        </w:rPr>
        <w:t>根据《湘潭县财政局关于做好2022年度本级预算支出绩效自评工作的通知》的工作要求，我局继续加强了对项目资金的绩效管理工作，认真对照财政支出绩效评价指标体系进行了自评，围绕项目产出、项目效益等指标进行了评价，按要求开展预算绩效管理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sz w:val="28"/>
          <w:szCs w:val="28"/>
          <w:highlight w:val="none"/>
          <w:shd w:val="clear" w:color="auto" w:fill="auto"/>
        </w:rPr>
      </w:pPr>
    </w:p>
    <w:p>
      <w:pPr>
        <w:pStyle w:val="21"/>
        <w:jc w:val="center"/>
        <w:rPr>
          <w:rFonts w:cs="Times New Roman"/>
          <w:sz w:val="72"/>
          <w:szCs w:val="72"/>
        </w:rPr>
      </w:pPr>
    </w:p>
    <w:p>
      <w:pPr>
        <w:pStyle w:val="21"/>
        <w:jc w:val="both"/>
        <w:rPr>
          <w:rFonts w:cs="Times New Roman"/>
          <w:sz w:val="72"/>
          <w:szCs w:val="72"/>
        </w:rPr>
        <w:sectPr>
          <w:pgSz w:w="11906" w:h="16838"/>
          <w:pgMar w:top="1440" w:right="1797" w:bottom="1440" w:left="1797" w:header="851" w:footer="992" w:gutter="0"/>
          <w:cols w:space="0" w:num="1"/>
          <w:docGrid w:type="linesAndChars" w:linePitch="312" w:charSpace="0"/>
        </w:sectPr>
      </w:pPr>
    </w:p>
    <w:p>
      <w:pPr>
        <w:pStyle w:val="21"/>
        <w:jc w:val="center"/>
      </w:pPr>
      <w:r>
        <w:rPr>
          <w:rFonts w:hint="eastAsia" w:ascii="黑体" w:hAnsi="黑体" w:eastAsia="黑体" w:cs="黑体"/>
          <w:sz w:val="32"/>
          <w:szCs w:val="32"/>
        </w:rPr>
        <w:t>第四部分</w:t>
      </w:r>
      <w:r>
        <w:rPr>
          <w:rFonts w:hint="eastAsia" w:hAnsi="黑体" w:cs="黑体"/>
          <w:sz w:val="32"/>
          <w:szCs w:val="32"/>
          <w:lang w:val="en-US" w:eastAsia="zh-CN"/>
        </w:rPr>
        <w:t xml:space="preserve"> </w:t>
      </w:r>
      <w:r>
        <w:rPr>
          <w:rFonts w:hint="eastAsia" w:ascii="黑体" w:hAnsi="黑体" w:eastAsia="黑体" w:cs="黑体"/>
          <w:color w:val="000000"/>
          <w:kern w:val="0"/>
          <w:sz w:val="32"/>
          <w:szCs w:val="32"/>
        </w:rPr>
        <w:t>名词解释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一、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r>
        <w:rPr>
          <w:rFonts w:hint="eastAsia" w:ascii="仿宋" w:hAnsi="仿宋" w:eastAsia="仿宋" w:cstheme="minorBidi"/>
          <w:color w:val="auto"/>
          <w:kern w:val="2"/>
          <w:sz w:val="28"/>
          <w:szCs w:val="28"/>
          <w:highlight w:val="none"/>
          <w:shd w:val="clear" w:color="auto" w:fill="auto"/>
          <w:lang w:val="en-US" w:eastAsia="zh-CN" w:bidi="ar-SA"/>
        </w:rPr>
        <w:t>二、“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theme="minorBidi"/>
          <w:color w:val="auto"/>
          <w:kern w:val="2"/>
          <w:sz w:val="28"/>
          <w:szCs w:val="28"/>
          <w:highlight w:val="none"/>
          <w:shd w:val="clear" w:color="auto" w:fill="auto"/>
          <w:lang w:val="en-US" w:eastAsia="zh-CN" w:bidi="ar-SA"/>
        </w:rPr>
      </w:pPr>
    </w:p>
    <w:p>
      <w:pPr>
        <w:pStyle w:val="21"/>
        <w:jc w:val="both"/>
        <w:rPr>
          <w:rFonts w:cs="Times New Roman"/>
          <w:sz w:val="72"/>
          <w:szCs w:val="72"/>
        </w:rPr>
      </w:pPr>
    </w:p>
    <w:p>
      <w:pPr>
        <w:pStyle w:val="21"/>
        <w:jc w:val="center"/>
        <w:rPr>
          <w:rFonts w:cs="Times New Roman"/>
          <w:sz w:val="72"/>
          <w:szCs w:val="72"/>
        </w:rPr>
      </w:pPr>
    </w:p>
    <w:p>
      <w:pPr>
        <w:pStyle w:val="21"/>
        <w:jc w:val="both"/>
        <w:rPr>
          <w:rFonts w:cs="Times New Roman"/>
          <w:sz w:val="72"/>
          <w:szCs w:val="72"/>
        </w:rPr>
      </w:pPr>
    </w:p>
    <w:p>
      <w:pPr>
        <w:pStyle w:val="21"/>
        <w:jc w:val="both"/>
        <w:rPr>
          <w:rFonts w:cs="Times New Roman"/>
          <w:sz w:val="72"/>
          <w:szCs w:val="72"/>
        </w:rPr>
      </w:pPr>
    </w:p>
    <w:p>
      <w:pPr>
        <w:pStyle w:val="21"/>
        <w:jc w:val="both"/>
        <w:rPr>
          <w:rFonts w:cs="Times New Roman"/>
          <w:sz w:val="72"/>
          <w:szCs w:val="72"/>
        </w:rPr>
      </w:pPr>
    </w:p>
    <w:p>
      <w:pPr>
        <w:pStyle w:val="21"/>
        <w:jc w:val="center"/>
        <w:rPr>
          <w:rFonts w:cs="Times New Roman"/>
          <w:sz w:val="72"/>
          <w:szCs w:val="72"/>
        </w:rPr>
      </w:pPr>
    </w:p>
    <w:p>
      <w:pPr>
        <w:pStyle w:val="21"/>
        <w:rPr>
          <w:rFonts w:hint="eastAsia" w:ascii="黑体" w:hAnsi="黑体" w:eastAsia="黑体" w:cs="黑体"/>
          <w:b/>
          <w:bCs/>
          <w:sz w:val="30"/>
          <w:szCs w:val="30"/>
        </w:rPr>
      </w:pPr>
    </w:p>
    <w:p>
      <w:pPr>
        <w:pStyle w:val="21"/>
        <w:rPr>
          <w:rFonts w:hint="eastAsia" w:ascii="黑体" w:hAnsi="黑体" w:eastAsia="黑体" w:cs="黑体"/>
          <w:b/>
          <w:bCs/>
          <w:sz w:val="30"/>
          <w:szCs w:val="30"/>
        </w:rPr>
      </w:pPr>
    </w:p>
    <w:p>
      <w:pPr>
        <w:pStyle w:val="21"/>
        <w:jc w:val="center"/>
        <w:rPr>
          <w:rFonts w:ascii="黑体" w:eastAsia="黑体" w:cs="Times New Roman"/>
          <w:color w:val="000000"/>
          <w:kern w:val="0"/>
          <w:sz w:val="70"/>
          <w:szCs w:val="70"/>
        </w:rPr>
      </w:pPr>
      <w:r>
        <w:rPr>
          <w:rFonts w:hint="eastAsia" w:ascii="黑体" w:hAnsi="黑体" w:eastAsia="黑体" w:cs="黑体"/>
          <w:b/>
          <w:bCs/>
          <w:sz w:val="30"/>
          <w:szCs w:val="30"/>
        </w:rPr>
        <w:t>第五部分</w:t>
      </w:r>
      <w:r>
        <w:rPr>
          <w:rFonts w:hint="eastAsia" w:hAnsi="黑体" w:cs="黑体"/>
          <w:b/>
          <w:bCs/>
          <w:sz w:val="30"/>
          <w:szCs w:val="30"/>
          <w:lang w:val="en-US" w:eastAsia="zh-CN"/>
        </w:rPr>
        <w:t xml:space="preserve"> </w:t>
      </w:r>
      <w:r>
        <w:rPr>
          <w:rFonts w:hint="eastAsia" w:ascii="黑体" w:hAnsi="黑体" w:eastAsia="黑体" w:cs="黑体"/>
          <w:b/>
          <w:bCs/>
          <w:color w:val="000000"/>
          <w:kern w:val="0"/>
          <w:sz w:val="30"/>
          <w:szCs w:val="30"/>
        </w:rPr>
        <w:t>附件</w:t>
      </w:r>
    </w:p>
    <w:p>
      <w:pPr>
        <w:pStyle w:val="3"/>
        <w:jc w:val="both"/>
        <w:rPr>
          <w:rFonts w:hint="eastAsia" w:ascii="宋体" w:hAnsi="宋体" w:eastAsia="宋体" w:cs="仿宋"/>
          <w:b/>
          <w:bCs/>
          <w:color w:val="000000"/>
          <w:kern w:val="0"/>
          <w:sz w:val="36"/>
          <w:szCs w:val="36"/>
          <w:lang w:val="en-US" w:eastAsia="zh-CN" w:bidi="ar-SA"/>
        </w:rPr>
      </w:pPr>
      <w:r>
        <w:rPr>
          <w:rFonts w:hint="eastAsia" w:ascii="宋体" w:hAnsi="宋体" w:eastAsia="宋体" w:cs="仿宋"/>
          <w:b/>
          <w:bCs/>
          <w:color w:val="000000"/>
          <w:kern w:val="0"/>
          <w:sz w:val="28"/>
          <w:szCs w:val="28"/>
          <w:lang w:val="en-US" w:eastAsia="zh-CN" w:bidi="ar-SA"/>
        </w:rPr>
        <w:t>附件</w:t>
      </w:r>
    </w:p>
    <w:p>
      <w:pPr>
        <w:spacing w:line="520" w:lineRule="exact"/>
        <w:jc w:val="center"/>
        <w:rPr>
          <w:rFonts w:ascii="宋体" w:hAnsi="宋体" w:cs="仿宋"/>
          <w:b/>
          <w:bCs/>
          <w:color w:val="000000"/>
          <w:kern w:val="0"/>
          <w:sz w:val="36"/>
          <w:szCs w:val="36"/>
        </w:rPr>
      </w:pPr>
      <w:r>
        <w:rPr>
          <w:rFonts w:hint="eastAsia" w:ascii="宋体" w:hAnsi="宋体" w:cs="仿宋"/>
          <w:b/>
          <w:bCs/>
          <w:color w:val="000000"/>
          <w:kern w:val="0"/>
          <w:sz w:val="36"/>
          <w:szCs w:val="36"/>
          <w:lang w:val="en-US" w:eastAsia="zh-CN"/>
        </w:rPr>
        <w:t>2022年</w:t>
      </w:r>
      <w:r>
        <w:rPr>
          <w:rFonts w:hint="eastAsia" w:ascii="宋体" w:hAnsi="宋体" w:cs="仿宋"/>
          <w:b/>
          <w:bCs/>
          <w:color w:val="000000"/>
          <w:kern w:val="0"/>
          <w:sz w:val="36"/>
          <w:szCs w:val="36"/>
        </w:rPr>
        <w:t>部门整体支出绩效自评报告公开</w:t>
      </w: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部门概况</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单位名称</w:t>
            </w:r>
          </w:p>
        </w:tc>
        <w:tc>
          <w:tcPr>
            <w:tcW w:w="5670" w:type="dxa"/>
            <w:vAlign w:val="center"/>
          </w:tcPr>
          <w:p>
            <w:pPr>
              <w:spacing w:line="240" w:lineRule="auto"/>
              <w:ind w:right="0" w:rightChars="0"/>
              <w:jc w:val="center"/>
              <w:rPr>
                <w:rFonts w:hint="eastAsia"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年</w:t>
            </w:r>
            <w:r>
              <w:rPr>
                <w:rFonts w:hint="eastAsia" w:ascii="仿宋_GB2312" w:hAnsi="宋体" w:eastAsia="仿宋_GB2312" w:cs="宋体"/>
                <w:sz w:val="21"/>
                <w:szCs w:val="21"/>
                <w:lang w:eastAsia="zh-CN"/>
              </w:rPr>
              <w:t>初</w:t>
            </w:r>
            <w:r>
              <w:rPr>
                <w:rFonts w:hint="eastAsia" w:ascii="仿宋_GB2312" w:hAnsi="宋体" w:eastAsia="仿宋_GB2312" w:cs="宋体"/>
                <w:sz w:val="21"/>
                <w:szCs w:val="21"/>
              </w:rPr>
              <w:t>预算金额</w:t>
            </w:r>
          </w:p>
        </w:tc>
        <w:tc>
          <w:tcPr>
            <w:tcW w:w="5670" w:type="dxa"/>
            <w:vAlign w:val="center"/>
          </w:tcPr>
          <w:p>
            <w:pPr>
              <w:spacing w:line="240" w:lineRule="auto"/>
              <w:ind w:right="0" w:rightChars="0"/>
              <w:jc w:val="center"/>
              <w:rPr>
                <w:rFonts w:hint="default"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3539.8872万元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单位基本职能</w:t>
            </w:r>
          </w:p>
        </w:tc>
        <w:tc>
          <w:tcPr>
            <w:tcW w:w="5670" w:type="dxa"/>
            <w:vAlign w:val="center"/>
          </w:tcPr>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拟订全县农业农村工作的发展中长期规划并指导实施。负责全县农业综合执法，推进农业依法行政。提出有关农产品，农业财政补贴及农业产业保护的政策建议，参与制定相关政策。</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统筹推动发展农村社会事业、农村公共服务、农村文化、农村基础设施和乡村治理。牵头组织改善农村人居环境。指导农村精神文明和优秀农耕文化建设。</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贯彻执行党和国家扶贫开发工作方针、政策，负责拟定全县扶贫开发工作的政策和发展规划；负责组织、协调、指导全县精准扶贫工作，协调安排扶贫资金，并检查、监督使用情况。</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4、</w:t>
            </w:r>
            <w:r>
              <w:rPr>
                <w:rFonts w:ascii="仿宋" w:hAnsi="仿宋" w:eastAsia="仿宋" w:cs="宋体"/>
                <w:color w:val="333333"/>
                <w:kern w:val="0"/>
                <w:sz w:val="21"/>
                <w:szCs w:val="21"/>
              </w:rPr>
              <w:t>研究提出深化农村经济体制改革和巩固完善农村基本经营制度的建议。负责农村宅基地改革和管理有关工作。指导农民合作经济组织、农业社会化服务体系、新型农业经营主体建设与发展。</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5、</w:t>
            </w:r>
            <w:r>
              <w:rPr>
                <w:rFonts w:ascii="仿宋" w:hAnsi="仿宋" w:eastAsia="仿宋" w:cs="宋体"/>
                <w:color w:val="333333"/>
                <w:kern w:val="0"/>
                <w:sz w:val="21"/>
                <w:szCs w:val="21"/>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6、</w:t>
            </w:r>
            <w:r>
              <w:rPr>
                <w:rFonts w:ascii="仿宋" w:hAnsi="仿宋" w:eastAsia="仿宋" w:cs="宋体"/>
                <w:color w:val="333333"/>
                <w:kern w:val="0"/>
                <w:sz w:val="21"/>
                <w:szCs w:val="21"/>
              </w:rPr>
              <w:t>负责全县种植业、畜牧业、渔业、农业机械化等农业各产业的监督管理。指导粮食等农产品生产。组织构建现代农业产业体系、生产体系、经营体系，指导农业标准化生产。负责渔政渔港监督管理。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7、</w:t>
            </w:r>
            <w:r>
              <w:rPr>
                <w:rFonts w:ascii="仿宋" w:hAnsi="仿宋" w:eastAsia="仿宋" w:cs="宋体"/>
                <w:color w:val="333333"/>
                <w:kern w:val="0"/>
                <w:sz w:val="21"/>
                <w:szCs w:val="21"/>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8、</w:t>
            </w:r>
            <w:r>
              <w:rPr>
                <w:rFonts w:ascii="仿宋" w:hAnsi="仿宋" w:eastAsia="仿宋" w:cs="宋体"/>
                <w:color w:val="333333"/>
                <w:kern w:val="0"/>
                <w:sz w:val="21"/>
                <w:szCs w:val="21"/>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9、</w:t>
            </w:r>
            <w:r>
              <w:rPr>
                <w:rFonts w:ascii="仿宋" w:hAnsi="仿宋" w:eastAsia="仿宋" w:cs="宋体"/>
                <w:color w:val="333333"/>
                <w:kern w:val="0"/>
                <w:sz w:val="21"/>
                <w:szCs w:val="21"/>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10、</w:t>
            </w:r>
            <w:r>
              <w:rPr>
                <w:rFonts w:ascii="仿宋" w:hAnsi="仿宋" w:eastAsia="仿宋" w:cs="宋体"/>
                <w:color w:val="333333"/>
                <w:kern w:val="0"/>
                <w:sz w:val="21"/>
                <w:szCs w:val="21"/>
              </w:rPr>
              <w:t>负责农业防灾减灾、农作物重大病虫害防治工作。指导动植物防疫检疫体系建设，组织、监督县内动植物防疫检疫工作，并组织疫情扑灭。</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11、</w:t>
            </w:r>
            <w:r>
              <w:rPr>
                <w:rFonts w:ascii="仿宋" w:hAnsi="仿宋" w:eastAsia="仿宋" w:cs="宋体"/>
                <w:color w:val="333333"/>
                <w:kern w:val="0"/>
                <w:sz w:val="21"/>
                <w:szCs w:val="21"/>
              </w:rPr>
              <w:t>负责农业投资管理。拟订农业开发规划，组织实施有关农业项目，提出农业固定资产投资规模、投资项目和县级财政资金安排的建议，负责协调安排及监督检查有关涉农、惠农项目资金，编报部门预算并组织执行。</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12、</w:t>
            </w:r>
            <w:r>
              <w:rPr>
                <w:rFonts w:ascii="仿宋" w:hAnsi="仿宋" w:eastAsia="仿宋" w:cs="宋体"/>
                <w:color w:val="333333"/>
                <w:kern w:val="0"/>
                <w:sz w:val="21"/>
                <w:szCs w:val="21"/>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13、</w:t>
            </w:r>
            <w:r>
              <w:rPr>
                <w:rFonts w:ascii="仿宋" w:hAnsi="仿宋" w:eastAsia="仿宋" w:cs="宋体"/>
                <w:color w:val="333333"/>
                <w:kern w:val="0"/>
                <w:sz w:val="21"/>
                <w:szCs w:val="21"/>
              </w:rPr>
              <w:t>统一领导和管理所属的湘潭县贫困帮扶中心、湘潭县农业发展服务中心。</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14、</w:t>
            </w:r>
            <w:r>
              <w:rPr>
                <w:rFonts w:ascii="仿宋" w:hAnsi="仿宋" w:eastAsia="仿宋" w:cs="宋体"/>
                <w:color w:val="333333"/>
                <w:kern w:val="0"/>
                <w:sz w:val="21"/>
                <w:szCs w:val="21"/>
              </w:rPr>
              <w:t>完成县委、县政府交办的其他任务。</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15、</w:t>
            </w:r>
            <w:r>
              <w:rPr>
                <w:rFonts w:ascii="仿宋" w:hAnsi="仿宋" w:eastAsia="仿宋" w:cs="宋体"/>
                <w:color w:val="333333"/>
                <w:kern w:val="0"/>
                <w:sz w:val="21"/>
                <w:szCs w:val="21"/>
              </w:rPr>
              <w:t>职能转变。</w:t>
            </w:r>
          </w:p>
          <w:p>
            <w:pPr>
              <w:widowControl/>
              <w:shd w:val="clear" w:color="auto" w:fill="FFFFFF"/>
              <w:spacing w:line="300" w:lineRule="exact"/>
              <w:ind w:firstLine="315" w:firstLineChars="150"/>
              <w:rPr>
                <w:rFonts w:ascii="仿宋_GB2312" w:hAnsi="宋体" w:eastAsia="仿宋_GB2312" w:cs="宋体"/>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加强农产品质量安全和相关农业生产资料、农业投入品的监督管理，严防、严管、严控质量安全风险，让人民群众吃得放心、安心。</w:t>
            </w: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加强对行业内交叉重复以及性质相同、用途相近的农业投资项目的统筹整合，加强事中事后监管，切实提升支农政策效果和资金使用效益。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绩效完成情况</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部门整体支出管理和使用基本情况</w:t>
            </w:r>
          </w:p>
        </w:tc>
        <w:tc>
          <w:tcPr>
            <w:tcW w:w="5670" w:type="dxa"/>
            <w:vAlign w:val="center"/>
          </w:tcPr>
          <w:p>
            <w:pPr>
              <w:widowControl/>
              <w:ind w:firstLine="420" w:firstLineChars="200"/>
              <w:jc w:val="left"/>
              <w:rPr>
                <w:rFonts w:hint="eastAsia" w:ascii="仿宋" w:hAnsi="仿宋" w:eastAsia="仿宋" w:cs="仿宋"/>
                <w:color w:val="000000"/>
                <w:kern w:val="0"/>
                <w:sz w:val="21"/>
                <w:szCs w:val="21"/>
                <w:lang w:val="en-US" w:eastAsia="zh-CN"/>
              </w:rPr>
            </w:pPr>
            <w:r>
              <w:rPr>
                <w:rFonts w:hint="eastAsia" w:ascii="仿宋" w:hAnsi="仿宋" w:eastAsia="仿宋" w:cs="仿宋"/>
                <w:b/>
                <w:bCs/>
                <w:color w:val="000000"/>
                <w:kern w:val="0"/>
                <w:sz w:val="21"/>
                <w:szCs w:val="21"/>
              </w:rPr>
              <w:t>一、收入情况 。</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年我局县级年初部门预算资金</w:t>
            </w:r>
            <w:r>
              <w:rPr>
                <w:rFonts w:hint="eastAsia" w:ascii="仿宋" w:hAnsi="仿宋" w:eastAsia="仿宋" w:cs="仿宋"/>
                <w:color w:val="000000"/>
                <w:kern w:val="0"/>
                <w:sz w:val="21"/>
                <w:szCs w:val="21"/>
                <w:lang w:val="en-US" w:eastAsia="zh-CN"/>
              </w:rPr>
              <w:t>3539.8872</w:t>
            </w:r>
            <w:r>
              <w:rPr>
                <w:rFonts w:hint="eastAsia" w:ascii="仿宋" w:hAnsi="仿宋" w:eastAsia="仿宋" w:cs="仿宋"/>
                <w:color w:val="000000"/>
                <w:kern w:val="0"/>
                <w:sz w:val="21"/>
                <w:szCs w:val="21"/>
              </w:rPr>
              <w:t>万元，其中基本</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2495.0597</w:t>
            </w:r>
            <w:r>
              <w:rPr>
                <w:rFonts w:hint="eastAsia" w:ascii="仿宋" w:hAnsi="仿宋" w:eastAsia="仿宋" w:cs="仿宋"/>
                <w:color w:val="000000"/>
                <w:kern w:val="0"/>
                <w:sz w:val="21"/>
                <w:szCs w:val="21"/>
              </w:rPr>
              <w:t>万元，项目</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1044.8275</w:t>
            </w:r>
            <w:r>
              <w:rPr>
                <w:rFonts w:hint="eastAsia" w:ascii="仿宋" w:hAnsi="仿宋" w:eastAsia="仿宋" w:cs="仿宋"/>
                <w:color w:val="000000"/>
                <w:kern w:val="0"/>
                <w:sz w:val="21"/>
                <w:szCs w:val="21"/>
              </w:rPr>
              <w:t>万元。年中追加</w:t>
            </w:r>
            <w:r>
              <w:rPr>
                <w:rFonts w:hint="eastAsia" w:ascii="仿宋" w:hAnsi="仿宋" w:eastAsia="仿宋" w:cs="仿宋"/>
                <w:color w:val="000000"/>
                <w:kern w:val="0"/>
                <w:sz w:val="21"/>
                <w:szCs w:val="21"/>
                <w:lang w:eastAsia="zh-CN"/>
              </w:rPr>
              <w:t>指标</w:t>
            </w:r>
            <w:r>
              <w:rPr>
                <w:rFonts w:hint="eastAsia" w:ascii="仿宋" w:hAnsi="仿宋" w:eastAsia="仿宋" w:cs="仿宋"/>
                <w:color w:val="000000"/>
                <w:kern w:val="0"/>
                <w:sz w:val="21"/>
                <w:szCs w:val="21"/>
                <w:lang w:val="en-US" w:eastAsia="zh-CN"/>
              </w:rPr>
              <w:t>1273.10</w:t>
            </w:r>
            <w:r>
              <w:rPr>
                <w:rFonts w:hint="eastAsia" w:ascii="仿宋" w:hAnsi="仿宋" w:eastAsia="仿宋" w:cs="仿宋"/>
                <w:color w:val="000000"/>
                <w:kern w:val="0"/>
                <w:sz w:val="21"/>
                <w:szCs w:val="21"/>
              </w:rPr>
              <w:t>万元，其中基本支出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239.10</w:t>
            </w:r>
            <w:r>
              <w:rPr>
                <w:rFonts w:hint="eastAsia" w:ascii="仿宋" w:hAnsi="仿宋" w:eastAsia="仿宋" w:cs="仿宋"/>
                <w:color w:val="000000"/>
                <w:kern w:val="0"/>
                <w:sz w:val="21"/>
                <w:szCs w:val="21"/>
              </w:rPr>
              <w:t>万元，项目支出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1034</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县级部门预算收入共计</w:t>
            </w:r>
            <w:r>
              <w:rPr>
                <w:rFonts w:hint="eastAsia" w:ascii="仿宋" w:hAnsi="仿宋" w:eastAsia="仿宋" w:cs="仿宋"/>
                <w:color w:val="000000"/>
                <w:kern w:val="0"/>
                <w:sz w:val="21"/>
                <w:szCs w:val="21"/>
                <w:lang w:val="en-US" w:eastAsia="zh-CN"/>
              </w:rPr>
              <w:t>4812.9872万元。</w:t>
            </w:r>
          </w:p>
          <w:p>
            <w:pPr>
              <w:spacing w:line="300" w:lineRule="exact"/>
              <w:ind w:firstLine="420" w:firstLineChars="200"/>
              <w:outlineLvl w:val="0"/>
              <w:rPr>
                <w:rFonts w:hint="eastAsia" w:ascii="仿宋" w:hAnsi="仿宋" w:eastAsia="仿宋" w:cs="仿宋"/>
                <w:sz w:val="21"/>
                <w:szCs w:val="21"/>
              </w:rPr>
            </w:pPr>
            <w:r>
              <w:rPr>
                <w:rFonts w:hint="eastAsia" w:ascii="仿宋" w:hAnsi="仿宋" w:eastAsia="仿宋" w:cs="仿宋"/>
                <w:b/>
                <w:bCs/>
                <w:color w:val="000000"/>
                <w:kern w:val="0"/>
                <w:sz w:val="21"/>
                <w:szCs w:val="21"/>
              </w:rPr>
              <w:t>二、支出情况。</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年预算可用指标金额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4812.9925</w:t>
            </w:r>
            <w:r>
              <w:rPr>
                <w:rFonts w:hint="eastAsia" w:ascii="仿宋" w:hAnsi="仿宋" w:eastAsia="仿宋" w:cs="仿宋"/>
                <w:color w:val="000000"/>
                <w:kern w:val="0"/>
                <w:sz w:val="21"/>
                <w:szCs w:val="21"/>
              </w:rPr>
              <w:t>万元，本年</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4921.0011</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全年预算执行率</w:t>
            </w:r>
            <w:r>
              <w:rPr>
                <w:rFonts w:hint="eastAsia" w:ascii="仿宋" w:hAnsi="仿宋" w:eastAsia="仿宋" w:cs="仿宋"/>
                <w:color w:val="000000"/>
                <w:kern w:val="0"/>
                <w:sz w:val="21"/>
                <w:szCs w:val="21"/>
                <w:lang w:val="en-US" w:eastAsia="zh-CN"/>
              </w:rPr>
              <w:t>102%。</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基本支出</w:t>
            </w:r>
            <w:r>
              <w:rPr>
                <w:rFonts w:hint="eastAsia" w:ascii="仿宋" w:hAnsi="仿宋" w:eastAsia="仿宋" w:cs="仿宋"/>
                <w:color w:val="000000"/>
                <w:kern w:val="0"/>
                <w:sz w:val="21"/>
                <w:szCs w:val="21"/>
                <w:lang w:val="en-US" w:eastAsia="zh-CN"/>
              </w:rPr>
              <w:t>可用指标共2734.165万元，本年</w:t>
            </w:r>
            <w:r>
              <w:rPr>
                <w:rFonts w:hint="eastAsia" w:ascii="仿宋" w:hAnsi="仿宋" w:eastAsia="仿宋" w:cs="仿宋"/>
                <w:color w:val="000000"/>
                <w:kern w:val="0"/>
                <w:sz w:val="21"/>
                <w:szCs w:val="21"/>
                <w:lang w:eastAsia="zh-CN"/>
              </w:rPr>
              <w:t>基本</w:t>
            </w:r>
            <w:r>
              <w:rPr>
                <w:rFonts w:hint="eastAsia" w:ascii="仿宋" w:hAnsi="仿宋" w:eastAsia="仿宋" w:cs="仿宋"/>
                <w:color w:val="000000"/>
                <w:kern w:val="0"/>
                <w:sz w:val="21"/>
                <w:szCs w:val="21"/>
                <w:lang w:val="en-US" w:eastAsia="zh-CN"/>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3202.4736万元，收支预算</w:t>
            </w:r>
            <w:r>
              <w:rPr>
                <w:rFonts w:hint="eastAsia" w:ascii="仿宋" w:hAnsi="仿宋" w:eastAsia="仿宋" w:cs="仿宋"/>
                <w:color w:val="000000"/>
                <w:kern w:val="0"/>
                <w:sz w:val="21"/>
                <w:szCs w:val="21"/>
              </w:rPr>
              <w:t>差额-</w:t>
            </w:r>
            <w:r>
              <w:rPr>
                <w:rFonts w:hint="eastAsia" w:ascii="仿宋" w:hAnsi="仿宋" w:eastAsia="仿宋" w:cs="仿宋"/>
                <w:color w:val="000000"/>
                <w:kern w:val="0"/>
                <w:sz w:val="21"/>
                <w:szCs w:val="21"/>
                <w:lang w:val="en-US" w:eastAsia="zh-CN"/>
              </w:rPr>
              <w:t>468.3087</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预算执行率11</w:t>
            </w:r>
            <w:r>
              <w:rPr>
                <w:rFonts w:hint="eastAsia" w:ascii="仿宋" w:hAnsi="仿宋" w:eastAsia="仿宋" w:cs="仿宋"/>
                <w:color w:val="000000"/>
                <w:kern w:val="0"/>
                <w:sz w:val="21"/>
                <w:szCs w:val="21"/>
                <w:lang w:val="en-US" w:eastAsia="zh-CN"/>
              </w:rPr>
              <w:t>7</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w:t>
            </w:r>
            <w:r>
              <w:rPr>
                <w:rFonts w:hint="eastAsia" w:ascii="仿宋" w:hAnsi="仿宋" w:eastAsia="仿宋" w:cs="仿宋"/>
                <w:color w:val="000000"/>
                <w:kern w:val="0"/>
                <w:sz w:val="21"/>
                <w:szCs w:val="21"/>
              </w:rPr>
              <w:t>县级项目</w:t>
            </w:r>
            <w:r>
              <w:rPr>
                <w:rFonts w:hint="eastAsia" w:ascii="仿宋" w:hAnsi="仿宋" w:eastAsia="仿宋" w:cs="仿宋"/>
                <w:color w:val="000000"/>
                <w:kern w:val="0"/>
                <w:sz w:val="21"/>
                <w:szCs w:val="21"/>
                <w:lang w:eastAsia="zh-CN"/>
              </w:rPr>
              <w:t>支出可用指标</w:t>
            </w:r>
            <w:r>
              <w:rPr>
                <w:rFonts w:hint="eastAsia" w:ascii="仿宋" w:hAnsi="仿宋" w:eastAsia="仿宋" w:cs="仿宋"/>
                <w:color w:val="000000"/>
                <w:kern w:val="0"/>
                <w:sz w:val="21"/>
                <w:szCs w:val="21"/>
              </w:rPr>
              <w:t>共计</w:t>
            </w:r>
            <w:r>
              <w:rPr>
                <w:rFonts w:hint="eastAsia" w:ascii="仿宋" w:hAnsi="仿宋" w:eastAsia="仿宋" w:cs="仿宋"/>
                <w:color w:val="000000"/>
                <w:kern w:val="0"/>
                <w:sz w:val="21"/>
                <w:szCs w:val="21"/>
                <w:lang w:val="en-US" w:eastAsia="zh-CN"/>
              </w:rPr>
              <w:t>2078.8275</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30万元以上项目性专项</w:t>
            </w:r>
            <w:r>
              <w:rPr>
                <w:rFonts w:hint="eastAsia" w:ascii="仿宋" w:hAnsi="仿宋" w:eastAsia="仿宋" w:cs="仿宋"/>
                <w:color w:val="000000"/>
                <w:kern w:val="0"/>
                <w:sz w:val="21"/>
                <w:szCs w:val="21"/>
                <w:lang w:val="en-US" w:eastAsia="zh-CN"/>
              </w:rPr>
              <w:t>6</w:t>
            </w:r>
            <w:r>
              <w:rPr>
                <w:rFonts w:hint="eastAsia" w:ascii="仿宋" w:hAnsi="仿宋" w:eastAsia="仿宋" w:cs="仿宋"/>
                <w:color w:val="000000"/>
                <w:kern w:val="0"/>
                <w:sz w:val="21"/>
                <w:szCs w:val="21"/>
              </w:rPr>
              <w:t>个，项目资金</w:t>
            </w:r>
            <w:r>
              <w:rPr>
                <w:rFonts w:hint="eastAsia" w:ascii="仿宋" w:hAnsi="仿宋" w:eastAsia="仿宋" w:cs="仿宋"/>
                <w:color w:val="000000"/>
                <w:kern w:val="0"/>
                <w:sz w:val="21"/>
                <w:szCs w:val="21"/>
                <w:lang w:val="en-US" w:eastAsia="zh-CN"/>
              </w:rPr>
              <w:t>366</w:t>
            </w:r>
            <w:r>
              <w:rPr>
                <w:rFonts w:hint="eastAsia" w:ascii="仿宋" w:hAnsi="仿宋" w:eastAsia="仿宋" w:cs="仿宋"/>
                <w:color w:val="000000"/>
                <w:kern w:val="0"/>
                <w:sz w:val="21"/>
                <w:szCs w:val="21"/>
              </w:rPr>
              <w:t>万元；业务性专项2</w:t>
            </w:r>
            <w:r>
              <w:rPr>
                <w:rFonts w:hint="eastAsia" w:ascii="仿宋" w:hAnsi="仿宋" w:eastAsia="仿宋" w:cs="仿宋"/>
                <w:color w:val="000000"/>
                <w:kern w:val="0"/>
                <w:sz w:val="21"/>
                <w:szCs w:val="21"/>
                <w:lang w:val="en-US" w:eastAsia="zh-CN"/>
              </w:rPr>
              <w:t>1</w:t>
            </w:r>
            <w:r>
              <w:rPr>
                <w:rFonts w:hint="eastAsia" w:ascii="仿宋" w:hAnsi="仿宋" w:eastAsia="仿宋" w:cs="仿宋"/>
                <w:color w:val="000000"/>
                <w:kern w:val="0"/>
                <w:sz w:val="21"/>
                <w:szCs w:val="21"/>
              </w:rPr>
              <w:t>个，项目资金</w:t>
            </w:r>
            <w:r>
              <w:rPr>
                <w:rFonts w:hint="eastAsia" w:ascii="仿宋" w:hAnsi="仿宋" w:eastAsia="仿宋" w:cs="仿宋"/>
                <w:color w:val="000000"/>
                <w:kern w:val="0"/>
                <w:sz w:val="21"/>
                <w:szCs w:val="21"/>
                <w:lang w:val="en-US" w:eastAsia="zh-CN"/>
              </w:rPr>
              <w:t>1712.8275</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本年项目</w:t>
            </w:r>
            <w:r>
              <w:rPr>
                <w:rFonts w:hint="eastAsia" w:ascii="仿宋" w:hAnsi="仿宋" w:eastAsia="仿宋" w:cs="仿宋"/>
                <w:color w:val="000000"/>
                <w:kern w:val="0"/>
                <w:sz w:val="21"/>
                <w:szCs w:val="21"/>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1718.5275</w:t>
            </w:r>
            <w:r>
              <w:rPr>
                <w:rFonts w:hint="eastAsia" w:ascii="仿宋" w:hAnsi="仿宋" w:eastAsia="仿宋" w:cs="仿宋"/>
                <w:color w:val="000000"/>
                <w:kern w:val="0"/>
                <w:sz w:val="21"/>
                <w:szCs w:val="21"/>
              </w:rPr>
              <w:t>万元（不含县设专项），</w:t>
            </w:r>
            <w:r>
              <w:rPr>
                <w:rFonts w:hint="eastAsia" w:ascii="仿宋" w:hAnsi="仿宋" w:eastAsia="仿宋" w:cs="仿宋"/>
                <w:color w:val="000000"/>
                <w:kern w:val="0"/>
                <w:sz w:val="21"/>
                <w:szCs w:val="21"/>
                <w:lang w:eastAsia="zh-CN"/>
              </w:rPr>
              <w:t>项目支出</w:t>
            </w:r>
            <w:r>
              <w:rPr>
                <w:rFonts w:hint="eastAsia" w:ascii="仿宋" w:hAnsi="仿宋" w:eastAsia="仿宋" w:cs="仿宋"/>
                <w:color w:val="000000"/>
                <w:kern w:val="0"/>
                <w:sz w:val="21"/>
                <w:szCs w:val="21"/>
              </w:rPr>
              <w:t>预算执行率</w:t>
            </w:r>
            <w:r>
              <w:rPr>
                <w:rFonts w:hint="eastAsia" w:ascii="仿宋" w:hAnsi="仿宋" w:eastAsia="仿宋" w:cs="仿宋"/>
                <w:color w:val="000000"/>
                <w:kern w:val="0"/>
                <w:sz w:val="21"/>
                <w:szCs w:val="21"/>
                <w:lang w:val="en-US" w:eastAsia="zh-CN"/>
              </w:rPr>
              <w:t>82.7</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2"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绩效目标完成情况</w:t>
            </w:r>
          </w:p>
        </w:tc>
        <w:tc>
          <w:tcPr>
            <w:tcW w:w="5670"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outlineLvl w:val="0"/>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2022年，县农业农村局紧扣县委、县政府决策部署，以全面实施乡村振兴战略为主线，聚焦聚力农业农村高质量发展，统筹推进乡村产业、乡村建设、乡村治理等各项工作再上台阶，保障了全县农业农村工作持续健康发展。“湘潭县：推动低镉大米增质增量增效”荣获省政府2022年综合大督查发现的典型经验做法表扬通报，落实粮食安全责任制和开展农村人居环境整治获省政府真抓实干督查激励表扬。</w:t>
            </w:r>
            <w:r>
              <w:rPr>
                <w:rFonts w:hint="eastAsia" w:ascii="仿宋" w:hAnsi="仿宋" w:eastAsia="仿宋" w:cs="仿宋"/>
                <w:color w:val="auto"/>
                <w:sz w:val="21"/>
                <w:szCs w:val="21"/>
                <w:highlight w:val="none"/>
              </w:rPr>
              <w:t>2022年全县完成农林牧渔总产值127.4亿元。前三季度我县地区生产总值413.9亿元，增速4.9%；地方一般公共预算收入11.93亿元，增速负10.09%；地方税收收入8.24亿元，增速负5.6%；规模以上工业企业营业收入（1-8月）471.5亿元，增速18.8%；城乡居民人均可支配收入24595元，增速6.5%。预计2022年农村居民人均可支配收入25396元，增速6.5%。二是粮猪等主要农产品稳产保供。粮食方面，目前已完成粮食种植面积126.95万亩，其中早稻42.86万亩，一季稻36.44万亩，晚稻44.65万亩，旱杂粮3万亩；完成高档优质稻28万亩；完成粮食总产60.32万吨。完成油菜面积26.38万亩，荣获2022年全省粮食生产（油菜）先进县。打造“统分结合”模式，分水乡分水村“三统一分”等3种模式入选市粮食生产领导小组编印的粮食生产“统分结合”典型案例汇编，《湘潭市：全面推广“统分法模式”走出粮食生产稳定面 增效新路子》获省委副书记朱国贤书面肯定性批示。全市“三夏”生产、耕地抛荒治理暨全面推广统分结合典型模式现场会议在石潭镇举办。畜禽方面，截至年底，全县生猪存栏90.8万头，出栏160.6万头，超额完成年度任务目标。荣获全省优秀生猪规模场监测县。蔬菜方面，完成播种面积33万亩，产量70万吨。巩固种植结构调整16.68万亩，主要是湘莲、旱杂粮、水果、蔬菜、中药材等。三是农村环境整治有序推进。共创建省级美丽乡村5个、市级美丽乡村5个、县级美丽乡村10个、美丽屋场40个，目前已投入3339.69万元，完成100%。完成2021年度续建改厕任务4599座。全面完成户厕摸底工作任务，登记户厕213207户。新建厕所和问题厕所整改任务都已全部完成。全县村庄“四清”清理公共区域的垃圾和卫生死角8965处，镇区五治整治7968处，河道整治569千米，拆除“空心房”“违建房”“危险房”86处。全面完成10个村以污水治理为主要内容的农村人居环境整任务。四是争资争项再次超额完成任务。完成争资争项约4.33亿元，提前超额完成县下达争资争项任务。成功申报湘莲国家现代农业产业园（全省唯一），获批资金7000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存在的问题分析及改进措施</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w:t>
            </w:r>
          </w:p>
        </w:tc>
        <w:tc>
          <w:tcPr>
            <w:tcW w:w="5670" w:type="dxa"/>
            <w:vAlign w:val="center"/>
          </w:tcPr>
          <w:p>
            <w:pPr>
              <w:widowControl/>
              <w:jc w:val="left"/>
              <w:rPr>
                <w:rFonts w:hint="eastAsia" w:ascii="仿宋" w:hAnsi="仿宋" w:eastAsia="仿宋" w:cs="仿宋"/>
                <w:sz w:val="21"/>
                <w:szCs w:val="21"/>
              </w:rPr>
            </w:pPr>
            <w:r>
              <w:rPr>
                <w:rFonts w:hint="eastAsia" w:ascii="仿宋" w:hAnsi="仿宋" w:eastAsia="仿宋" w:cs="仿宋"/>
                <w:color w:val="000000"/>
                <w:kern w:val="0"/>
                <w:sz w:val="21"/>
                <w:szCs w:val="21"/>
              </w:rPr>
              <w:t>1、因单位职能职责的增加，刚性支出和重点项目的投入也不断增加，</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资金预算缺口越来越大。2、财政资金调度紧张，造成上级项目结转资金金额较大。3、项目资金拨付一般在下年1-2月份，因此实际拨付金额与报表数据存在一定差异。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改进措施</w:t>
            </w:r>
          </w:p>
        </w:tc>
        <w:tc>
          <w:tcPr>
            <w:tcW w:w="5670" w:type="dxa"/>
            <w:vAlign w:val="center"/>
          </w:tcPr>
          <w:p>
            <w:pPr>
              <w:widowControl/>
              <w:jc w:val="left"/>
              <w:rPr>
                <w:rFonts w:hint="eastAsia" w:ascii="仿宋" w:hAnsi="仿宋" w:eastAsia="仿宋" w:cs="仿宋"/>
                <w:sz w:val="21"/>
                <w:szCs w:val="21"/>
              </w:rPr>
            </w:pPr>
            <w:r>
              <w:rPr>
                <w:rFonts w:hint="eastAsia" w:ascii="仿宋" w:hAnsi="仿宋" w:eastAsia="仿宋" w:cs="仿宋"/>
                <w:color w:val="000000"/>
                <w:kern w:val="0"/>
                <w:sz w:val="21"/>
                <w:szCs w:val="21"/>
              </w:rPr>
              <w:t>1、建议增收节支，尽量减少非生产性开支。2、加强对项目的日常管理和监督，做到专款专用，专项管理。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其他需要说明问题</w:t>
            </w:r>
          </w:p>
        </w:tc>
        <w:tc>
          <w:tcPr>
            <w:tcW w:w="5670" w:type="dxa"/>
            <w:vAlign w:val="center"/>
          </w:tcPr>
          <w:p>
            <w:pPr>
              <w:widowControl/>
              <w:jc w:val="center"/>
              <w:rPr>
                <w:rFonts w:ascii="仿宋_GB2312" w:hAnsi="宋体" w:eastAsia="仿宋_GB2312" w:cs="宋体"/>
                <w:sz w:val="21"/>
                <w:szCs w:val="21"/>
              </w:rPr>
            </w:pPr>
            <w:r>
              <w:rPr>
                <w:rFonts w:hint="eastAsia" w:ascii="仿宋_GB2312" w:hAnsi="宋体" w:eastAsia="仿宋_GB2312" w:cs="宋体"/>
                <w:color w:val="000000"/>
                <w:kern w:val="0"/>
                <w:sz w:val="21"/>
                <w:szCs w:val="21"/>
              </w:rPr>
              <w:t>无</w:t>
            </w:r>
          </w:p>
        </w:tc>
      </w:tr>
    </w:tbl>
    <w:p>
      <w:pPr>
        <w:ind w:firstLine="640" w:firstLineChars="200"/>
        <w:jc w:val="left"/>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Consolas">
    <w:panose1 w:val="020B0609020204030204"/>
    <w:charset w:val="00"/>
    <w:family w:val="auto"/>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ËÎÌå">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lNmVlZDUzNDg1YWZmN2M3YTRhNzM3MjZhYTRlMzE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3526"/>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AC541E"/>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1B512C4"/>
    <w:rsid w:val="02CB524D"/>
    <w:rsid w:val="03E64708"/>
    <w:rsid w:val="04820BAF"/>
    <w:rsid w:val="04B743EB"/>
    <w:rsid w:val="04C321D6"/>
    <w:rsid w:val="04F82B4C"/>
    <w:rsid w:val="05B04C75"/>
    <w:rsid w:val="068F0D1F"/>
    <w:rsid w:val="07591F04"/>
    <w:rsid w:val="077C35ED"/>
    <w:rsid w:val="082539FE"/>
    <w:rsid w:val="082E3F74"/>
    <w:rsid w:val="082F0F7A"/>
    <w:rsid w:val="089A2898"/>
    <w:rsid w:val="08A27CDB"/>
    <w:rsid w:val="08E369B7"/>
    <w:rsid w:val="09570789"/>
    <w:rsid w:val="09B216AF"/>
    <w:rsid w:val="09E43023"/>
    <w:rsid w:val="0A0855DF"/>
    <w:rsid w:val="0A362E60"/>
    <w:rsid w:val="0A7939D6"/>
    <w:rsid w:val="0ACB01B7"/>
    <w:rsid w:val="0B0706F9"/>
    <w:rsid w:val="0B431E48"/>
    <w:rsid w:val="0BDA3067"/>
    <w:rsid w:val="0D6E6442"/>
    <w:rsid w:val="0EF12AE6"/>
    <w:rsid w:val="0F16254C"/>
    <w:rsid w:val="0F4E46F4"/>
    <w:rsid w:val="0FBF0E36"/>
    <w:rsid w:val="10BC5AA5"/>
    <w:rsid w:val="120174E4"/>
    <w:rsid w:val="121C431D"/>
    <w:rsid w:val="12541D09"/>
    <w:rsid w:val="13114D05"/>
    <w:rsid w:val="135E47B4"/>
    <w:rsid w:val="139D221B"/>
    <w:rsid w:val="13BC2F73"/>
    <w:rsid w:val="141A2ADF"/>
    <w:rsid w:val="15E84EFA"/>
    <w:rsid w:val="167345BF"/>
    <w:rsid w:val="171001C9"/>
    <w:rsid w:val="17B374D2"/>
    <w:rsid w:val="17CA315C"/>
    <w:rsid w:val="19731D52"/>
    <w:rsid w:val="1AD57DF2"/>
    <w:rsid w:val="1C274333"/>
    <w:rsid w:val="1C3109C5"/>
    <w:rsid w:val="1C44694B"/>
    <w:rsid w:val="1CAE2016"/>
    <w:rsid w:val="1D4F0279"/>
    <w:rsid w:val="1E0730ED"/>
    <w:rsid w:val="1EF53F2C"/>
    <w:rsid w:val="1F271F5F"/>
    <w:rsid w:val="1F5810E0"/>
    <w:rsid w:val="20287782"/>
    <w:rsid w:val="20547378"/>
    <w:rsid w:val="209270F2"/>
    <w:rsid w:val="209E3BDD"/>
    <w:rsid w:val="20BA367F"/>
    <w:rsid w:val="20D9760A"/>
    <w:rsid w:val="216259EA"/>
    <w:rsid w:val="21AE06DE"/>
    <w:rsid w:val="22266AF2"/>
    <w:rsid w:val="22BD06B1"/>
    <w:rsid w:val="22C47E7A"/>
    <w:rsid w:val="2340663B"/>
    <w:rsid w:val="24044C11"/>
    <w:rsid w:val="24FD0A87"/>
    <w:rsid w:val="250023CA"/>
    <w:rsid w:val="25202AE1"/>
    <w:rsid w:val="256040C9"/>
    <w:rsid w:val="258B383C"/>
    <w:rsid w:val="25D6438C"/>
    <w:rsid w:val="266D2478"/>
    <w:rsid w:val="284E65ED"/>
    <w:rsid w:val="29C9048F"/>
    <w:rsid w:val="2B275DB5"/>
    <w:rsid w:val="2B430EC4"/>
    <w:rsid w:val="2B676177"/>
    <w:rsid w:val="2BB35523"/>
    <w:rsid w:val="2C206E2E"/>
    <w:rsid w:val="2C4F7EC9"/>
    <w:rsid w:val="2C9805ED"/>
    <w:rsid w:val="2E844250"/>
    <w:rsid w:val="2EF835C5"/>
    <w:rsid w:val="2F656EAC"/>
    <w:rsid w:val="2F7321DB"/>
    <w:rsid w:val="2FD848B3"/>
    <w:rsid w:val="2FED29FA"/>
    <w:rsid w:val="3088073D"/>
    <w:rsid w:val="30F56FC6"/>
    <w:rsid w:val="313F54DB"/>
    <w:rsid w:val="31CC1745"/>
    <w:rsid w:val="32D305D1"/>
    <w:rsid w:val="33747C08"/>
    <w:rsid w:val="33B65F28"/>
    <w:rsid w:val="33D60378"/>
    <w:rsid w:val="33D740E7"/>
    <w:rsid w:val="33EE2CBB"/>
    <w:rsid w:val="35123632"/>
    <w:rsid w:val="35447564"/>
    <w:rsid w:val="35C77026"/>
    <w:rsid w:val="35DA1C76"/>
    <w:rsid w:val="365C4C91"/>
    <w:rsid w:val="365F445E"/>
    <w:rsid w:val="36C50230"/>
    <w:rsid w:val="36E36A75"/>
    <w:rsid w:val="37F67B76"/>
    <w:rsid w:val="38A13344"/>
    <w:rsid w:val="392274DB"/>
    <w:rsid w:val="39900FC9"/>
    <w:rsid w:val="39A70407"/>
    <w:rsid w:val="3BB4717C"/>
    <w:rsid w:val="3BD31204"/>
    <w:rsid w:val="3BD452F8"/>
    <w:rsid w:val="3C517A8B"/>
    <w:rsid w:val="3EC2385E"/>
    <w:rsid w:val="3F0414A2"/>
    <w:rsid w:val="3F4E170B"/>
    <w:rsid w:val="3FC762C2"/>
    <w:rsid w:val="3FE1763D"/>
    <w:rsid w:val="3FFA62C8"/>
    <w:rsid w:val="403A4936"/>
    <w:rsid w:val="40AB493B"/>
    <w:rsid w:val="41110C42"/>
    <w:rsid w:val="42C82BA3"/>
    <w:rsid w:val="437A254C"/>
    <w:rsid w:val="43957913"/>
    <w:rsid w:val="44034ED8"/>
    <w:rsid w:val="44735770"/>
    <w:rsid w:val="448E6105"/>
    <w:rsid w:val="44E43CAF"/>
    <w:rsid w:val="45561A39"/>
    <w:rsid w:val="45CB668B"/>
    <w:rsid w:val="46541C46"/>
    <w:rsid w:val="465F3438"/>
    <w:rsid w:val="473A700D"/>
    <w:rsid w:val="474B2221"/>
    <w:rsid w:val="47900E30"/>
    <w:rsid w:val="47DB1F5E"/>
    <w:rsid w:val="48402326"/>
    <w:rsid w:val="48D152C3"/>
    <w:rsid w:val="48F86243"/>
    <w:rsid w:val="4901555D"/>
    <w:rsid w:val="491310EF"/>
    <w:rsid w:val="494D47E1"/>
    <w:rsid w:val="4A1479EE"/>
    <w:rsid w:val="4A627D92"/>
    <w:rsid w:val="4AFB026D"/>
    <w:rsid w:val="4B3C4202"/>
    <w:rsid w:val="4B7F2C4C"/>
    <w:rsid w:val="4BE60ADE"/>
    <w:rsid w:val="4C2D08FA"/>
    <w:rsid w:val="4C3677AE"/>
    <w:rsid w:val="4C6413CE"/>
    <w:rsid w:val="4CAC7A71"/>
    <w:rsid w:val="4D697710"/>
    <w:rsid w:val="4DE44FE8"/>
    <w:rsid w:val="4F6270FE"/>
    <w:rsid w:val="50024412"/>
    <w:rsid w:val="506D39BB"/>
    <w:rsid w:val="508F56DF"/>
    <w:rsid w:val="510734C7"/>
    <w:rsid w:val="510804B4"/>
    <w:rsid w:val="51510420"/>
    <w:rsid w:val="519F76BC"/>
    <w:rsid w:val="51C04438"/>
    <w:rsid w:val="51E11F6A"/>
    <w:rsid w:val="51FB0B52"/>
    <w:rsid w:val="52482801"/>
    <w:rsid w:val="541648CE"/>
    <w:rsid w:val="549A72B5"/>
    <w:rsid w:val="551B4A12"/>
    <w:rsid w:val="560E52F8"/>
    <w:rsid w:val="561A4D72"/>
    <w:rsid w:val="574D1E50"/>
    <w:rsid w:val="58217F9E"/>
    <w:rsid w:val="582C7CB7"/>
    <w:rsid w:val="585847F2"/>
    <w:rsid w:val="59E67DB7"/>
    <w:rsid w:val="5A0B247B"/>
    <w:rsid w:val="5AE64A95"/>
    <w:rsid w:val="5BCE1AB6"/>
    <w:rsid w:val="5C8D10EC"/>
    <w:rsid w:val="5E317DD6"/>
    <w:rsid w:val="5E510478"/>
    <w:rsid w:val="5E7303EE"/>
    <w:rsid w:val="5EB32EE1"/>
    <w:rsid w:val="5F2136D8"/>
    <w:rsid w:val="5F364262"/>
    <w:rsid w:val="5FFB23A8"/>
    <w:rsid w:val="60111CD0"/>
    <w:rsid w:val="60AA0313"/>
    <w:rsid w:val="60CE7B5E"/>
    <w:rsid w:val="614B7243"/>
    <w:rsid w:val="61774699"/>
    <w:rsid w:val="61F23D20"/>
    <w:rsid w:val="622A75A1"/>
    <w:rsid w:val="628C5F22"/>
    <w:rsid w:val="629241E6"/>
    <w:rsid w:val="62B815BD"/>
    <w:rsid w:val="62D0444C"/>
    <w:rsid w:val="6324011D"/>
    <w:rsid w:val="642833E6"/>
    <w:rsid w:val="643113C6"/>
    <w:rsid w:val="64AE6605"/>
    <w:rsid w:val="64DE4ECA"/>
    <w:rsid w:val="6513391A"/>
    <w:rsid w:val="65164E7F"/>
    <w:rsid w:val="654E525A"/>
    <w:rsid w:val="656B0071"/>
    <w:rsid w:val="6697639D"/>
    <w:rsid w:val="66CA1787"/>
    <w:rsid w:val="671B5EFB"/>
    <w:rsid w:val="67562B3E"/>
    <w:rsid w:val="68CA4CA0"/>
    <w:rsid w:val="68FB219B"/>
    <w:rsid w:val="69674FF3"/>
    <w:rsid w:val="69E5785B"/>
    <w:rsid w:val="6A1B5789"/>
    <w:rsid w:val="6B0F149F"/>
    <w:rsid w:val="6B2D41AB"/>
    <w:rsid w:val="6C497DBA"/>
    <w:rsid w:val="6CC60283"/>
    <w:rsid w:val="6D462696"/>
    <w:rsid w:val="6E65320C"/>
    <w:rsid w:val="6E6E7C06"/>
    <w:rsid w:val="6EED1AF7"/>
    <w:rsid w:val="6F404CBB"/>
    <w:rsid w:val="6F4F4560"/>
    <w:rsid w:val="6F753F8B"/>
    <w:rsid w:val="6FED6722"/>
    <w:rsid w:val="70AA0E5B"/>
    <w:rsid w:val="71BE3C1E"/>
    <w:rsid w:val="71E54381"/>
    <w:rsid w:val="730C19C8"/>
    <w:rsid w:val="731E6497"/>
    <w:rsid w:val="754E350B"/>
    <w:rsid w:val="75873EB3"/>
    <w:rsid w:val="76CC0B8C"/>
    <w:rsid w:val="7842260E"/>
    <w:rsid w:val="78A151BB"/>
    <w:rsid w:val="78D352E7"/>
    <w:rsid w:val="796C3AA5"/>
    <w:rsid w:val="79DC7338"/>
    <w:rsid w:val="79DC7CBF"/>
    <w:rsid w:val="7A23025E"/>
    <w:rsid w:val="7A74131E"/>
    <w:rsid w:val="7A8E2458"/>
    <w:rsid w:val="7AAD7354"/>
    <w:rsid w:val="7AB060AE"/>
    <w:rsid w:val="7ABD38CD"/>
    <w:rsid w:val="7AE53FCA"/>
    <w:rsid w:val="7C0A3C1B"/>
    <w:rsid w:val="7C287AA4"/>
    <w:rsid w:val="7C3C2170"/>
    <w:rsid w:val="7C3F64F2"/>
    <w:rsid w:val="7D0D49BE"/>
    <w:rsid w:val="7DC0672E"/>
    <w:rsid w:val="7E585EA3"/>
    <w:rsid w:val="7EFB0260"/>
    <w:rsid w:val="7F2D5F40"/>
    <w:rsid w:val="7FAB208E"/>
    <w:rsid w:val="7FC529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locked/>
    <w:uiPriority w:val="0"/>
    <w:pPr>
      <w:snapToGrid w:val="0"/>
      <w:jc w:val="center"/>
      <w:outlineLvl w:val="0"/>
    </w:pPr>
    <w:rPr>
      <w:rFonts w:ascii="方正小标宋_GBK" w:hAnsi="方正小标宋_GBK" w:eastAsia="方正小标宋_GBK" w:cs="Arial"/>
      <w:b/>
      <w:color w:val="000000"/>
      <w:sz w:val="44"/>
      <w:szCs w:val="44"/>
    </w:rPr>
  </w:style>
  <w:style w:type="paragraph" w:styleId="4">
    <w:name w:val="Balloon Text"/>
    <w:basedOn w:val="1"/>
    <w:link w:val="18"/>
    <w:semiHidden/>
    <w:qFormat/>
    <w:uiPriority w:val="99"/>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Strong"/>
    <w:basedOn w:val="9"/>
    <w:qFormat/>
    <w:locked/>
    <w:uiPriority w:val="0"/>
    <w:rPr>
      <w:b/>
      <w:bCs/>
      <w:sz w:val="24"/>
      <w:szCs w:val="24"/>
    </w:rPr>
  </w:style>
  <w:style w:type="character" w:styleId="11">
    <w:name w:val="FollowedHyperlink"/>
    <w:basedOn w:val="9"/>
    <w:semiHidden/>
    <w:unhideWhenUsed/>
    <w:qFormat/>
    <w:uiPriority w:val="99"/>
    <w:rPr>
      <w:color w:val="333333"/>
      <w:u w:val="none"/>
    </w:rPr>
  </w:style>
  <w:style w:type="character" w:styleId="12">
    <w:name w:val="Emphasis"/>
    <w:basedOn w:val="9"/>
    <w:qFormat/>
    <w:locked/>
    <w:uiPriority w:val="0"/>
    <w:rPr>
      <w:sz w:val="24"/>
      <w:szCs w:val="24"/>
    </w:rPr>
  </w:style>
  <w:style w:type="character" w:styleId="13">
    <w:name w:val="HTML Definition"/>
    <w:basedOn w:val="9"/>
    <w:semiHidden/>
    <w:unhideWhenUsed/>
    <w:qFormat/>
    <w:uiPriority w:val="99"/>
    <w:rPr>
      <w:i/>
      <w:iCs/>
    </w:rPr>
  </w:style>
  <w:style w:type="character" w:styleId="14">
    <w:name w:val="Hyperlink"/>
    <w:basedOn w:val="9"/>
    <w:semiHidden/>
    <w:unhideWhenUsed/>
    <w:qFormat/>
    <w:uiPriority w:val="99"/>
    <w:rPr>
      <w:color w:val="333333"/>
      <w:u w:val="none"/>
    </w:rPr>
  </w:style>
  <w:style w:type="character" w:styleId="15">
    <w:name w:val="HTML Code"/>
    <w:basedOn w:val="9"/>
    <w:semiHidden/>
    <w:unhideWhenUsed/>
    <w:qFormat/>
    <w:uiPriority w:val="99"/>
    <w:rPr>
      <w:rFonts w:hint="default" w:ascii="Consolas" w:hAnsi="Consolas" w:eastAsia="Consolas" w:cs="Consolas"/>
      <w:color w:val="C7254E"/>
      <w:sz w:val="21"/>
      <w:szCs w:val="21"/>
      <w:shd w:val="clear" w:fill="F9F2F4"/>
    </w:rPr>
  </w:style>
  <w:style w:type="character" w:styleId="16">
    <w:name w:val="HTML Keyboard"/>
    <w:basedOn w:val="9"/>
    <w:semiHidden/>
    <w:unhideWhenUsed/>
    <w:qFormat/>
    <w:uiPriority w:val="99"/>
    <w:rPr>
      <w:rFonts w:hint="default" w:ascii="Consolas" w:hAnsi="Consolas" w:eastAsia="Consolas" w:cs="Consolas"/>
      <w:color w:val="FFFFFF"/>
      <w:sz w:val="21"/>
      <w:szCs w:val="21"/>
      <w:shd w:val="clear" w:fill="333333"/>
    </w:rPr>
  </w:style>
  <w:style w:type="character" w:styleId="17">
    <w:name w:val="HTML Sample"/>
    <w:basedOn w:val="9"/>
    <w:semiHidden/>
    <w:unhideWhenUsed/>
    <w:qFormat/>
    <w:uiPriority w:val="99"/>
    <w:rPr>
      <w:rFonts w:ascii="Consolas" w:hAnsi="Consolas" w:eastAsia="Consolas" w:cs="Consolas"/>
      <w:sz w:val="21"/>
      <w:szCs w:val="21"/>
    </w:rPr>
  </w:style>
  <w:style w:type="character" w:customStyle="1" w:styleId="18">
    <w:name w:val="Balloon Text Char"/>
    <w:basedOn w:val="9"/>
    <w:link w:val="4"/>
    <w:semiHidden/>
    <w:qFormat/>
    <w:locked/>
    <w:uiPriority w:val="99"/>
    <w:rPr>
      <w:sz w:val="18"/>
      <w:szCs w:val="18"/>
    </w:rPr>
  </w:style>
  <w:style w:type="character" w:customStyle="1" w:styleId="19">
    <w:name w:val="Footer Char"/>
    <w:basedOn w:val="9"/>
    <w:link w:val="5"/>
    <w:qFormat/>
    <w:locked/>
    <w:uiPriority w:val="99"/>
    <w:rPr>
      <w:sz w:val="18"/>
      <w:szCs w:val="18"/>
    </w:rPr>
  </w:style>
  <w:style w:type="character" w:customStyle="1" w:styleId="20">
    <w:name w:val="Header Char"/>
    <w:basedOn w:val="9"/>
    <w:link w:val="6"/>
    <w:qFormat/>
    <w:locked/>
    <w:uiPriority w:val="99"/>
    <w:rPr>
      <w:sz w:val="18"/>
      <w:szCs w:val="18"/>
    </w:rPr>
  </w:style>
  <w:style w:type="paragraph" w:customStyle="1" w:styleId="2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22">
    <w:name w:val="List Paragraph"/>
    <w:basedOn w:val="1"/>
    <w:qFormat/>
    <w:uiPriority w:val="99"/>
    <w:pPr>
      <w:ind w:firstLine="420" w:firstLineChars="200"/>
    </w:pPr>
  </w:style>
  <w:style w:type="paragraph" w:customStyle="1" w:styleId="23">
    <w:name w:val="List Paragraph1"/>
    <w:basedOn w:val="1"/>
    <w:qFormat/>
    <w:uiPriority w:val="99"/>
    <w:pPr>
      <w:ind w:firstLine="420" w:firstLineChars="200"/>
    </w:pPr>
  </w:style>
  <w:style w:type="character" w:customStyle="1" w:styleId="24">
    <w:name w:val="zjj"/>
    <w:basedOn w:val="9"/>
    <w:qFormat/>
    <w:uiPriority w:val="0"/>
  </w:style>
  <w:style w:type="character" w:customStyle="1" w:styleId="25">
    <w:name w:val="zjj1"/>
    <w:basedOn w:val="9"/>
    <w:qFormat/>
    <w:uiPriority w:val="0"/>
  </w:style>
  <w:style w:type="character" w:customStyle="1" w:styleId="26">
    <w:name w:val="select2-selection__rendered"/>
    <w:basedOn w:val="9"/>
    <w:qFormat/>
    <w:uiPriority w:val="0"/>
    <w:rPr>
      <w:sz w:val="14"/>
      <w:szCs w:val="14"/>
    </w:rPr>
  </w:style>
  <w:style w:type="character" w:customStyle="1" w:styleId="27">
    <w:name w:val="time"/>
    <w:basedOn w:val="9"/>
    <w:qFormat/>
    <w:uiPriority w:val="0"/>
    <w:rPr>
      <w:rFonts w:ascii="Arial" w:hAnsi="Arial" w:cs="Arial"/>
    </w:rPr>
  </w:style>
  <w:style w:type="character" w:customStyle="1" w:styleId="28">
    <w:name w:val="bsharetext"/>
    <w:basedOn w:val="9"/>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36</Pages>
  <Words>15637</Words>
  <Characters>23132</Characters>
  <Lines>0</Lines>
  <Paragraphs>0</Paragraphs>
  <TotalTime>0</TotalTime>
  <ScaleCrop>false</ScaleCrop>
  <LinksUpToDate>false</LinksUpToDate>
  <CharactersWithSpaces>24820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王小小小雀</cp:lastModifiedBy>
  <cp:lastPrinted>2023-07-20T07:35:00Z</cp:lastPrinted>
  <dcterms:modified xsi:type="dcterms:W3CDTF">2023-09-25T07:36:13Z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2052-11.1.0.14309</vt:lpwstr>
  </property>
  <property fmtid="{D5CDD505-2E9C-101B-9397-08002B2CF9AE}" pid="4" name="ICV">
    <vt:lpwstr>94992141AD1641A78A5FB3C4CC673411_13</vt:lpwstr>
  </property>
</Properties>
</file>