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rFonts w:cs="Times New Roman"/>
          <w:sz w:val="56"/>
          <w:szCs w:val="56"/>
        </w:rPr>
      </w:pPr>
    </w:p>
    <w:p>
      <w:pPr>
        <w:pStyle w:val="12"/>
        <w:jc w:val="center"/>
        <w:rPr>
          <w:rFonts w:cs="Times New Roman"/>
          <w:sz w:val="56"/>
          <w:szCs w:val="56"/>
        </w:rPr>
      </w:pPr>
    </w:p>
    <w:p>
      <w:pPr>
        <w:pStyle w:val="12"/>
        <w:jc w:val="center"/>
        <w:rPr>
          <w:sz w:val="84"/>
          <w:szCs w:val="84"/>
        </w:rPr>
      </w:pPr>
    </w:p>
    <w:p>
      <w:pPr>
        <w:pStyle w:val="12"/>
        <w:jc w:val="center"/>
        <w:rPr>
          <w:rFonts w:hint="eastAsia"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1</w:t>
      </w:r>
      <w:r>
        <w:rPr>
          <w:rFonts w:hint="eastAsia" w:ascii="宋体" w:hAnsi="宋体" w:eastAsia="宋体" w:cs="宋体"/>
          <w:sz w:val="72"/>
          <w:szCs w:val="72"/>
        </w:rPr>
        <w:t>年度</w:t>
      </w:r>
    </w:p>
    <w:p>
      <w:pPr>
        <w:pStyle w:val="12"/>
        <w:jc w:val="center"/>
        <w:rPr>
          <w:rFonts w:hint="eastAsia" w:ascii="宋体" w:hAnsi="宋体" w:eastAsia="宋体" w:cs="宋体"/>
          <w:sz w:val="72"/>
          <w:szCs w:val="72"/>
          <w:lang w:eastAsia="zh-CN"/>
        </w:rPr>
      </w:pPr>
      <w:r>
        <w:rPr>
          <w:rFonts w:hint="eastAsia" w:ascii="宋体" w:hAnsi="宋体" w:eastAsia="宋体" w:cs="宋体"/>
          <w:sz w:val="72"/>
          <w:szCs w:val="72"/>
          <w:lang w:eastAsia="zh-CN"/>
        </w:rPr>
        <w:t>杨嘉桥镇人民政府</w:t>
      </w:r>
    </w:p>
    <w:p>
      <w:pPr>
        <w:pStyle w:val="12"/>
        <w:jc w:val="center"/>
        <w:rPr>
          <w:rFonts w:hint="eastAsia" w:ascii="宋体" w:hAnsi="宋体" w:eastAsia="宋体" w:cs="宋体"/>
          <w:sz w:val="72"/>
          <w:szCs w:val="72"/>
        </w:rPr>
      </w:pPr>
      <w:r>
        <w:rPr>
          <w:rFonts w:hint="eastAsia" w:ascii="宋体" w:hAnsi="宋体" w:eastAsia="宋体" w:cs="宋体"/>
          <w:sz w:val="72"/>
          <w:szCs w:val="72"/>
        </w:rPr>
        <w:t>部门决算</w:t>
      </w:r>
    </w:p>
    <w:p>
      <w:pPr>
        <w:pStyle w:val="12"/>
        <w:jc w:val="center"/>
        <w:rPr>
          <w:rFonts w:hint="eastAsia" w:ascii="宋体" w:hAnsi="宋体" w:eastAsia="宋体" w:cs="宋体"/>
          <w:sz w:val="72"/>
          <w:szCs w:val="72"/>
        </w:rPr>
      </w:pPr>
    </w:p>
    <w:p>
      <w:pPr>
        <w:pStyle w:val="12"/>
        <w:jc w:val="center"/>
        <w:rPr>
          <w:rFonts w:cs="Times New Roman"/>
          <w:sz w:val="56"/>
          <w:szCs w:val="56"/>
        </w:rPr>
      </w:pPr>
    </w:p>
    <w:p>
      <w:pPr>
        <w:pStyle w:val="12"/>
        <w:jc w:val="center"/>
        <w:rPr>
          <w:rFonts w:cs="Times New Roman"/>
          <w:sz w:val="56"/>
          <w:szCs w:val="56"/>
        </w:rPr>
      </w:pPr>
    </w:p>
    <w:p>
      <w:pPr>
        <w:pStyle w:val="12"/>
        <w:jc w:val="center"/>
        <w:rPr>
          <w:rFonts w:cs="Times New Roman"/>
          <w:sz w:val="56"/>
          <w:szCs w:val="56"/>
        </w:rPr>
      </w:pPr>
    </w:p>
    <w:p>
      <w:pPr>
        <w:pStyle w:val="12"/>
        <w:jc w:val="center"/>
        <w:rPr>
          <w:rFonts w:hint="eastAsia" w:eastAsia="黑体" w:cs="Times New Roman"/>
          <w:sz w:val="32"/>
          <w:szCs w:val="32"/>
          <w:lang w:eastAsia="zh-CN"/>
        </w:rPr>
      </w:pPr>
      <w:r>
        <w:rPr>
          <w:rFonts w:hint="eastAsia"/>
          <w:sz w:val="32"/>
          <w:szCs w:val="32"/>
          <w:lang w:val="en-US" w:eastAsia="zh-CN"/>
        </w:rPr>
        <w:t xml:space="preserve"> </w:t>
      </w:r>
    </w:p>
    <w:p>
      <w:pPr>
        <w:pStyle w:val="12"/>
        <w:jc w:val="center"/>
        <w:rPr>
          <w:rFonts w:cs="Times New Roman"/>
          <w:sz w:val="32"/>
          <w:szCs w:val="32"/>
        </w:rPr>
      </w:pPr>
    </w:p>
    <w:p>
      <w:pPr>
        <w:pStyle w:val="12"/>
        <w:jc w:val="center"/>
        <w:rPr>
          <w:rFonts w:cs="Times New Roman"/>
          <w:sz w:val="32"/>
          <w:szCs w:val="32"/>
        </w:rPr>
      </w:pPr>
    </w:p>
    <w:p>
      <w:pPr>
        <w:pStyle w:val="12"/>
        <w:spacing w:line="540" w:lineRule="exact"/>
        <w:jc w:val="center"/>
        <w:rPr>
          <w:rFonts w:cs="Times New Roman"/>
          <w:sz w:val="56"/>
          <w:szCs w:val="56"/>
        </w:rPr>
      </w:pPr>
    </w:p>
    <w:p>
      <w:pPr>
        <w:pStyle w:val="12"/>
        <w:spacing w:line="540" w:lineRule="exact"/>
        <w:jc w:val="center"/>
        <w:rPr>
          <w:rFonts w:cs="Times New Roman"/>
          <w:sz w:val="56"/>
          <w:szCs w:val="56"/>
        </w:rPr>
      </w:pPr>
    </w:p>
    <w:p>
      <w:pPr>
        <w:pStyle w:val="12"/>
        <w:spacing w:line="500" w:lineRule="exact"/>
        <w:jc w:val="both"/>
        <w:rPr>
          <w:rFonts w:cs="Times New Roman"/>
          <w:b/>
          <w:bCs/>
          <w:sz w:val="36"/>
          <w:szCs w:val="36"/>
        </w:rPr>
      </w:pPr>
    </w:p>
    <w:p>
      <w:pPr>
        <w:pStyle w:val="12"/>
        <w:spacing w:line="500" w:lineRule="exact"/>
        <w:jc w:val="both"/>
        <w:rPr>
          <w:rFonts w:cs="Times New Roman"/>
          <w:b/>
          <w:bCs/>
          <w:sz w:val="36"/>
          <w:szCs w:val="36"/>
        </w:rPr>
      </w:pPr>
    </w:p>
    <w:p>
      <w:pPr>
        <w:pStyle w:val="12"/>
        <w:spacing w:line="500" w:lineRule="exact"/>
        <w:jc w:val="center"/>
        <w:rPr>
          <w:rFonts w:cs="Times New Roman"/>
          <w:b/>
          <w:bCs/>
          <w:sz w:val="36"/>
          <w:szCs w:val="36"/>
        </w:rPr>
      </w:pPr>
      <w:r>
        <w:rPr>
          <w:rFonts w:hint="eastAsia"/>
          <w:b/>
          <w:bCs/>
          <w:sz w:val="36"/>
          <w:szCs w:val="36"/>
        </w:rPr>
        <w:t>目录</w:t>
      </w:r>
    </w:p>
    <w:p>
      <w:pPr>
        <w:pStyle w:val="12"/>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杨嘉桥镇人民政府</w:t>
      </w:r>
      <w:r>
        <w:rPr>
          <w:rFonts w:hint="eastAsia"/>
          <w:b/>
          <w:bCs/>
          <w:sz w:val="28"/>
          <w:szCs w:val="28"/>
        </w:rPr>
        <w:t>单位概况</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2"/>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2021</w:t>
      </w:r>
      <w:r>
        <w:rPr>
          <w:rFonts w:hint="eastAsia" w:hAnsi="仿宋_GB2312"/>
          <w:b/>
          <w:bCs/>
          <w:sz w:val="28"/>
          <w:szCs w:val="28"/>
        </w:rPr>
        <w:t>年度部门决算表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2"/>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2021</w:t>
      </w:r>
      <w:r>
        <w:rPr>
          <w:rFonts w:hint="eastAsia" w:hAnsi="仿宋_GB2312"/>
          <w:b/>
          <w:bCs/>
          <w:sz w:val="28"/>
          <w:szCs w:val="28"/>
        </w:rPr>
        <w:t>年度部门决算情况说明</w:t>
      </w:r>
    </w:p>
    <w:p>
      <w:pPr>
        <w:pStyle w:val="12"/>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2"/>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2"/>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2021</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2"/>
        <w:jc w:val="center"/>
        <w:rPr>
          <w:rFonts w:hint="eastAsia" w:ascii="宋体" w:hAnsi="宋体" w:eastAsia="宋体" w:cs="宋体"/>
          <w:sz w:val="72"/>
          <w:szCs w:val="72"/>
        </w:rPr>
      </w:pPr>
      <w:r>
        <w:rPr>
          <w:rFonts w:hint="eastAsia" w:ascii="宋体" w:hAnsi="宋体" w:eastAsia="宋体" w:cs="宋体"/>
          <w:sz w:val="72"/>
          <w:szCs w:val="72"/>
        </w:rPr>
        <w:t>第一部分</w:t>
      </w:r>
    </w:p>
    <w:p>
      <w:pPr>
        <w:pStyle w:val="12"/>
        <w:jc w:val="center"/>
        <w:rPr>
          <w:rFonts w:hint="eastAsia" w:ascii="宋体" w:hAnsi="宋体" w:eastAsia="宋体" w:cs="宋体"/>
          <w:sz w:val="72"/>
          <w:szCs w:val="72"/>
        </w:rPr>
      </w:pPr>
    </w:p>
    <w:p>
      <w:pPr>
        <w:pStyle w:val="12"/>
        <w:jc w:val="center"/>
        <w:rPr>
          <w:rFonts w:hint="eastAsia" w:ascii="宋体" w:hAnsi="宋体" w:eastAsia="宋体" w:cs="宋体"/>
          <w:sz w:val="72"/>
          <w:szCs w:val="72"/>
          <w:lang w:eastAsia="zh-CN"/>
        </w:rPr>
      </w:pPr>
      <w:r>
        <w:rPr>
          <w:rFonts w:hint="eastAsia" w:ascii="宋体" w:hAnsi="宋体" w:eastAsia="宋体" w:cs="宋体"/>
          <w:sz w:val="72"/>
          <w:szCs w:val="72"/>
          <w:lang w:eastAsia="zh-CN"/>
        </w:rPr>
        <w:t>杨嘉桥镇人民政府</w:t>
      </w:r>
    </w:p>
    <w:p>
      <w:pPr>
        <w:pStyle w:val="12"/>
        <w:jc w:val="center"/>
        <w:rPr>
          <w:rFonts w:cs="Times New Roman"/>
          <w:sz w:val="84"/>
          <w:szCs w:val="84"/>
        </w:rPr>
      </w:pPr>
      <w:r>
        <w:rPr>
          <w:rFonts w:hint="eastAsia" w:ascii="宋体" w:hAnsi="宋体" w:eastAsia="宋体" w:cs="宋体"/>
          <w:sz w:val="72"/>
          <w:szCs w:val="72"/>
        </w:rPr>
        <w:t>单位概况</w:t>
      </w: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pStyle w:val="13"/>
        <w:ind w:left="720" w:firstLine="0" w:firstLineChars="0"/>
        <w:jc w:val="left"/>
        <w:rPr>
          <w:rFonts w:ascii="黑体" w:hAnsi="黑体" w:eastAsia="黑体" w:cs="Times New Roman"/>
          <w:sz w:val="32"/>
          <w:szCs w:val="32"/>
        </w:rPr>
      </w:pPr>
    </w:p>
    <w:p>
      <w:pPr>
        <w:pStyle w:val="13"/>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ind w:firstLine="800" w:firstLineChars="250"/>
        <w:jc w:val="lef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（一）执行上级国家行政机关的决定、命令和国家制定的</w:t>
      </w:r>
      <w:r>
        <w:rPr>
          <w:rFonts w:hint="eastAsia" w:ascii="宋体" w:hAnsi="宋体" w:cs="宋体"/>
          <w:color w:val="000000"/>
          <w:kern w:val="0"/>
          <w:sz w:val="32"/>
          <w:szCs w:val="32"/>
          <w:lang w:val="en-US" w:eastAsia="zh-CN" w:bidi="ar-SA"/>
        </w:rPr>
        <w:t>法律法规</w:t>
      </w:r>
      <w:r>
        <w:rPr>
          <w:rFonts w:hint="eastAsia" w:ascii="宋体" w:hAnsi="宋体" w:eastAsia="宋体" w:cs="宋体"/>
          <w:color w:val="000000"/>
          <w:kern w:val="0"/>
          <w:sz w:val="32"/>
          <w:szCs w:val="32"/>
          <w:lang w:val="en-US" w:eastAsia="zh-CN" w:bidi="ar-SA"/>
        </w:rPr>
        <w:t>，接受同级党委的领导，执行本级人民代表大会的各项决议，并报告执行决议、决定和命令的情况。</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（二）制定并落实本行政区域的经济计划和措施，促进产业结构调整及其他经济保持平衡协调发展，全面提高人民群众的生活水平和生活质量。</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（三）承担国有资产、集体资产管理、监督及增值保值责任。认真执行国家的法律和政策，履行经济合同。</w:t>
      </w:r>
    </w:p>
    <w:p>
      <w:pPr>
        <w:widowControl/>
        <w:ind w:firstLine="320" w:firstLineChars="1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　（四）开展社会主义民主和法制的宣传教育，制定社会治安综合治理工作规划并组织实施，加强社区管理工作，调解民间纠纷，打击违法犯罪，维护社会稳定。</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（五）制定社会各项事业发展计划，组织实施义务教育和其他各类教育，加强计划生育工作，推进社会保障、社会福利事业和养老保险工作。</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（六）加强镇级财政的监督和管理，按计划组织、管理财政收入和支出，执行国家有关财经法规和政策，保证国家财政收入的完成。做好统计工作。</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（七）指导、支持、帮助村民委员会的组织制度建设和业务建设，促进村民委员民主自治。</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（八）制定和组织实施镇村建设规划。加强公用、市政设施、水利建设和管理以及房屋土地管理和环境综合整治工作，保护和改善生活环境和生态环境。</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（九）协助和支持设置在本行政区域内不隶属于镇的国家机关和企事业单位工作，监督其遵守和执行国家的</w:t>
      </w:r>
      <w:r>
        <w:rPr>
          <w:rFonts w:hint="eastAsia" w:ascii="宋体" w:hAnsi="宋体" w:cs="宋体"/>
          <w:color w:val="000000"/>
          <w:kern w:val="0"/>
          <w:sz w:val="32"/>
          <w:szCs w:val="32"/>
          <w:lang w:val="en-US" w:eastAsia="zh-CN" w:bidi="ar-SA"/>
        </w:rPr>
        <w:t>法律法规</w:t>
      </w:r>
      <w:r>
        <w:rPr>
          <w:rFonts w:hint="eastAsia" w:ascii="宋体" w:hAnsi="宋体" w:eastAsia="宋体" w:cs="宋体"/>
          <w:color w:val="000000"/>
          <w:kern w:val="0"/>
          <w:sz w:val="32"/>
          <w:szCs w:val="32"/>
          <w:lang w:val="en-US" w:eastAsia="zh-CN" w:bidi="ar-SA"/>
        </w:rPr>
        <w:t>和政策。</w:t>
      </w:r>
    </w:p>
    <w:p>
      <w:pPr>
        <w:widowControl/>
        <w:ind w:firstLine="640" w:firstLineChars="200"/>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（十）承办本级党委、人大和上级交办</w:t>
      </w:r>
      <w:r>
        <w:rPr>
          <w:rFonts w:hint="eastAsia" w:ascii="宋体" w:hAnsi="宋体" w:cs="宋体"/>
          <w:color w:val="000000"/>
          <w:kern w:val="0"/>
          <w:sz w:val="32"/>
          <w:szCs w:val="32"/>
          <w:lang w:val="en-US" w:eastAsia="zh-CN" w:bidi="ar-SA"/>
        </w:rPr>
        <w:t>的其他事项</w:t>
      </w:r>
      <w:r>
        <w:rPr>
          <w:rFonts w:hint="eastAsia" w:ascii="宋体" w:hAnsi="宋体" w:eastAsia="宋体" w:cs="宋体"/>
          <w:color w:val="000000"/>
          <w:kern w:val="0"/>
          <w:sz w:val="32"/>
          <w:szCs w:val="32"/>
          <w:lang w:val="en-US" w:eastAsia="zh-CN" w:bidi="ar-SA"/>
        </w:rPr>
        <w:t>。</w:t>
      </w:r>
    </w:p>
    <w:p>
      <w:pPr>
        <w:widowControl/>
        <w:spacing w:line="600" w:lineRule="exac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二、机构设置及决算单位构成</w:t>
      </w:r>
    </w:p>
    <w:p>
      <w:pPr>
        <w:widowControl/>
        <w:spacing w:line="600" w:lineRule="exact"/>
        <w:rPr>
          <w:rFonts w:hint="default"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（一）内设机构设置。杨嘉桥镇人民政府单位内设机构包括：202</w:t>
      </w:r>
      <w:r>
        <w:rPr>
          <w:rFonts w:hint="eastAsia" w:ascii="宋体" w:hAnsi="宋体" w:cs="宋体"/>
          <w:color w:val="000000"/>
          <w:kern w:val="0"/>
          <w:sz w:val="32"/>
          <w:szCs w:val="32"/>
          <w:lang w:val="en-US" w:eastAsia="zh-CN" w:bidi="ar-SA"/>
        </w:rPr>
        <w:t>1</w:t>
      </w:r>
      <w:r>
        <w:rPr>
          <w:rFonts w:hint="eastAsia" w:ascii="宋体" w:hAnsi="宋体" w:eastAsia="宋体" w:cs="宋体"/>
          <w:color w:val="000000"/>
          <w:kern w:val="0"/>
          <w:sz w:val="32"/>
          <w:szCs w:val="32"/>
          <w:lang w:val="en-US" w:eastAsia="zh-CN" w:bidi="ar-SA"/>
        </w:rPr>
        <w:t>年本镇共有机构数11个，其中行政单位5个，事业单位6个，核定行政编55个，事业编74个，实有人数13</w:t>
      </w:r>
      <w:r>
        <w:rPr>
          <w:rFonts w:hint="eastAsia" w:ascii="宋体" w:hAnsi="宋体" w:cs="宋体"/>
          <w:color w:val="000000"/>
          <w:kern w:val="0"/>
          <w:sz w:val="32"/>
          <w:szCs w:val="32"/>
          <w:lang w:val="en-US" w:eastAsia="zh-CN" w:bidi="ar-SA"/>
        </w:rPr>
        <w:t>8</w:t>
      </w:r>
      <w:r>
        <w:rPr>
          <w:rFonts w:hint="eastAsia" w:ascii="宋体" w:hAnsi="宋体" w:eastAsia="宋体" w:cs="宋体"/>
          <w:color w:val="000000"/>
          <w:kern w:val="0"/>
          <w:sz w:val="32"/>
          <w:szCs w:val="32"/>
          <w:lang w:val="en-US" w:eastAsia="zh-CN" w:bidi="ar-SA"/>
        </w:rPr>
        <w:t>人，其中政府4</w:t>
      </w:r>
      <w:r>
        <w:rPr>
          <w:rFonts w:hint="eastAsia" w:ascii="宋体" w:hAnsi="宋体" w:cs="宋体"/>
          <w:color w:val="000000"/>
          <w:kern w:val="0"/>
          <w:sz w:val="32"/>
          <w:szCs w:val="32"/>
          <w:lang w:val="en-US" w:eastAsia="zh-CN" w:bidi="ar-SA"/>
        </w:rPr>
        <w:t>5</w:t>
      </w:r>
      <w:r>
        <w:rPr>
          <w:rFonts w:hint="eastAsia" w:ascii="宋体" w:hAnsi="宋体" w:eastAsia="宋体" w:cs="宋体"/>
          <w:color w:val="000000"/>
          <w:kern w:val="0"/>
          <w:sz w:val="32"/>
          <w:szCs w:val="32"/>
          <w:lang w:val="en-US" w:eastAsia="zh-CN" w:bidi="ar-SA"/>
        </w:rPr>
        <w:t>人、财政所1</w:t>
      </w:r>
      <w:r>
        <w:rPr>
          <w:rFonts w:hint="eastAsia" w:ascii="宋体" w:hAnsi="宋体" w:cs="宋体"/>
          <w:color w:val="000000"/>
          <w:kern w:val="0"/>
          <w:sz w:val="32"/>
          <w:szCs w:val="32"/>
          <w:lang w:val="en-US" w:eastAsia="zh-CN" w:bidi="ar-SA"/>
        </w:rPr>
        <w:t>1</w:t>
      </w:r>
      <w:r>
        <w:rPr>
          <w:rFonts w:hint="eastAsia" w:ascii="宋体" w:hAnsi="宋体" w:eastAsia="宋体" w:cs="宋体"/>
          <w:color w:val="000000"/>
          <w:kern w:val="0"/>
          <w:sz w:val="32"/>
          <w:szCs w:val="32"/>
          <w:lang w:val="en-US" w:eastAsia="zh-CN" w:bidi="ar-SA"/>
        </w:rPr>
        <w:t>人、经济发展办公室5人、社会事务办</w:t>
      </w:r>
      <w:r>
        <w:rPr>
          <w:rFonts w:hint="eastAsia" w:ascii="宋体" w:hAnsi="宋体" w:cs="宋体"/>
          <w:color w:val="000000"/>
          <w:kern w:val="0"/>
          <w:sz w:val="32"/>
          <w:szCs w:val="32"/>
          <w:lang w:val="en-US" w:eastAsia="zh-CN" w:bidi="ar-SA"/>
        </w:rPr>
        <w:t>3</w:t>
      </w:r>
      <w:r>
        <w:rPr>
          <w:rFonts w:hint="eastAsia" w:ascii="宋体" w:hAnsi="宋体" w:eastAsia="宋体" w:cs="宋体"/>
          <w:color w:val="000000"/>
          <w:kern w:val="0"/>
          <w:sz w:val="32"/>
          <w:szCs w:val="32"/>
          <w:lang w:val="en-US" w:eastAsia="zh-CN" w:bidi="ar-SA"/>
        </w:rPr>
        <w:t>人、社会治安和应急管理办4人、自然资源和生态环境办</w:t>
      </w:r>
      <w:r>
        <w:rPr>
          <w:rFonts w:hint="eastAsia" w:ascii="宋体" w:hAnsi="宋体" w:cs="宋体"/>
          <w:color w:val="000000"/>
          <w:kern w:val="0"/>
          <w:sz w:val="32"/>
          <w:szCs w:val="32"/>
          <w:lang w:val="en-US" w:eastAsia="zh-CN" w:bidi="ar-SA"/>
        </w:rPr>
        <w:t>4</w:t>
      </w:r>
      <w:r>
        <w:rPr>
          <w:rFonts w:hint="eastAsia" w:ascii="宋体" w:hAnsi="宋体" w:eastAsia="宋体" w:cs="宋体"/>
          <w:color w:val="000000"/>
          <w:kern w:val="0"/>
          <w:sz w:val="32"/>
          <w:szCs w:val="32"/>
          <w:lang w:val="en-US" w:eastAsia="zh-CN" w:bidi="ar-SA"/>
        </w:rPr>
        <w:t>人、农业综合服务中心2</w:t>
      </w:r>
      <w:r>
        <w:rPr>
          <w:rFonts w:hint="eastAsia" w:ascii="宋体" w:hAnsi="宋体" w:cs="宋体"/>
          <w:color w:val="000000"/>
          <w:kern w:val="0"/>
          <w:sz w:val="32"/>
          <w:szCs w:val="32"/>
          <w:lang w:val="en-US" w:eastAsia="zh-CN" w:bidi="ar-SA"/>
        </w:rPr>
        <w:t>3</w:t>
      </w:r>
      <w:r>
        <w:rPr>
          <w:rFonts w:hint="eastAsia" w:ascii="宋体" w:hAnsi="宋体" w:eastAsia="宋体" w:cs="宋体"/>
          <w:color w:val="000000"/>
          <w:kern w:val="0"/>
          <w:sz w:val="32"/>
          <w:szCs w:val="32"/>
          <w:lang w:val="en-US" w:eastAsia="zh-CN" w:bidi="ar-SA"/>
        </w:rPr>
        <w:t>人、社会事务综合服务中心2</w:t>
      </w:r>
      <w:r>
        <w:rPr>
          <w:rFonts w:hint="eastAsia" w:ascii="宋体" w:hAnsi="宋体" w:cs="宋体"/>
          <w:color w:val="000000"/>
          <w:kern w:val="0"/>
          <w:sz w:val="32"/>
          <w:szCs w:val="32"/>
          <w:lang w:val="en-US" w:eastAsia="zh-CN" w:bidi="ar-SA"/>
        </w:rPr>
        <w:t>0</w:t>
      </w:r>
      <w:r>
        <w:rPr>
          <w:rFonts w:hint="eastAsia" w:ascii="宋体" w:hAnsi="宋体" w:eastAsia="宋体" w:cs="宋体"/>
          <w:color w:val="000000"/>
          <w:kern w:val="0"/>
          <w:sz w:val="32"/>
          <w:szCs w:val="32"/>
          <w:lang w:val="en-US" w:eastAsia="zh-CN" w:bidi="ar-SA"/>
        </w:rPr>
        <w:t>人、政务服务中心</w:t>
      </w:r>
      <w:r>
        <w:rPr>
          <w:rFonts w:hint="eastAsia" w:ascii="宋体" w:hAnsi="宋体" w:cs="宋体"/>
          <w:color w:val="000000"/>
          <w:kern w:val="0"/>
          <w:sz w:val="32"/>
          <w:szCs w:val="32"/>
          <w:lang w:val="en-US" w:eastAsia="zh-CN" w:bidi="ar-SA"/>
        </w:rPr>
        <w:t>10</w:t>
      </w:r>
      <w:r>
        <w:rPr>
          <w:rFonts w:hint="eastAsia" w:ascii="宋体" w:hAnsi="宋体" w:eastAsia="宋体" w:cs="宋体"/>
          <w:color w:val="000000"/>
          <w:kern w:val="0"/>
          <w:sz w:val="32"/>
          <w:szCs w:val="32"/>
          <w:lang w:val="en-US" w:eastAsia="zh-CN" w:bidi="ar-SA"/>
        </w:rPr>
        <w:t>人、退役军人服务站2人、综合执法大队1</w:t>
      </w:r>
      <w:r>
        <w:rPr>
          <w:rFonts w:hint="eastAsia" w:ascii="宋体" w:hAnsi="宋体" w:cs="宋体"/>
          <w:color w:val="000000"/>
          <w:kern w:val="0"/>
          <w:sz w:val="32"/>
          <w:szCs w:val="32"/>
          <w:lang w:val="en-US" w:eastAsia="zh-CN" w:bidi="ar-SA"/>
        </w:rPr>
        <w:t>1</w:t>
      </w:r>
      <w:r>
        <w:rPr>
          <w:rFonts w:hint="eastAsia" w:ascii="宋体" w:hAnsi="宋体" w:eastAsia="宋体" w:cs="宋体"/>
          <w:color w:val="000000"/>
          <w:kern w:val="0"/>
          <w:sz w:val="32"/>
          <w:szCs w:val="32"/>
          <w:lang w:val="en-US" w:eastAsia="zh-CN" w:bidi="ar-SA"/>
        </w:rPr>
        <w:t>人。</w:t>
      </w:r>
    </w:p>
    <w:p>
      <w:pPr>
        <w:widowControl/>
        <w:spacing w:line="600" w:lineRule="exac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（二）决算单位构成。杨嘉桥镇人民政府单位202</w:t>
      </w:r>
      <w:r>
        <w:rPr>
          <w:rFonts w:hint="eastAsia" w:ascii="宋体" w:hAnsi="宋体" w:cs="宋体"/>
          <w:color w:val="000000"/>
          <w:kern w:val="0"/>
          <w:sz w:val="32"/>
          <w:szCs w:val="32"/>
          <w:lang w:val="en-US" w:eastAsia="zh-CN" w:bidi="ar-SA"/>
        </w:rPr>
        <w:t>1</w:t>
      </w:r>
      <w:r>
        <w:rPr>
          <w:rFonts w:hint="eastAsia" w:ascii="宋体" w:hAnsi="宋体" w:eastAsia="宋体" w:cs="宋体"/>
          <w:color w:val="000000"/>
          <w:kern w:val="0"/>
          <w:sz w:val="32"/>
          <w:szCs w:val="32"/>
          <w:lang w:val="en-US" w:eastAsia="zh-CN" w:bidi="ar-SA"/>
        </w:rPr>
        <w:t>年部门决算汇总公开单位构成包括：杨嘉桥镇人民政府单位本级以及财政所、经济发展办公室、社会事务办、社会治安和应急管理办、自然资源和生态环境办、农业综合服务中心、社会事务综合服务中心、政务服务中心、退役军人服务站、综合执法大队。</w:t>
      </w:r>
    </w:p>
    <w:p>
      <w:pPr>
        <w:jc w:val="both"/>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hint="eastAsia" w:cs="宋体"/>
          <w:sz w:val="72"/>
          <w:szCs w:val="72"/>
        </w:rPr>
      </w:pPr>
      <w:r>
        <w:rPr>
          <w:rFonts w:hint="eastAsia" w:cs="宋体"/>
          <w:sz w:val="72"/>
          <w:szCs w:val="72"/>
        </w:rPr>
        <w:t>部门决算表</w:t>
      </w:r>
    </w:p>
    <w:p>
      <w:pPr>
        <w:jc w:val="center"/>
        <w:rPr>
          <w:rFonts w:hint="eastAsia" w:cs="宋体"/>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jc w:val="left"/>
        <w:rPr>
          <w:rFonts w:ascii="宋体" w:cs="Times New Roman"/>
          <w:sz w:val="32"/>
          <w:szCs w:val="32"/>
        </w:rPr>
        <w:sectPr>
          <w:pgSz w:w="11906" w:h="16838"/>
          <w:pgMar w:top="1440" w:right="1797" w:bottom="1440" w:left="1797" w:header="851" w:footer="992" w:gutter="0"/>
          <w:pgBorders>
            <w:top w:val="none" w:sz="0" w:space="0"/>
            <w:left w:val="none" w:sz="0" w:space="0"/>
            <w:bottom w:val="none" w:sz="0" w:space="0"/>
            <w:right w:val="none" w:sz="0" w:space="0"/>
          </w:pgBorders>
          <w:cols w:space="0" w:num="1"/>
          <w:rtlGutter w:val="0"/>
          <w:docGrid w:type="lines" w:linePitch="312" w:charSpace="0"/>
        </w:sectPr>
      </w:pPr>
    </w:p>
    <w:tbl>
      <w:tblPr>
        <w:tblStyle w:val="7"/>
        <w:tblW w:w="14081" w:type="dxa"/>
        <w:tblInd w:w="-106" w:type="dxa"/>
        <w:tblLayout w:type="fixed"/>
        <w:tblCellMar>
          <w:top w:w="0" w:type="dxa"/>
          <w:left w:w="108" w:type="dxa"/>
          <w:bottom w:w="0" w:type="dxa"/>
          <w:right w:w="108" w:type="dxa"/>
        </w:tblCellMar>
      </w:tblPr>
      <w:tblGrid>
        <w:gridCol w:w="14081"/>
      </w:tblGrid>
      <w:tr>
        <w:tblPrEx>
          <w:tblCellMar>
            <w:top w:w="0" w:type="dxa"/>
            <w:left w:w="108" w:type="dxa"/>
            <w:bottom w:w="0" w:type="dxa"/>
            <w:right w:w="108" w:type="dxa"/>
          </w:tblCellMar>
        </w:tblPrEx>
        <w:trPr>
          <w:trHeight w:val="1020" w:hRule="atLeast"/>
        </w:trPr>
        <w:tc>
          <w:tcPr>
            <w:tcW w:w="14081" w:type="dxa"/>
            <w:tcBorders>
              <w:top w:val="nil"/>
              <w:left w:val="nil"/>
              <w:bottom w:val="nil"/>
              <w:right w:val="nil"/>
            </w:tcBorders>
            <w:vAlign w:val="center"/>
          </w:tcPr>
          <w:tbl>
            <w:tblPr>
              <w:tblStyle w:val="7"/>
              <w:tblW w:w="13859" w:type="dxa"/>
              <w:tblInd w:w="0" w:type="dxa"/>
              <w:shd w:val="clear" w:color="auto" w:fill="auto"/>
              <w:tblLayout w:type="fixed"/>
              <w:tblCellMar>
                <w:top w:w="0" w:type="dxa"/>
                <w:left w:w="108" w:type="dxa"/>
                <w:bottom w:w="0" w:type="dxa"/>
                <w:right w:w="108" w:type="dxa"/>
              </w:tblCellMar>
            </w:tblPr>
            <w:tblGrid>
              <w:gridCol w:w="4033"/>
              <w:gridCol w:w="149"/>
              <w:gridCol w:w="120"/>
              <w:gridCol w:w="1469"/>
              <w:gridCol w:w="1462"/>
              <w:gridCol w:w="132"/>
              <w:gridCol w:w="3940"/>
              <w:gridCol w:w="1"/>
              <w:gridCol w:w="734"/>
              <w:gridCol w:w="1"/>
              <w:gridCol w:w="1816"/>
              <w:gridCol w:w="2"/>
            </w:tblGrid>
            <w:tr>
              <w:tblPrEx>
                <w:shd w:val="clear" w:color="auto" w:fill="auto"/>
                <w:tblCellMar>
                  <w:top w:w="0" w:type="dxa"/>
                  <w:left w:w="108" w:type="dxa"/>
                  <w:bottom w:w="0" w:type="dxa"/>
                  <w:right w:w="108" w:type="dxa"/>
                </w:tblCellMar>
              </w:tblPrEx>
              <w:trPr>
                <w:gridAfter w:val="1"/>
                <w:wAfter w:w="2" w:type="dxa"/>
                <w:trHeight w:val="384" w:hRule="atLeast"/>
              </w:trPr>
              <w:tc>
                <w:tcPr>
                  <w:tcW w:w="13857" w:type="dxa"/>
                  <w:gridSpan w:val="11"/>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收入支出决算总表</w:t>
                  </w:r>
                </w:p>
              </w:tc>
            </w:tr>
            <w:tr>
              <w:tblPrEx>
                <w:tblCellMar>
                  <w:top w:w="0" w:type="dxa"/>
                  <w:left w:w="108" w:type="dxa"/>
                  <w:bottom w:w="0" w:type="dxa"/>
                  <w:right w:w="108" w:type="dxa"/>
                </w:tblCellMar>
              </w:tblPrEx>
              <w:trPr>
                <w:gridAfter w:val="1"/>
                <w:wAfter w:w="2" w:type="dxa"/>
                <w:trHeight w:val="264" w:hRule="atLeast"/>
              </w:trPr>
              <w:tc>
                <w:tcPr>
                  <w:tcW w:w="4033"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69" w:type="dxa"/>
                  <w:gridSpan w:val="2"/>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931" w:type="dxa"/>
                  <w:gridSpan w:val="2"/>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073" w:type="dxa"/>
                  <w:gridSpan w:val="3"/>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735" w:type="dxa"/>
                  <w:gridSpan w:val="2"/>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816" w:type="dxa"/>
                  <w:tcBorders>
                    <w:top w:val="nil"/>
                    <w:left w:val="nil"/>
                    <w:bottom w:val="nil"/>
                    <w:right w:val="nil"/>
                  </w:tcBorders>
                  <w:shd w:val="clear" w:color="auto" w:fill="auto"/>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tblPrEx>
                <w:tblCellMar>
                  <w:top w:w="0" w:type="dxa"/>
                  <w:left w:w="108" w:type="dxa"/>
                  <w:bottom w:w="0" w:type="dxa"/>
                  <w:right w:w="108" w:type="dxa"/>
                </w:tblCellMar>
              </w:tblPrEx>
              <w:trPr>
                <w:gridAfter w:val="1"/>
                <w:wAfter w:w="2" w:type="dxa"/>
                <w:trHeight w:val="264" w:hRule="atLeast"/>
              </w:trPr>
              <w:tc>
                <w:tcPr>
                  <w:tcW w:w="4033" w:type="dxa"/>
                  <w:tcBorders>
                    <w:top w:val="nil"/>
                    <w:left w:val="nil"/>
                    <w:bottom w:val="nil"/>
                    <w:right w:val="nil"/>
                  </w:tcBorders>
                  <w:shd w:val="clear" w:color="auto" w:fill="auto"/>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269" w:type="dxa"/>
                  <w:gridSpan w:val="2"/>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931" w:type="dxa"/>
                  <w:gridSpan w:val="2"/>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073" w:type="dxa"/>
                  <w:gridSpan w:val="3"/>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735" w:type="dxa"/>
                  <w:gridSpan w:val="2"/>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816" w:type="dxa"/>
                  <w:tcBorders>
                    <w:top w:val="nil"/>
                    <w:left w:val="nil"/>
                    <w:bottom w:val="nil"/>
                    <w:right w:val="nil"/>
                  </w:tcBorders>
                  <w:shd w:val="clear" w:color="auto" w:fill="auto"/>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73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6494" w:type="dxa"/>
                  <w:gridSpan w:val="6"/>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3466.85</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3173.13</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11.62</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2222.11</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178.60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134.29</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271.85</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1857.33</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shd w:val="clear" w:color="FFFFFF" w:fill="D9D9D9"/>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FF0000"/>
                      <w:sz w:val="22"/>
                      <w:szCs w:val="22"/>
                      <w:u w:val="none"/>
                      <w:lang w:val="en-US"/>
                    </w:rPr>
                  </w:pPr>
                  <w:r>
                    <w:rPr>
                      <w:rFonts w:hint="eastAsia" w:ascii="宋体" w:hAnsi="宋体" w:cs="宋体"/>
                      <w:i w:val="0"/>
                      <w:iCs w:val="0"/>
                      <w:color w:val="auto"/>
                      <w:kern w:val="0"/>
                      <w:sz w:val="22"/>
                      <w:szCs w:val="22"/>
                      <w:u w:val="none"/>
                      <w:shd w:val="clear" w:color="auto" w:fill="auto"/>
                      <w:lang w:val="en-US" w:eastAsia="zh-CN" w:bidi="ar"/>
                    </w:rPr>
                    <w:t>62.14</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0"/>
                      <w:szCs w:val="20"/>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5691.96</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5691.96</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589"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182" w:type="dxa"/>
                  <w:gridSpan w:val="2"/>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589" w:type="dxa"/>
                  <w:gridSpan w:val="2"/>
                  <w:tcBorders>
                    <w:top w:val="nil"/>
                    <w:left w:val="nil"/>
                    <w:bottom w:val="single" w:color="000000" w:sz="8"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594"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5691.96</w:t>
                  </w:r>
                </w:p>
              </w:tc>
              <w:tc>
                <w:tcPr>
                  <w:tcW w:w="394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735"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819" w:type="dxa"/>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5691.96</w:t>
                  </w:r>
                </w:p>
              </w:tc>
            </w:tr>
            <w:tr>
              <w:tblPrEx>
                <w:tblCellMar>
                  <w:top w:w="0" w:type="dxa"/>
                  <w:left w:w="108" w:type="dxa"/>
                  <w:bottom w:w="0" w:type="dxa"/>
                  <w:right w:w="108" w:type="dxa"/>
                </w:tblCellMar>
              </w:tblPrEx>
              <w:trPr>
                <w:gridAfter w:val="1"/>
                <w:wAfter w:w="2" w:type="dxa"/>
                <w:trHeight w:val="308" w:hRule="atLeast"/>
              </w:trPr>
              <w:tc>
                <w:tcPr>
                  <w:tcW w:w="13857" w:type="dxa"/>
                  <w:gridSpan w:val="11"/>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注：本表反映部门本年度的总收支和年末结转结余情况。本套报表金额单位转换时可能存在尾数误差。</w:t>
                  </w:r>
                </w:p>
              </w:tc>
            </w:tr>
          </w:tbl>
          <w:p>
            <w:pPr>
              <w:keepNext w:val="0"/>
              <w:keepLines w:val="0"/>
              <w:widowControl/>
              <w:suppressLineNumbers w:val="0"/>
              <w:spacing w:before="0" w:beforeAutospacing="0" w:after="0" w:afterAutospacing="0"/>
              <w:ind w:left="0" w:right="0"/>
              <w:jc w:val="left"/>
              <w:rPr>
                <w:rFonts w:hint="default" w:ascii="宋体" w:cs="Times New Roman"/>
                <w:kern w:val="0"/>
                <w:sz w:val="24"/>
                <w:szCs w:val="24"/>
              </w:rPr>
            </w:pPr>
          </w:p>
        </w:tc>
      </w:tr>
    </w:tbl>
    <w:p>
      <w:pPr>
        <w:jc w:val="both"/>
        <w:rPr>
          <w:rFonts w:ascii="黑体" w:hAnsi="黑体" w:eastAsia="黑体" w:cs="Times New Roman"/>
          <w:sz w:val="28"/>
          <w:szCs w:val="28"/>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p>
      <w:pPr>
        <w:widowControl/>
        <w:jc w:val="left"/>
        <w:rPr>
          <w:rFonts w:ascii="Times New Roman" w:hAnsi="Times New Roman" w:eastAsia="黑体" w:cs="Times New Roman"/>
          <w:kern w:val="0"/>
          <w:sz w:val="32"/>
          <w:szCs w:val="32"/>
        </w:rPr>
      </w:pPr>
    </w:p>
    <w:tbl>
      <w:tblPr>
        <w:tblStyle w:val="7"/>
        <w:tblW w:w="15660" w:type="dxa"/>
        <w:tblInd w:w="0" w:type="dxa"/>
        <w:shd w:val="clear" w:color="auto" w:fill="auto"/>
        <w:tblLayout w:type="fixed"/>
        <w:tblCellMar>
          <w:top w:w="0" w:type="dxa"/>
          <w:left w:w="108" w:type="dxa"/>
          <w:bottom w:w="0" w:type="dxa"/>
          <w:right w:w="108" w:type="dxa"/>
        </w:tblCellMar>
      </w:tblPr>
      <w:tblGrid>
        <w:gridCol w:w="3022"/>
        <w:gridCol w:w="223"/>
        <w:gridCol w:w="222"/>
        <w:gridCol w:w="4631"/>
        <w:gridCol w:w="1212"/>
        <w:gridCol w:w="1166"/>
        <w:gridCol w:w="1145"/>
        <w:gridCol w:w="108"/>
        <w:gridCol w:w="899"/>
        <w:gridCol w:w="892"/>
        <w:gridCol w:w="1050"/>
        <w:gridCol w:w="1090"/>
      </w:tblGrid>
      <w:tr>
        <w:tblPrEx>
          <w:shd w:val="clear" w:color="auto" w:fill="auto"/>
          <w:tblCellMar>
            <w:top w:w="0" w:type="dxa"/>
            <w:left w:w="108" w:type="dxa"/>
            <w:bottom w:w="0" w:type="dxa"/>
            <w:right w:w="108" w:type="dxa"/>
          </w:tblCellMar>
        </w:tblPrEx>
        <w:trPr>
          <w:trHeight w:val="368" w:hRule="atLeast"/>
        </w:trPr>
        <w:tc>
          <w:tcPr>
            <w:tcW w:w="15660" w:type="dxa"/>
            <w:gridSpan w:val="12"/>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收入决算表</w:t>
            </w:r>
          </w:p>
        </w:tc>
      </w:tr>
      <w:tr>
        <w:tblPrEx>
          <w:tblCellMar>
            <w:top w:w="0" w:type="dxa"/>
            <w:left w:w="108" w:type="dxa"/>
            <w:bottom w:w="0" w:type="dxa"/>
            <w:right w:w="108" w:type="dxa"/>
          </w:tblCellMar>
        </w:tblPrEx>
        <w:trPr>
          <w:trHeight w:val="184" w:hRule="atLeast"/>
        </w:trPr>
        <w:tc>
          <w:tcPr>
            <w:tcW w:w="3022"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3"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631"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12"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66"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5"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007" w:type="dxa"/>
            <w:gridSpan w:val="2"/>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892"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050"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090" w:type="dxa"/>
            <w:tcBorders>
              <w:top w:val="nil"/>
              <w:left w:val="nil"/>
              <w:bottom w:val="nil"/>
              <w:right w:val="nil"/>
            </w:tcBorders>
            <w:shd w:val="clear" w:color="auto" w:fill="auto"/>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tblCellMar>
            <w:top w:w="0" w:type="dxa"/>
            <w:left w:w="108" w:type="dxa"/>
            <w:bottom w:w="0" w:type="dxa"/>
            <w:right w:w="108" w:type="dxa"/>
          </w:tblCellMar>
        </w:tblPrEx>
        <w:trPr>
          <w:trHeight w:val="344" w:hRule="atLeast"/>
        </w:trPr>
        <w:tc>
          <w:tcPr>
            <w:tcW w:w="3022" w:type="dxa"/>
            <w:tcBorders>
              <w:top w:val="nil"/>
              <w:left w:val="nil"/>
              <w:bottom w:val="nil"/>
              <w:right w:val="nil"/>
            </w:tcBorders>
            <w:shd w:val="clear" w:color="auto" w:fill="auto"/>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223"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631"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12"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66"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5"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039" w:type="dxa"/>
            <w:gridSpan w:val="5"/>
            <w:tcBorders>
              <w:top w:val="nil"/>
              <w:left w:val="nil"/>
              <w:bottom w:val="nil"/>
              <w:right w:val="nil"/>
            </w:tcBorders>
            <w:shd w:val="clear" w:color="auto" w:fill="auto"/>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199" w:hRule="atLeast"/>
        </w:trPr>
        <w:tc>
          <w:tcPr>
            <w:tcW w:w="80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1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166"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145"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007" w:type="dxa"/>
            <w:gridSpan w:val="2"/>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89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050"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090"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CellMar>
            <w:top w:w="0" w:type="dxa"/>
            <w:left w:w="108" w:type="dxa"/>
            <w:bottom w:w="0" w:type="dxa"/>
            <w:right w:w="108" w:type="dxa"/>
          </w:tblCellMar>
        </w:tblPrEx>
        <w:trPr>
          <w:trHeight w:val="312" w:hRule="atLeast"/>
        </w:trPr>
        <w:tc>
          <w:tcPr>
            <w:tcW w:w="3467"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4631"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12"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66"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7" w:type="dxa"/>
            <w:gridSpan w:val="2"/>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892"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50"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90"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12" w:hRule="atLeast"/>
        </w:trPr>
        <w:tc>
          <w:tcPr>
            <w:tcW w:w="3467"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631" w:type="dxa"/>
            <w:vMerge w:val="continue"/>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66"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7" w:type="dxa"/>
            <w:gridSpan w:val="2"/>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892"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50"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90"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12" w:hRule="atLeast"/>
        </w:trPr>
        <w:tc>
          <w:tcPr>
            <w:tcW w:w="3467"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631" w:type="dxa"/>
            <w:vMerge w:val="continue"/>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66"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7" w:type="dxa"/>
            <w:gridSpan w:val="2"/>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892"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50"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90"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99" w:hRule="atLeast"/>
        </w:trPr>
        <w:tc>
          <w:tcPr>
            <w:tcW w:w="8098" w:type="dxa"/>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CellMar>
            <w:top w:w="0" w:type="dxa"/>
            <w:left w:w="108" w:type="dxa"/>
            <w:bottom w:w="0" w:type="dxa"/>
            <w:right w:w="108" w:type="dxa"/>
          </w:tblCellMar>
        </w:tblPrEx>
        <w:trPr>
          <w:trHeight w:val="199" w:hRule="atLeast"/>
        </w:trPr>
        <w:tc>
          <w:tcPr>
            <w:tcW w:w="8098" w:type="dxa"/>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5691.96</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3469.85</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2222.11</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3173.12</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2216.53</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956.59</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2961.22</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2058.40</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902.82</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2709.50</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1987.90</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721.60</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154.16</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154.16</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97.56</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70.50</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27.06</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128.68</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89.67</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39.01</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128.68</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89.67</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39.01</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83.22</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68.46</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14.76</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83.22</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68.46</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14.76</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11.62</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2.41</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9.21</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文化和旅游</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11.62</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2.41</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9.21</w:t>
            </w:r>
          </w:p>
        </w:tc>
      </w:tr>
      <w:tr>
        <w:tblPrEx>
          <w:tblCellMar>
            <w:top w:w="0" w:type="dxa"/>
            <w:left w:w="108" w:type="dxa"/>
            <w:bottom w:w="0" w:type="dxa"/>
            <w:right w:w="108" w:type="dxa"/>
          </w:tblCellMar>
        </w:tblPrEx>
        <w:trPr>
          <w:trHeight w:val="496"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2070199</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其他文化和旅游支出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11.62</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2.41</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9.21</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178.60</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134.60</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44.00</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165.18</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122.46</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42.72</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165.18</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122.46</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42.72</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13.42</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12.14</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1.28</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13.42</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12.14</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1.28</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134.29</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27.</w:t>
            </w:r>
            <w:r>
              <w:rPr>
                <w:rFonts w:hint="eastAsia" w:ascii="宋体" w:hAnsi="宋体" w:cs="宋体"/>
                <w:i w:val="0"/>
                <w:iCs w:val="0"/>
                <w:color w:val="000000"/>
                <w:kern w:val="0"/>
                <w:sz w:val="22"/>
                <w:szCs w:val="22"/>
                <w:u w:val="none"/>
                <w:lang w:val="en-US" w:eastAsia="zh-CN" w:bidi="ar"/>
              </w:rPr>
              <w:t>68</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106.61</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72.31</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27.68</w:t>
            </w:r>
          </w:p>
        </w:tc>
        <w:tc>
          <w:tcPr>
            <w:tcW w:w="114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1007"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44.63</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72.31</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27.68</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44.63</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61.98</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61.98</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2101199</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其他行政事业单位医疗支出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61.98</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61.98</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271.85</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213.53</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58.32</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139.30</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102.63</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36.67</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82.37</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73.82</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8.55</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2120199</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56.93</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28.81</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28.12</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132.55</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110.90</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21.65</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132.55</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110.90</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21.65</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1857.33</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834.79</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1022.54</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733.17</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0.50</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732.67</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2130106</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科技转化与推广服务</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2.02</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2.02</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2130108</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30.05</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0.50</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29.55</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701.10</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701.10</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149.67</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149.67</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2130206</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技术推广与转化</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149.67</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0.00</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149.67</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123.42</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0.12</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123.30</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2130304</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123.42</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0.12</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123.30</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扶贫</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16.90</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16.90</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其他扶贫支出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16.90</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16.90</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679.50</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679.50</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461.93</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461.93</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2130799</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217.57</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217.57</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154.67</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154.67</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154.67</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154.67</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4631"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21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62.15</w:t>
            </w:r>
          </w:p>
        </w:tc>
        <w:tc>
          <w:tcPr>
            <w:tcW w:w="116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37.31</w:t>
            </w:r>
          </w:p>
        </w:tc>
        <w:tc>
          <w:tcPr>
            <w:tcW w:w="1253" w:type="dxa"/>
            <w:gridSpan w:val="2"/>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24.84</w:t>
            </w:r>
          </w:p>
        </w:tc>
      </w:tr>
      <w:tr>
        <w:tblPrEx>
          <w:tblCellMar>
            <w:top w:w="0" w:type="dxa"/>
            <w:left w:w="108" w:type="dxa"/>
            <w:bottom w:w="0" w:type="dxa"/>
            <w:right w:w="108" w:type="dxa"/>
          </w:tblCellMar>
        </w:tblPrEx>
        <w:trPr>
          <w:trHeight w:val="199" w:hRule="atLeast"/>
        </w:trPr>
        <w:tc>
          <w:tcPr>
            <w:tcW w:w="3467" w:type="dxa"/>
            <w:gridSpan w:val="3"/>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w:t>
            </w:r>
          </w:p>
        </w:tc>
        <w:tc>
          <w:tcPr>
            <w:tcW w:w="4631"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应急管理事务</w:t>
            </w:r>
          </w:p>
        </w:tc>
        <w:tc>
          <w:tcPr>
            <w:tcW w:w="1212"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62.15</w:t>
            </w:r>
          </w:p>
        </w:tc>
        <w:tc>
          <w:tcPr>
            <w:tcW w:w="1166"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37.31</w:t>
            </w:r>
          </w:p>
        </w:tc>
        <w:tc>
          <w:tcPr>
            <w:tcW w:w="1253" w:type="dxa"/>
            <w:gridSpan w:val="2"/>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24.84</w:t>
            </w:r>
          </w:p>
        </w:tc>
      </w:tr>
      <w:tr>
        <w:tblPrEx>
          <w:tblCellMar>
            <w:top w:w="0" w:type="dxa"/>
            <w:left w:w="108" w:type="dxa"/>
            <w:bottom w:w="0" w:type="dxa"/>
            <w:right w:w="108" w:type="dxa"/>
          </w:tblCellMar>
        </w:tblPrEx>
        <w:trPr>
          <w:trHeight w:val="199" w:hRule="atLeast"/>
        </w:trPr>
        <w:tc>
          <w:tcPr>
            <w:tcW w:w="346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2240199</w:t>
            </w:r>
          </w:p>
        </w:tc>
        <w:tc>
          <w:tcPr>
            <w:tcW w:w="46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2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62.15</w:t>
            </w:r>
          </w:p>
        </w:tc>
        <w:tc>
          <w:tcPr>
            <w:tcW w:w="11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37.31</w:t>
            </w:r>
          </w:p>
        </w:tc>
        <w:tc>
          <w:tcPr>
            <w:tcW w:w="125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24.84</w:t>
            </w:r>
          </w:p>
        </w:tc>
      </w:tr>
      <w:tr>
        <w:tblPrEx>
          <w:tblCellMar>
            <w:top w:w="0" w:type="dxa"/>
            <w:left w:w="108" w:type="dxa"/>
            <w:bottom w:w="0" w:type="dxa"/>
            <w:right w:w="108" w:type="dxa"/>
          </w:tblCellMar>
        </w:tblPrEx>
        <w:trPr>
          <w:trHeight w:val="199" w:hRule="atLeast"/>
        </w:trPr>
        <w:tc>
          <w:tcPr>
            <w:tcW w:w="346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46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2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1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25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199" w:hRule="atLeast"/>
        </w:trPr>
        <w:tc>
          <w:tcPr>
            <w:tcW w:w="346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22960 </w:t>
            </w:r>
          </w:p>
        </w:tc>
        <w:tc>
          <w:tcPr>
            <w:tcW w:w="46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彩票公益金安排的支出</w:t>
            </w:r>
          </w:p>
        </w:tc>
        <w:tc>
          <w:tcPr>
            <w:tcW w:w="12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1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25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199" w:hRule="atLeast"/>
        </w:trPr>
        <w:tc>
          <w:tcPr>
            <w:tcW w:w="346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2296099 </w:t>
            </w:r>
          </w:p>
        </w:tc>
        <w:tc>
          <w:tcPr>
            <w:tcW w:w="46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用于其他社会公益事业的彩票公益金支出</w:t>
            </w:r>
          </w:p>
        </w:tc>
        <w:tc>
          <w:tcPr>
            <w:tcW w:w="12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1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25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9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199" w:hRule="atLeast"/>
        </w:trPr>
        <w:tc>
          <w:tcPr>
            <w:tcW w:w="15660" w:type="dxa"/>
            <w:gridSpan w:val="12"/>
            <w:tcBorders>
              <w:top w:val="single" w:color="auto" w:sz="4" w:space="0"/>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pPr>
        <w:widowControl/>
        <w:rPr>
          <w:rFonts w:ascii="Times New Roman" w:hAnsi="Times New Roman" w:eastAsia="方正小标宋_GBK" w:cs="Times New Roman"/>
          <w:color w:val="000000"/>
          <w:kern w:val="0"/>
          <w:sz w:val="36"/>
          <w:szCs w:val="36"/>
        </w:rPr>
      </w:pPr>
    </w:p>
    <w:tbl>
      <w:tblPr>
        <w:tblStyle w:val="7"/>
        <w:tblW w:w="15608" w:type="dxa"/>
        <w:tblInd w:w="0" w:type="dxa"/>
        <w:shd w:val="clear" w:color="auto" w:fill="auto"/>
        <w:tblLayout w:type="fixed"/>
        <w:tblCellMar>
          <w:top w:w="0" w:type="dxa"/>
          <w:left w:w="108" w:type="dxa"/>
          <w:bottom w:w="0" w:type="dxa"/>
          <w:right w:w="108" w:type="dxa"/>
        </w:tblCellMar>
      </w:tblPr>
      <w:tblGrid>
        <w:gridCol w:w="3016"/>
        <w:gridCol w:w="222"/>
        <w:gridCol w:w="222"/>
        <w:gridCol w:w="4616"/>
        <w:gridCol w:w="1279"/>
        <w:gridCol w:w="1255"/>
        <w:gridCol w:w="1124"/>
        <w:gridCol w:w="1024"/>
        <w:gridCol w:w="1436"/>
        <w:gridCol w:w="1414"/>
      </w:tblGrid>
      <w:tr>
        <w:tblPrEx>
          <w:shd w:val="clear" w:color="auto" w:fill="auto"/>
          <w:tblCellMar>
            <w:top w:w="0" w:type="dxa"/>
            <w:left w:w="108" w:type="dxa"/>
            <w:bottom w:w="0" w:type="dxa"/>
            <w:right w:w="108" w:type="dxa"/>
          </w:tblCellMar>
        </w:tblPrEx>
        <w:trPr>
          <w:trHeight w:val="384" w:hRule="atLeast"/>
        </w:trPr>
        <w:tc>
          <w:tcPr>
            <w:tcW w:w="15608" w:type="dxa"/>
            <w:gridSpan w:val="10"/>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支出决算表</w:t>
            </w:r>
          </w:p>
        </w:tc>
      </w:tr>
      <w:tr>
        <w:tblPrEx>
          <w:tblCellMar>
            <w:top w:w="0" w:type="dxa"/>
            <w:left w:w="108" w:type="dxa"/>
            <w:bottom w:w="0" w:type="dxa"/>
            <w:right w:w="108" w:type="dxa"/>
          </w:tblCellMar>
        </w:tblPrEx>
        <w:trPr>
          <w:trHeight w:val="264" w:hRule="atLeast"/>
        </w:trPr>
        <w:tc>
          <w:tcPr>
            <w:tcW w:w="3016"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616"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79"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55"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24"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024"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436"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414" w:type="dxa"/>
            <w:tcBorders>
              <w:top w:val="nil"/>
              <w:left w:val="nil"/>
              <w:bottom w:val="nil"/>
              <w:right w:val="nil"/>
            </w:tcBorders>
            <w:shd w:val="clear" w:color="auto" w:fill="auto"/>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tblCellMar>
            <w:top w:w="0" w:type="dxa"/>
            <w:left w:w="108" w:type="dxa"/>
            <w:bottom w:w="0" w:type="dxa"/>
            <w:right w:w="108" w:type="dxa"/>
          </w:tblCellMar>
        </w:tblPrEx>
        <w:trPr>
          <w:trHeight w:val="264" w:hRule="atLeast"/>
        </w:trPr>
        <w:tc>
          <w:tcPr>
            <w:tcW w:w="3016" w:type="dxa"/>
            <w:tcBorders>
              <w:top w:val="nil"/>
              <w:left w:val="nil"/>
              <w:bottom w:val="nil"/>
              <w:right w:val="nil"/>
            </w:tcBorders>
            <w:shd w:val="clear" w:color="auto" w:fill="auto"/>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222"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616"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79"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55" w:type="dxa"/>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998" w:type="dxa"/>
            <w:gridSpan w:val="4"/>
            <w:tcBorders>
              <w:top w:val="nil"/>
              <w:left w:val="nil"/>
              <w:bottom w:val="nil"/>
              <w:right w:val="nil"/>
            </w:tcBorders>
            <w:shd w:val="clear" w:color="auto" w:fill="auto"/>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80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79"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255"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124"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024"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436"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414"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tblCellMar>
            <w:top w:w="0" w:type="dxa"/>
            <w:left w:w="108" w:type="dxa"/>
            <w:bottom w:w="0" w:type="dxa"/>
            <w:right w:w="108" w:type="dxa"/>
          </w:tblCellMar>
        </w:tblPrEx>
        <w:trPr>
          <w:trHeight w:val="308" w:hRule="atLeast"/>
        </w:trPr>
        <w:tc>
          <w:tcPr>
            <w:tcW w:w="3460"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4616" w:type="dxa"/>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79"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24"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24"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36"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14"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6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616" w:type="dxa"/>
            <w:vMerge w:val="continue"/>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79"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24"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24"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36"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14"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6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616" w:type="dxa"/>
            <w:vMerge w:val="continue"/>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79"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5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24"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24"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36"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14"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8076" w:type="dxa"/>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CellMar>
            <w:top w:w="0" w:type="dxa"/>
            <w:left w:w="108" w:type="dxa"/>
            <w:bottom w:w="0" w:type="dxa"/>
            <w:right w:w="108" w:type="dxa"/>
          </w:tblCellMar>
        </w:tblPrEx>
        <w:trPr>
          <w:trHeight w:val="308" w:hRule="atLeast"/>
        </w:trPr>
        <w:tc>
          <w:tcPr>
            <w:tcW w:w="8076" w:type="dxa"/>
            <w:gridSpan w:val="4"/>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5691.96</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5691.96</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kern w:val="0"/>
                <w:sz w:val="22"/>
                <w:szCs w:val="22"/>
                <w:u w:val="none"/>
                <w:lang w:val="en-US" w:eastAsia="zh-CN" w:bidi="ar"/>
              </w:rPr>
              <w:t>3173.12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3173.12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kern w:val="0"/>
                <w:sz w:val="22"/>
                <w:szCs w:val="22"/>
                <w:u w:val="none"/>
                <w:lang w:val="en-US" w:eastAsia="zh-CN" w:bidi="ar"/>
              </w:rPr>
              <w:t>2961.22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2961.22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kern w:val="0"/>
                <w:sz w:val="22"/>
                <w:szCs w:val="22"/>
                <w:u w:val="none"/>
                <w:lang w:val="en-US" w:eastAsia="zh-CN" w:bidi="ar"/>
              </w:rPr>
              <w:t>2709.50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2709.50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kern w:val="0"/>
                <w:sz w:val="22"/>
                <w:szCs w:val="22"/>
                <w:u w:val="none"/>
                <w:lang w:val="en-US" w:eastAsia="zh-CN" w:bidi="ar"/>
              </w:rPr>
              <w:t>154.16</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154.16</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kern w:val="0"/>
                <w:sz w:val="22"/>
                <w:szCs w:val="22"/>
                <w:u w:val="none"/>
                <w:lang w:val="en-US" w:eastAsia="zh-CN" w:bidi="ar"/>
              </w:rPr>
              <w:t>97.56</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97.56</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128.68</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128.68</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128.68</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128.68</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83.22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83.22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83.22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83.22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11.62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11.62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文化和旅游</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11.62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11.62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其他文化和旅游支出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11.62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11.62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178.60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178.60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165.18</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165.18</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165.18</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165.18</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13.42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13.42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13.42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13.42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134.29</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134.29</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72.31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72.31</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72.31</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72.31</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61.98</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61.98</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其他行政事业单位医疗支出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61.98</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61.98</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271.85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271.85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139.30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139.30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82.37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82.37</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56.93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56.93</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132.55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132.55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132.55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132.55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1857.33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1857.33</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733.17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733.17</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2130106</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科技转化与推广服务</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2.02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2.02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2130108</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30.05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30.05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701.10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701.10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149.67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149.67</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2130206</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技术推广与转化</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149.67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149.67</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123.42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123.42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123.42</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123.42</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扶贫</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16.90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16.90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其他扶贫支出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16.90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16.90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679.50</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679.50</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461.93</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461.93</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217.57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217.57</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154.67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154.67</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154.67</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154.67</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461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27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62.15</w:t>
            </w:r>
          </w:p>
        </w:tc>
        <w:tc>
          <w:tcPr>
            <w:tcW w:w="125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62.15</w:t>
            </w:r>
          </w:p>
        </w:tc>
        <w:tc>
          <w:tcPr>
            <w:tcW w:w="11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w:t>
            </w:r>
          </w:p>
        </w:tc>
        <w:tc>
          <w:tcPr>
            <w:tcW w:w="4616"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应急管理事务</w:t>
            </w:r>
          </w:p>
        </w:tc>
        <w:tc>
          <w:tcPr>
            <w:tcW w:w="1279"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62.15</w:t>
            </w:r>
          </w:p>
        </w:tc>
        <w:tc>
          <w:tcPr>
            <w:tcW w:w="1255"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62.15</w:t>
            </w:r>
          </w:p>
        </w:tc>
        <w:tc>
          <w:tcPr>
            <w:tcW w:w="1124"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nil"/>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2240199</w:t>
            </w:r>
          </w:p>
        </w:tc>
        <w:tc>
          <w:tcPr>
            <w:tcW w:w="46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62.15</w:t>
            </w:r>
          </w:p>
        </w:tc>
        <w:tc>
          <w:tcPr>
            <w:tcW w:w="12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62.15</w:t>
            </w:r>
          </w:p>
        </w:tc>
        <w:tc>
          <w:tcPr>
            <w:tcW w:w="11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46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2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1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22960 </w:t>
            </w:r>
          </w:p>
        </w:tc>
        <w:tc>
          <w:tcPr>
            <w:tcW w:w="46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彩票公益金安排的支出</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2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1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2296099 </w:t>
            </w:r>
          </w:p>
        </w:tc>
        <w:tc>
          <w:tcPr>
            <w:tcW w:w="46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用于其他社会公益事业的彩票公益金支出</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2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1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2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5608" w:type="dxa"/>
            <w:gridSpan w:val="10"/>
            <w:tcBorders>
              <w:top w:val="single" w:color="auto" w:sz="4" w:space="0"/>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36"/>
        </w:rPr>
      </w:pPr>
    </w:p>
    <w:tbl>
      <w:tblPr>
        <w:tblStyle w:val="7"/>
        <w:tblW w:w="15614" w:type="dxa"/>
        <w:tblInd w:w="0" w:type="dxa"/>
        <w:shd w:val="clear" w:color="auto" w:fill="auto"/>
        <w:tblLayout w:type="fixed"/>
        <w:tblCellMar>
          <w:top w:w="0" w:type="dxa"/>
          <w:left w:w="108" w:type="dxa"/>
          <w:bottom w:w="0" w:type="dxa"/>
          <w:right w:w="108" w:type="dxa"/>
        </w:tblCellMar>
      </w:tblPr>
      <w:tblGrid>
        <w:gridCol w:w="3400"/>
        <w:gridCol w:w="534"/>
        <w:gridCol w:w="1499"/>
        <w:gridCol w:w="3857"/>
        <w:gridCol w:w="534"/>
        <w:gridCol w:w="1365"/>
        <w:gridCol w:w="1427"/>
        <w:gridCol w:w="1421"/>
        <w:gridCol w:w="1577"/>
      </w:tblGrid>
      <w:tr>
        <w:tblPrEx>
          <w:shd w:val="clear" w:color="auto" w:fill="auto"/>
          <w:tblCellMar>
            <w:top w:w="0" w:type="dxa"/>
            <w:left w:w="108" w:type="dxa"/>
            <w:bottom w:w="0" w:type="dxa"/>
            <w:right w:w="108" w:type="dxa"/>
          </w:tblCellMar>
        </w:tblPrEx>
        <w:trPr>
          <w:trHeight w:val="384" w:hRule="atLeast"/>
        </w:trPr>
        <w:tc>
          <w:tcPr>
            <w:tcW w:w="15614" w:type="dxa"/>
            <w:gridSpan w:val="9"/>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bookmarkStart w:id="0" w:name="RANGE_A1_I22"/>
            <w:bookmarkEnd w:id="0"/>
            <w:bookmarkStart w:id="1" w:name="RANGE_A1_F16"/>
            <w:r>
              <w:rPr>
                <w:rFonts w:hint="eastAsia" w:ascii="宋体" w:hAnsi="宋体" w:eastAsia="宋体" w:cs="宋体"/>
                <w:i w:val="0"/>
                <w:iCs w:val="0"/>
                <w:color w:val="000000"/>
                <w:kern w:val="0"/>
                <w:sz w:val="30"/>
                <w:szCs w:val="30"/>
                <w:u w:val="none"/>
                <w:lang w:val="en-US" w:eastAsia="zh-CN" w:bidi="ar"/>
              </w:rPr>
              <w:t>财政拨款收入支出决算总表</w:t>
            </w:r>
          </w:p>
        </w:tc>
      </w:tr>
      <w:tr>
        <w:tblPrEx>
          <w:tblCellMar>
            <w:top w:w="0" w:type="dxa"/>
            <w:left w:w="108" w:type="dxa"/>
            <w:bottom w:w="0" w:type="dxa"/>
            <w:right w:w="108" w:type="dxa"/>
          </w:tblCellMar>
        </w:tblPrEx>
        <w:trPr>
          <w:trHeight w:val="264" w:hRule="atLeast"/>
        </w:trPr>
        <w:tc>
          <w:tcPr>
            <w:tcW w:w="340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534"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499"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857"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534"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365"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427"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421"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577"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tblPrEx>
          <w:tblCellMar>
            <w:top w:w="0" w:type="dxa"/>
            <w:left w:w="108" w:type="dxa"/>
            <w:bottom w:w="0" w:type="dxa"/>
            <w:right w:w="108" w:type="dxa"/>
          </w:tblCellMar>
        </w:tblPrEx>
        <w:trPr>
          <w:trHeight w:val="264" w:hRule="atLeast"/>
        </w:trPr>
        <w:tc>
          <w:tcPr>
            <w:tcW w:w="3400"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534"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499"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857"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534"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365"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425" w:type="dxa"/>
            <w:gridSpan w:val="3"/>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5433"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10181" w:type="dxa"/>
            <w:gridSpan w:val="6"/>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tblCellMar>
            <w:top w:w="0" w:type="dxa"/>
            <w:left w:w="108" w:type="dxa"/>
            <w:bottom w:w="0" w:type="dxa"/>
            <w:right w:w="108" w:type="dxa"/>
          </w:tblCellMar>
        </w:tblPrEx>
        <w:trPr>
          <w:trHeight w:val="292" w:hRule="atLeast"/>
        </w:trPr>
        <w:tc>
          <w:tcPr>
            <w:tcW w:w="3400"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34"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499"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85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34"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365"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2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42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57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tblPrEx>
          <w:tblCellMar>
            <w:top w:w="0" w:type="dxa"/>
            <w:left w:w="108" w:type="dxa"/>
            <w:bottom w:w="0" w:type="dxa"/>
            <w:right w:w="108" w:type="dxa"/>
          </w:tblCellMar>
        </w:tblPrEx>
        <w:trPr>
          <w:trHeight w:val="615" w:hRule="atLeast"/>
        </w:trPr>
        <w:tc>
          <w:tcPr>
            <w:tcW w:w="3400" w:type="dxa"/>
            <w:vMerge w:val="continue"/>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34"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99"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857"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34"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65"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27"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21"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77"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3466.85</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2216.53</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2216.53</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2.41</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2.41</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134.60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134.60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27.68</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27.68</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213.53</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213.53</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834.79</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834.79</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37.31</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37.31</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3469.85</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3469.85</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3466.85</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40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34" w:type="dxa"/>
            <w:tcBorders>
              <w:top w:val="nil"/>
              <w:left w:val="nil"/>
              <w:bottom w:val="single" w:color="000000" w:sz="8"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49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3469.85</w:t>
            </w:r>
          </w:p>
        </w:tc>
        <w:tc>
          <w:tcPr>
            <w:tcW w:w="385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34"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36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3469.85</w:t>
            </w:r>
          </w:p>
        </w:tc>
        <w:tc>
          <w:tcPr>
            <w:tcW w:w="142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3466.85</w:t>
            </w:r>
          </w:p>
        </w:tc>
        <w:tc>
          <w:tcPr>
            <w:tcW w:w="14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w:t>
            </w:r>
          </w:p>
        </w:tc>
        <w:tc>
          <w:tcPr>
            <w:tcW w:w="157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4037" w:type="dxa"/>
            <w:gridSpan w:val="8"/>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1577" w:type="dxa"/>
            <w:tcBorders>
              <w:top w:val="nil"/>
              <w:left w:val="nil"/>
              <w:bottom w:val="nil"/>
              <w:right w:val="nil"/>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bookmarkEnd w:id="1"/>
    <w:tbl>
      <w:tblPr>
        <w:tblStyle w:val="7"/>
        <w:tblW w:w="15614" w:type="dxa"/>
        <w:tblInd w:w="0" w:type="dxa"/>
        <w:shd w:val="clear" w:color="auto" w:fill="auto"/>
        <w:tblLayout w:type="fixed"/>
        <w:tblCellMar>
          <w:top w:w="0" w:type="dxa"/>
          <w:left w:w="108" w:type="dxa"/>
          <w:bottom w:w="0" w:type="dxa"/>
          <w:right w:w="108" w:type="dxa"/>
        </w:tblCellMar>
      </w:tblPr>
      <w:tblGrid>
        <w:gridCol w:w="3498"/>
        <w:gridCol w:w="253"/>
        <w:gridCol w:w="262"/>
        <w:gridCol w:w="5346"/>
        <w:gridCol w:w="1980"/>
        <w:gridCol w:w="1980"/>
        <w:gridCol w:w="2295"/>
      </w:tblGrid>
      <w:tr>
        <w:tblPrEx>
          <w:shd w:val="clear" w:color="auto" w:fill="auto"/>
          <w:tblCellMar>
            <w:top w:w="0" w:type="dxa"/>
            <w:left w:w="108" w:type="dxa"/>
            <w:bottom w:w="0" w:type="dxa"/>
            <w:right w:w="108" w:type="dxa"/>
          </w:tblCellMar>
        </w:tblPrEx>
        <w:trPr>
          <w:trHeight w:val="384" w:hRule="atLeast"/>
        </w:trPr>
        <w:tc>
          <w:tcPr>
            <w:tcW w:w="15614" w:type="dxa"/>
            <w:gridSpan w:val="7"/>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tblPrEx>
          <w:tblCellMar>
            <w:top w:w="0" w:type="dxa"/>
            <w:left w:w="108" w:type="dxa"/>
            <w:bottom w:w="0" w:type="dxa"/>
            <w:right w:w="108" w:type="dxa"/>
          </w:tblCellMar>
        </w:tblPrEx>
        <w:trPr>
          <w:trHeight w:val="264" w:hRule="atLeast"/>
        </w:trPr>
        <w:tc>
          <w:tcPr>
            <w:tcW w:w="3498"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53"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62"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5346"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95"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tblPrEx>
          <w:tblCellMar>
            <w:top w:w="0" w:type="dxa"/>
            <w:left w:w="108" w:type="dxa"/>
            <w:bottom w:w="0" w:type="dxa"/>
            <w:right w:w="108" w:type="dxa"/>
          </w:tblCellMar>
        </w:tblPrEx>
        <w:trPr>
          <w:trHeight w:val="264" w:hRule="atLeast"/>
        </w:trPr>
        <w:tc>
          <w:tcPr>
            <w:tcW w:w="3498"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253"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62"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5346"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98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95"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93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255" w:type="dxa"/>
            <w:gridSpan w:val="3"/>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tblCellMar>
            <w:top w:w="0" w:type="dxa"/>
            <w:left w:w="108" w:type="dxa"/>
            <w:bottom w:w="0" w:type="dxa"/>
            <w:right w:w="108" w:type="dxa"/>
          </w:tblCellMar>
        </w:tblPrEx>
        <w:trPr>
          <w:trHeight w:val="308" w:hRule="atLeast"/>
        </w:trPr>
        <w:tc>
          <w:tcPr>
            <w:tcW w:w="4013" w:type="dxa"/>
            <w:gridSpan w:val="3"/>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5346"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98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98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295"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CellMar>
            <w:top w:w="0" w:type="dxa"/>
            <w:left w:w="108" w:type="dxa"/>
            <w:bottom w:w="0" w:type="dxa"/>
            <w:right w:w="108" w:type="dxa"/>
          </w:tblCellMar>
        </w:tblPrEx>
        <w:trPr>
          <w:trHeight w:val="277" w:hRule="atLeast"/>
        </w:trPr>
        <w:tc>
          <w:tcPr>
            <w:tcW w:w="4013"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346"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295"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013"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346"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980"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295"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9359"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CellMar>
            <w:top w:w="0" w:type="dxa"/>
            <w:left w:w="108" w:type="dxa"/>
            <w:bottom w:w="0" w:type="dxa"/>
            <w:right w:w="108" w:type="dxa"/>
          </w:tblCellMar>
        </w:tblPrEx>
        <w:trPr>
          <w:trHeight w:val="308" w:hRule="atLeast"/>
        </w:trPr>
        <w:tc>
          <w:tcPr>
            <w:tcW w:w="9359"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3469.85</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3466.85</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2216.53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2216.53</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2058.40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2058.40</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1987.90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1987.90</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70.50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70.50</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89.67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89.67</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89.67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89.67</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68.46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68.46</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68.46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68.46</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2.41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2.41</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文化和旅游</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2.41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2.41</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2070199</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其他文化和旅游支出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2.41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2.41</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134.60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134.60</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122.46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122.46</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122.46</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122.46</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12.14</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12.14</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12.14</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12.14</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90"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w:t>
            </w:r>
            <w:r>
              <w:rPr>
                <w:rFonts w:hint="eastAsia" w:ascii="宋体" w:hAnsi="宋体" w:cs="宋体"/>
                <w:i w:val="0"/>
                <w:iCs w:val="0"/>
                <w:color w:val="000000"/>
                <w:kern w:val="0"/>
                <w:sz w:val="22"/>
                <w:szCs w:val="22"/>
                <w:u w:val="none"/>
                <w:lang w:val="en-US" w:eastAsia="zh-CN" w:bidi="ar"/>
              </w:rPr>
              <w:t>68</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r>
              <w:rPr>
                <w:rFonts w:hint="eastAsia" w:ascii="宋体" w:hAnsi="宋体" w:cs="宋体"/>
                <w:i w:val="0"/>
                <w:iCs w:val="0"/>
                <w:color w:val="000000"/>
                <w:kern w:val="0"/>
                <w:sz w:val="22"/>
                <w:szCs w:val="22"/>
                <w:u w:val="none"/>
                <w:lang w:val="en-US" w:eastAsia="zh-CN" w:bidi="ar"/>
              </w:rPr>
              <w:t>68</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27.68</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27.68</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27.68</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27.68</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213.53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213.53</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102.63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102.63</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73.82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73.82</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2120199</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28.81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28.81</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110.90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110.90</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110.90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110.90</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834.79</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834.79</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50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50</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2130108</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50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50</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0.00</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2130206</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技术推广与转化</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0.00</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12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12</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2130304</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12</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12</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679.50</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679.50</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461.93</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461.93</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2130799</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其他农村综合改革支出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217.57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217.57</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154.67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154.67</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154.67</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154.67</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534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37.31</w:t>
            </w:r>
          </w:p>
        </w:tc>
        <w:tc>
          <w:tcPr>
            <w:tcW w:w="198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37.31</w:t>
            </w:r>
          </w:p>
        </w:tc>
        <w:tc>
          <w:tcPr>
            <w:tcW w:w="22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nil"/>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w:t>
            </w:r>
          </w:p>
        </w:tc>
        <w:tc>
          <w:tcPr>
            <w:tcW w:w="5346" w:type="dxa"/>
            <w:tcBorders>
              <w:top w:val="nil"/>
              <w:left w:val="nil"/>
              <w:bottom w:val="single" w:color="auto"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应急管理事务</w:t>
            </w:r>
          </w:p>
        </w:tc>
        <w:tc>
          <w:tcPr>
            <w:tcW w:w="1980" w:type="dxa"/>
            <w:tcBorders>
              <w:top w:val="nil"/>
              <w:left w:val="nil"/>
              <w:bottom w:val="single" w:color="auto"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37.31</w:t>
            </w:r>
          </w:p>
        </w:tc>
        <w:tc>
          <w:tcPr>
            <w:tcW w:w="1980" w:type="dxa"/>
            <w:tcBorders>
              <w:top w:val="nil"/>
              <w:left w:val="nil"/>
              <w:bottom w:val="single" w:color="auto"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37.31</w:t>
            </w:r>
          </w:p>
        </w:tc>
        <w:tc>
          <w:tcPr>
            <w:tcW w:w="2295" w:type="dxa"/>
            <w:tcBorders>
              <w:top w:val="nil"/>
              <w:left w:val="nil"/>
              <w:bottom w:val="single" w:color="auto"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2240199</w:t>
            </w:r>
          </w:p>
        </w:tc>
        <w:tc>
          <w:tcPr>
            <w:tcW w:w="534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其他应急管理支出</w:t>
            </w:r>
          </w:p>
        </w:tc>
        <w:tc>
          <w:tcPr>
            <w:tcW w:w="19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37.31</w:t>
            </w:r>
          </w:p>
        </w:tc>
        <w:tc>
          <w:tcPr>
            <w:tcW w:w="19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37.31</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53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9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9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22960 </w:t>
            </w:r>
          </w:p>
        </w:tc>
        <w:tc>
          <w:tcPr>
            <w:tcW w:w="53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彩票公益金安排的支出</w:t>
            </w:r>
          </w:p>
        </w:tc>
        <w:tc>
          <w:tcPr>
            <w:tcW w:w="19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9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40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2296099 </w:t>
            </w:r>
          </w:p>
        </w:tc>
        <w:tc>
          <w:tcPr>
            <w:tcW w:w="53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 xml:space="preserve">  用于其他社会公益事业的彩票公益金支出</w:t>
            </w:r>
          </w:p>
        </w:tc>
        <w:tc>
          <w:tcPr>
            <w:tcW w:w="19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19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229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5614" w:type="dxa"/>
            <w:gridSpan w:val="7"/>
            <w:tcBorders>
              <w:top w:val="single" w:color="auto" w:sz="4" w:space="0"/>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tbl>
      <w:tblPr>
        <w:tblStyle w:val="7"/>
        <w:tblW w:w="15614" w:type="dxa"/>
        <w:tblInd w:w="0" w:type="dxa"/>
        <w:shd w:val="clear" w:color="auto" w:fill="auto"/>
        <w:tblLayout w:type="fixed"/>
        <w:tblCellMar>
          <w:top w:w="0" w:type="dxa"/>
          <w:left w:w="108" w:type="dxa"/>
          <w:bottom w:w="0" w:type="dxa"/>
          <w:right w:w="108" w:type="dxa"/>
        </w:tblCellMar>
      </w:tblPr>
      <w:tblGrid>
        <w:gridCol w:w="1099"/>
        <w:gridCol w:w="2856"/>
        <w:gridCol w:w="1392"/>
        <w:gridCol w:w="1200"/>
        <w:gridCol w:w="2220"/>
        <w:gridCol w:w="1056"/>
        <w:gridCol w:w="1200"/>
        <w:gridCol w:w="3320"/>
        <w:gridCol w:w="1271"/>
      </w:tblGrid>
      <w:tr>
        <w:tblPrEx>
          <w:shd w:val="clear" w:color="auto" w:fill="auto"/>
          <w:tblCellMar>
            <w:top w:w="0" w:type="dxa"/>
            <w:left w:w="108" w:type="dxa"/>
            <w:bottom w:w="0" w:type="dxa"/>
            <w:right w:w="108" w:type="dxa"/>
          </w:tblCellMar>
        </w:tblPrEx>
        <w:trPr>
          <w:trHeight w:val="384" w:hRule="atLeast"/>
        </w:trPr>
        <w:tc>
          <w:tcPr>
            <w:tcW w:w="14343" w:type="dxa"/>
            <w:gridSpan w:val="8"/>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一般公共预算财政拨款基本支出决算表</w:t>
            </w:r>
          </w:p>
        </w:tc>
        <w:tc>
          <w:tcPr>
            <w:tcW w:w="1271"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64" w:hRule="atLeast"/>
        </w:trPr>
        <w:tc>
          <w:tcPr>
            <w:tcW w:w="1099"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856"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392"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2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056"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32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71"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tblPrEx>
          <w:tblCellMar>
            <w:top w:w="0" w:type="dxa"/>
            <w:left w:w="108" w:type="dxa"/>
            <w:bottom w:w="0" w:type="dxa"/>
            <w:right w:w="108" w:type="dxa"/>
          </w:tblCellMar>
        </w:tblPrEx>
        <w:trPr>
          <w:trHeight w:val="264" w:hRule="atLeast"/>
        </w:trPr>
        <w:tc>
          <w:tcPr>
            <w:tcW w:w="3955" w:type="dxa"/>
            <w:gridSpan w:val="2"/>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1392"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22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056"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32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271"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5347"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10267" w:type="dxa"/>
            <w:gridSpan w:val="6"/>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tblCellMar>
            <w:top w:w="0" w:type="dxa"/>
            <w:left w:w="108" w:type="dxa"/>
            <w:bottom w:w="0" w:type="dxa"/>
            <w:right w:w="108" w:type="dxa"/>
          </w:tblCellMar>
        </w:tblPrEx>
        <w:trPr>
          <w:trHeight w:val="308" w:hRule="atLeast"/>
        </w:trPr>
        <w:tc>
          <w:tcPr>
            <w:tcW w:w="1099"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856"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392"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20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22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056"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20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32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7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CellMar>
            <w:top w:w="0" w:type="dxa"/>
            <w:left w:w="108" w:type="dxa"/>
            <w:bottom w:w="0" w:type="dxa"/>
            <w:right w:w="108" w:type="dxa"/>
          </w:tblCellMar>
        </w:tblPrEx>
        <w:trPr>
          <w:trHeight w:val="312" w:hRule="atLeast"/>
        </w:trPr>
        <w:tc>
          <w:tcPr>
            <w:tcW w:w="1099" w:type="dxa"/>
            <w:vMerge w:val="continue"/>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856"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392"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00"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220"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56"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00"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320"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71"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2006.33</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637.00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592.62</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52.06</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152.42</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42.44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247.59</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8.60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109.34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0.09</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238.05</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1.80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168.75</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17.31</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44.25</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4.68</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95.15</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21.21</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11.89</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0.43</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308.59</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6.80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16.47</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8.69</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823.52</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5.70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0.84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9.43</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2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93.94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41.41</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43.52</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255.92</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39906</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赠与</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57.34</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679.50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7.79</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8.67</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099"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856"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2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05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113.56</w:t>
            </w:r>
          </w:p>
        </w:tc>
        <w:tc>
          <w:tcPr>
            <w:tcW w:w="1200"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320"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3955" w:type="dxa"/>
            <w:gridSpan w:val="2"/>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392"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2829.85</w:t>
            </w:r>
          </w:p>
        </w:tc>
        <w:tc>
          <w:tcPr>
            <w:tcW w:w="8996" w:type="dxa"/>
            <w:gridSpan w:val="5"/>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127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637.00</w:t>
            </w:r>
          </w:p>
        </w:tc>
      </w:tr>
      <w:tr>
        <w:tblPrEx>
          <w:tblCellMar>
            <w:top w:w="0" w:type="dxa"/>
            <w:left w:w="108" w:type="dxa"/>
            <w:bottom w:w="0" w:type="dxa"/>
            <w:right w:w="108" w:type="dxa"/>
          </w:tblCellMar>
        </w:tblPrEx>
        <w:trPr>
          <w:trHeight w:val="308" w:hRule="atLeast"/>
        </w:trPr>
        <w:tc>
          <w:tcPr>
            <w:tcW w:w="15614" w:type="dxa"/>
            <w:gridSpan w:val="9"/>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tbl>
      <w:tblPr>
        <w:tblStyle w:val="7"/>
        <w:tblW w:w="15611" w:type="dxa"/>
        <w:tblInd w:w="0" w:type="dxa"/>
        <w:shd w:val="clear" w:color="auto" w:fill="auto"/>
        <w:tblLayout w:type="fixed"/>
        <w:tblCellMar>
          <w:top w:w="0" w:type="dxa"/>
          <w:left w:w="108" w:type="dxa"/>
          <w:bottom w:w="0" w:type="dxa"/>
          <w:right w:w="108" w:type="dxa"/>
        </w:tblCellMar>
      </w:tblPr>
      <w:tblGrid>
        <w:gridCol w:w="1745"/>
        <w:gridCol w:w="1823"/>
        <w:gridCol w:w="1149"/>
        <w:gridCol w:w="1149"/>
        <w:gridCol w:w="1158"/>
        <w:gridCol w:w="1186"/>
        <w:gridCol w:w="1149"/>
        <w:gridCol w:w="1149"/>
        <w:gridCol w:w="1149"/>
        <w:gridCol w:w="1183"/>
        <w:gridCol w:w="1150"/>
        <w:gridCol w:w="1621"/>
      </w:tblGrid>
      <w:tr>
        <w:tblPrEx>
          <w:shd w:val="clear" w:color="auto" w:fill="auto"/>
          <w:tblCellMar>
            <w:top w:w="0" w:type="dxa"/>
            <w:left w:w="108" w:type="dxa"/>
            <w:bottom w:w="0" w:type="dxa"/>
            <w:right w:w="108" w:type="dxa"/>
          </w:tblCellMar>
        </w:tblPrEx>
        <w:trPr>
          <w:trHeight w:val="564" w:hRule="atLeast"/>
        </w:trPr>
        <w:tc>
          <w:tcPr>
            <w:tcW w:w="15611" w:type="dxa"/>
            <w:gridSpan w:val="12"/>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44"/>
                <w:szCs w:val="44"/>
                <w:u w:val="none"/>
                <w:lang w:val="en-US" w:eastAsia="zh-CN" w:bidi="ar"/>
              </w:rPr>
              <w:t>一般公共预算财政拨款“三公”经费支出决算表</w:t>
            </w:r>
          </w:p>
        </w:tc>
      </w:tr>
      <w:tr>
        <w:tblPrEx>
          <w:tblCellMar>
            <w:top w:w="0" w:type="dxa"/>
            <w:left w:w="108" w:type="dxa"/>
            <w:bottom w:w="0" w:type="dxa"/>
            <w:right w:w="108" w:type="dxa"/>
          </w:tblCellMar>
        </w:tblPrEx>
        <w:trPr>
          <w:trHeight w:val="264" w:hRule="atLeast"/>
        </w:trPr>
        <w:tc>
          <w:tcPr>
            <w:tcW w:w="1745"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823"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58"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86"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49"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83"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5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621"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tblPrEx>
          <w:tblCellMar>
            <w:top w:w="0" w:type="dxa"/>
            <w:left w:w="108" w:type="dxa"/>
            <w:bottom w:w="0" w:type="dxa"/>
            <w:right w:w="108" w:type="dxa"/>
          </w:tblCellMar>
        </w:tblPrEx>
        <w:trPr>
          <w:trHeight w:val="264" w:hRule="atLeast"/>
        </w:trPr>
        <w:tc>
          <w:tcPr>
            <w:tcW w:w="12840" w:type="dxa"/>
            <w:gridSpan w:val="10"/>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115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621"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8210"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7401" w:type="dxa"/>
            <w:gridSpan w:val="6"/>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CellMar>
            <w:top w:w="0" w:type="dxa"/>
            <w:left w:w="108" w:type="dxa"/>
            <w:bottom w:w="0" w:type="dxa"/>
            <w:right w:w="108" w:type="dxa"/>
          </w:tblCellMar>
        </w:tblPrEx>
        <w:trPr>
          <w:trHeight w:val="308" w:hRule="atLeast"/>
        </w:trPr>
        <w:tc>
          <w:tcPr>
            <w:tcW w:w="1745"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823"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456" w:type="dxa"/>
            <w:gridSpan w:val="3"/>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186"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1149"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49"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482" w:type="dxa"/>
            <w:gridSpan w:val="3"/>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62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tblPrEx>
          <w:tblCellMar>
            <w:top w:w="0" w:type="dxa"/>
            <w:left w:w="108" w:type="dxa"/>
            <w:bottom w:w="0" w:type="dxa"/>
            <w:right w:w="108" w:type="dxa"/>
          </w:tblCellMar>
        </w:tblPrEx>
        <w:trPr>
          <w:trHeight w:val="615" w:hRule="atLeast"/>
        </w:trPr>
        <w:tc>
          <w:tcPr>
            <w:tcW w:w="1745" w:type="dxa"/>
            <w:vMerge w:val="continue"/>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823"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158"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1186"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9"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9"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8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15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1621"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745"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2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58"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8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8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5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CellMar>
            <w:top w:w="0" w:type="dxa"/>
            <w:left w:w="108" w:type="dxa"/>
            <w:bottom w:w="0" w:type="dxa"/>
            <w:right w:w="108" w:type="dxa"/>
          </w:tblCellMar>
        </w:tblPrEx>
        <w:trPr>
          <w:trHeight w:val="308" w:hRule="atLeast"/>
        </w:trPr>
        <w:tc>
          <w:tcPr>
            <w:tcW w:w="1745"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11.40</w:t>
            </w:r>
          </w:p>
        </w:tc>
        <w:tc>
          <w:tcPr>
            <w:tcW w:w="182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8"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86"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11.40</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9.43</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9"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83"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5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2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9.43</w:t>
            </w:r>
          </w:p>
        </w:tc>
      </w:tr>
      <w:tr>
        <w:tblPrEx>
          <w:tblCellMar>
            <w:top w:w="0" w:type="dxa"/>
            <w:left w:w="108" w:type="dxa"/>
            <w:bottom w:w="0" w:type="dxa"/>
            <w:right w:w="108" w:type="dxa"/>
          </w:tblCellMar>
        </w:tblPrEx>
        <w:trPr>
          <w:trHeight w:val="615" w:hRule="atLeast"/>
        </w:trPr>
        <w:tc>
          <w:tcPr>
            <w:tcW w:w="15611" w:type="dxa"/>
            <w:gridSpan w:val="12"/>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widowControl/>
        <w:jc w:val="left"/>
        <w:rPr>
          <w:rFonts w:ascii="黑体" w:hAnsi="黑体" w:eastAsia="黑体" w:cs="Times New Roman"/>
        </w:rPr>
      </w:pPr>
    </w:p>
    <w:tbl>
      <w:tblPr>
        <w:tblStyle w:val="7"/>
        <w:tblW w:w="15518" w:type="dxa"/>
        <w:tblInd w:w="96" w:type="dxa"/>
        <w:shd w:val="clear" w:color="auto" w:fill="auto"/>
        <w:tblLayout w:type="fixed"/>
        <w:tblCellMar>
          <w:top w:w="0" w:type="dxa"/>
          <w:left w:w="108" w:type="dxa"/>
          <w:bottom w:w="0" w:type="dxa"/>
          <w:right w:w="108" w:type="dxa"/>
        </w:tblCellMar>
      </w:tblPr>
      <w:tblGrid>
        <w:gridCol w:w="3763"/>
        <w:gridCol w:w="680"/>
        <w:gridCol w:w="332"/>
        <w:gridCol w:w="2163"/>
        <w:gridCol w:w="1197"/>
        <w:gridCol w:w="1197"/>
        <w:gridCol w:w="1197"/>
        <w:gridCol w:w="1197"/>
        <w:gridCol w:w="1197"/>
        <w:gridCol w:w="2595"/>
      </w:tblGrid>
      <w:tr>
        <w:tblPrEx>
          <w:shd w:val="clear" w:color="auto" w:fill="auto"/>
          <w:tblCellMar>
            <w:top w:w="0" w:type="dxa"/>
            <w:left w:w="108" w:type="dxa"/>
            <w:bottom w:w="0" w:type="dxa"/>
            <w:right w:w="108" w:type="dxa"/>
          </w:tblCellMar>
        </w:tblPrEx>
        <w:trPr>
          <w:trHeight w:val="384" w:hRule="atLeast"/>
        </w:trPr>
        <w:tc>
          <w:tcPr>
            <w:tcW w:w="15518" w:type="dxa"/>
            <w:gridSpan w:val="10"/>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政府性基金预算财政拨款收入支出决算表</w:t>
            </w:r>
          </w:p>
        </w:tc>
      </w:tr>
      <w:tr>
        <w:tblPrEx>
          <w:tblCellMar>
            <w:top w:w="0" w:type="dxa"/>
            <w:left w:w="108" w:type="dxa"/>
            <w:bottom w:w="0" w:type="dxa"/>
            <w:right w:w="108" w:type="dxa"/>
          </w:tblCellMar>
        </w:tblPrEx>
        <w:trPr>
          <w:trHeight w:val="264" w:hRule="atLeast"/>
        </w:trPr>
        <w:tc>
          <w:tcPr>
            <w:tcW w:w="3763"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68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32"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163"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595"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tblPrEx>
          <w:tblCellMar>
            <w:top w:w="0" w:type="dxa"/>
            <w:left w:w="108" w:type="dxa"/>
            <w:bottom w:w="0" w:type="dxa"/>
            <w:right w:w="108" w:type="dxa"/>
          </w:tblCellMar>
        </w:tblPrEx>
        <w:trPr>
          <w:trHeight w:val="264" w:hRule="atLeast"/>
        </w:trPr>
        <w:tc>
          <w:tcPr>
            <w:tcW w:w="3763"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680"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32"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163"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1197"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595"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6938"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197" w:type="dxa"/>
            <w:vMerge w:val="restar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197" w:type="dxa"/>
            <w:vMerge w:val="restar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3591" w:type="dxa"/>
            <w:gridSpan w:val="3"/>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2595" w:type="dxa"/>
            <w:vMerge w:val="restar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tblPrEx>
          <w:tblCellMar>
            <w:top w:w="0" w:type="dxa"/>
            <w:left w:w="108" w:type="dxa"/>
            <w:bottom w:w="0" w:type="dxa"/>
            <w:right w:w="108" w:type="dxa"/>
          </w:tblCellMar>
        </w:tblPrEx>
        <w:trPr>
          <w:trHeight w:val="308" w:hRule="atLeast"/>
        </w:trPr>
        <w:tc>
          <w:tcPr>
            <w:tcW w:w="4775" w:type="dxa"/>
            <w:gridSpan w:val="3"/>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2163"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9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197"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2595" w:type="dxa"/>
            <w:vMerge w:val="continue"/>
            <w:tcBorders>
              <w:top w:val="single" w:color="000000" w:sz="4" w:space="0"/>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163"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595" w:type="dxa"/>
            <w:vMerge w:val="continue"/>
            <w:tcBorders>
              <w:top w:val="single" w:color="000000" w:sz="4" w:space="0"/>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163"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single" w:color="000000" w:sz="4" w:space="0"/>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97"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595" w:type="dxa"/>
            <w:vMerge w:val="continue"/>
            <w:tcBorders>
              <w:top w:val="single" w:color="000000" w:sz="4" w:space="0"/>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938"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595"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CellMar>
            <w:top w:w="0" w:type="dxa"/>
            <w:left w:w="108" w:type="dxa"/>
            <w:bottom w:w="0" w:type="dxa"/>
            <w:right w:w="108" w:type="dxa"/>
          </w:tblCellMar>
        </w:tblPrEx>
        <w:trPr>
          <w:trHeight w:val="308" w:hRule="atLeast"/>
        </w:trPr>
        <w:tc>
          <w:tcPr>
            <w:tcW w:w="6938"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3.00</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3.00</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3.00</w:t>
            </w: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4775"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163"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97"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595"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5518" w:type="dxa"/>
            <w:gridSpan w:val="10"/>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p>
      <w:pPr>
        <w:widowControl/>
        <w:jc w:val="left"/>
        <w:rPr>
          <w:rFonts w:ascii="黑体" w:hAnsi="黑体" w:eastAsia="黑体" w:cs="Times New Roman"/>
        </w:rPr>
      </w:pPr>
    </w:p>
    <w:tbl>
      <w:tblPr>
        <w:tblStyle w:val="7"/>
        <w:tblW w:w="15614" w:type="dxa"/>
        <w:tblInd w:w="0" w:type="dxa"/>
        <w:shd w:val="clear" w:color="auto" w:fill="auto"/>
        <w:tblLayout w:type="fixed"/>
        <w:tblCellMar>
          <w:top w:w="0" w:type="dxa"/>
          <w:left w:w="108" w:type="dxa"/>
          <w:bottom w:w="0" w:type="dxa"/>
          <w:right w:w="108" w:type="dxa"/>
        </w:tblCellMar>
      </w:tblPr>
      <w:tblGrid>
        <w:gridCol w:w="5609"/>
        <w:gridCol w:w="412"/>
        <w:gridCol w:w="415"/>
        <w:gridCol w:w="2036"/>
        <w:gridCol w:w="2011"/>
        <w:gridCol w:w="2011"/>
        <w:gridCol w:w="3120"/>
      </w:tblGrid>
      <w:tr>
        <w:tblPrEx>
          <w:shd w:val="clear" w:color="auto" w:fill="auto"/>
          <w:tblCellMar>
            <w:top w:w="0" w:type="dxa"/>
            <w:left w:w="108" w:type="dxa"/>
            <w:bottom w:w="0" w:type="dxa"/>
            <w:right w:w="108" w:type="dxa"/>
          </w:tblCellMar>
        </w:tblPrEx>
        <w:trPr>
          <w:trHeight w:val="384" w:hRule="atLeast"/>
        </w:trPr>
        <w:tc>
          <w:tcPr>
            <w:tcW w:w="15614" w:type="dxa"/>
            <w:gridSpan w:val="7"/>
            <w:tcBorders>
              <w:top w:val="nil"/>
              <w:left w:val="nil"/>
              <w:bottom w:val="nil"/>
              <w:right w:val="nil"/>
            </w:tcBorders>
            <w:shd w:val="clear" w:color="auto" w:fill="auto"/>
            <w:vAlign w:val="bottom"/>
          </w:tcPr>
          <w:p>
            <w:pPr>
              <w:keepNext w:val="0"/>
              <w:keepLines w:val="0"/>
              <w:suppressLineNumbers w:val="0"/>
              <w:spacing w:before="0" w:beforeAutospacing="0" w:after="0" w:afterAutospacing="0"/>
              <w:ind w:left="0" w:right="0"/>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国有资本经营预算财政拨款支出决算表</w:t>
            </w:r>
          </w:p>
        </w:tc>
      </w:tr>
      <w:tr>
        <w:tblPrEx>
          <w:tblCellMar>
            <w:top w:w="0" w:type="dxa"/>
            <w:left w:w="108" w:type="dxa"/>
            <w:bottom w:w="0" w:type="dxa"/>
            <w:right w:w="108" w:type="dxa"/>
          </w:tblCellMar>
        </w:tblPrEx>
        <w:trPr>
          <w:trHeight w:val="264" w:hRule="atLeast"/>
        </w:trPr>
        <w:tc>
          <w:tcPr>
            <w:tcW w:w="5609"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12"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15"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036"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120"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tblPrEx>
          <w:tblCellMar>
            <w:top w:w="0" w:type="dxa"/>
            <w:left w:w="108" w:type="dxa"/>
            <w:bottom w:w="0" w:type="dxa"/>
            <w:right w:w="108" w:type="dxa"/>
          </w:tblCellMar>
        </w:tblPrEx>
        <w:trPr>
          <w:trHeight w:val="264" w:hRule="atLeast"/>
        </w:trPr>
        <w:tc>
          <w:tcPr>
            <w:tcW w:w="5609"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部门：湘潭县杨嘉桥镇人民政府</w:t>
            </w:r>
          </w:p>
        </w:tc>
        <w:tc>
          <w:tcPr>
            <w:tcW w:w="412"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415"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036"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2011" w:type="dxa"/>
            <w:tcBorders>
              <w:top w:val="nil"/>
              <w:left w:val="nil"/>
              <w:bottom w:val="nil"/>
              <w:right w:val="nil"/>
            </w:tcBorders>
            <w:shd w:val="clear" w:color="auto" w:fill="FFFFFF"/>
            <w:vAlign w:val="bottom"/>
          </w:tcPr>
          <w:p>
            <w:pPr>
              <w:keepNext w:val="0"/>
              <w:keepLines w:val="0"/>
              <w:suppressLineNumbers w:val="0"/>
              <w:spacing w:before="0" w:beforeAutospacing="0" w:after="0" w:afterAutospacing="0"/>
              <w:ind w:left="0" w:right="0"/>
              <w:rPr>
                <w:rFonts w:hint="default" w:ascii="Arial" w:hAnsi="Arial" w:cs="Arial"/>
                <w:i w:val="0"/>
                <w:iCs w:val="0"/>
                <w:color w:val="000000"/>
                <w:sz w:val="20"/>
                <w:szCs w:val="20"/>
                <w:u w:val="none"/>
              </w:rPr>
            </w:pPr>
          </w:p>
        </w:tc>
        <w:tc>
          <w:tcPr>
            <w:tcW w:w="3120" w:type="dxa"/>
            <w:tcBorders>
              <w:top w:val="nil"/>
              <w:left w:val="nil"/>
              <w:bottom w:val="nil"/>
              <w:right w:val="nil"/>
            </w:tcBorders>
            <w:shd w:val="clear" w:color="auto" w:fill="FFFFFF"/>
            <w:vAlign w:val="bottom"/>
          </w:tcPr>
          <w:p>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CellMar>
            <w:top w:w="0" w:type="dxa"/>
            <w:left w:w="108" w:type="dxa"/>
            <w:bottom w:w="0" w:type="dxa"/>
            <w:right w:w="108" w:type="dxa"/>
          </w:tblCellMar>
        </w:tblPrEx>
        <w:trPr>
          <w:trHeight w:val="308" w:hRule="atLeast"/>
        </w:trPr>
        <w:tc>
          <w:tcPr>
            <w:tcW w:w="8472"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142" w:type="dxa"/>
            <w:gridSpan w:val="3"/>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tblCellMar>
            <w:top w:w="0" w:type="dxa"/>
            <w:left w:w="108" w:type="dxa"/>
            <w:bottom w:w="0" w:type="dxa"/>
            <w:right w:w="108" w:type="dxa"/>
          </w:tblCellMar>
        </w:tblPrEx>
        <w:trPr>
          <w:trHeight w:val="308" w:hRule="atLeast"/>
        </w:trPr>
        <w:tc>
          <w:tcPr>
            <w:tcW w:w="6436" w:type="dxa"/>
            <w:gridSpan w:val="3"/>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2036"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01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11"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3120" w:type="dxa"/>
            <w:vMerge w:val="restart"/>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CellMar>
            <w:top w:w="0" w:type="dxa"/>
            <w:left w:w="108" w:type="dxa"/>
            <w:bottom w:w="0" w:type="dxa"/>
            <w:right w:w="108" w:type="dxa"/>
          </w:tblCellMar>
        </w:tblPrEx>
        <w:trPr>
          <w:trHeight w:val="308" w:hRule="atLeast"/>
        </w:trPr>
        <w:tc>
          <w:tcPr>
            <w:tcW w:w="6436"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36"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120"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vMerge w:val="continue"/>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36"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011"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120" w:type="dxa"/>
            <w:vMerge w:val="continue"/>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8472"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01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11"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120" w:type="dxa"/>
            <w:tcBorders>
              <w:top w:val="nil"/>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CellMar>
            <w:top w:w="0" w:type="dxa"/>
            <w:left w:w="108" w:type="dxa"/>
            <w:bottom w:w="0" w:type="dxa"/>
            <w:right w:w="108" w:type="dxa"/>
          </w:tblCellMar>
        </w:tblPrEx>
        <w:trPr>
          <w:trHeight w:val="308" w:hRule="atLeast"/>
        </w:trPr>
        <w:tc>
          <w:tcPr>
            <w:tcW w:w="8472" w:type="dxa"/>
            <w:gridSpan w:val="4"/>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11"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eastAsia="zh-CN"/>
              </w:rPr>
              <w:t>本表无数据</w:t>
            </w:r>
          </w:p>
        </w:tc>
        <w:tc>
          <w:tcPr>
            <w:tcW w:w="2011"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436" w:type="dxa"/>
            <w:gridSpan w:val="3"/>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36"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011"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3120" w:type="dxa"/>
            <w:tcBorders>
              <w:top w:val="nil"/>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15614" w:type="dxa"/>
            <w:gridSpan w:val="7"/>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pPr>
        <w:pStyle w:val="12"/>
        <w:rPr>
          <w:rFonts w:cs="Times New Roman"/>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pPr>
        <w:pStyle w:val="12"/>
        <w:ind w:firstLine="2520" w:firstLineChars="350"/>
        <w:rPr>
          <w:rFonts w:cs="Times New Roman"/>
          <w:sz w:val="72"/>
          <w:szCs w:val="72"/>
        </w:rPr>
      </w:pPr>
    </w:p>
    <w:p>
      <w:pPr>
        <w:pStyle w:val="12"/>
        <w:rPr>
          <w:rFonts w:hint="eastAsia" w:ascii="宋体" w:hAnsi="宋体" w:eastAsia="宋体" w:cs="宋体"/>
          <w:sz w:val="72"/>
          <w:szCs w:val="72"/>
        </w:rPr>
      </w:pPr>
    </w:p>
    <w:p>
      <w:pPr>
        <w:pStyle w:val="12"/>
        <w:ind w:firstLine="3240" w:firstLineChars="450"/>
        <w:rPr>
          <w:rFonts w:hint="eastAsia" w:ascii="宋体" w:hAnsi="宋体" w:eastAsia="宋体" w:cs="宋体"/>
          <w:sz w:val="72"/>
          <w:szCs w:val="72"/>
        </w:rPr>
      </w:pPr>
      <w:r>
        <w:rPr>
          <w:rFonts w:hint="eastAsia" w:ascii="宋体" w:hAnsi="宋体" w:eastAsia="宋体" w:cs="宋体"/>
          <w:sz w:val="72"/>
          <w:szCs w:val="72"/>
        </w:rPr>
        <w:t>第三部分</w:t>
      </w:r>
    </w:p>
    <w:p>
      <w:pPr>
        <w:pStyle w:val="12"/>
        <w:jc w:val="center"/>
        <w:rPr>
          <w:rFonts w:hint="eastAsia" w:ascii="宋体" w:hAnsi="宋体" w:eastAsia="宋体" w:cs="宋体"/>
          <w:sz w:val="72"/>
          <w:szCs w:val="72"/>
        </w:rPr>
      </w:pPr>
    </w:p>
    <w:p>
      <w:pPr>
        <w:pStyle w:val="12"/>
        <w:jc w:val="center"/>
        <w:rPr>
          <w:rFonts w:hint="eastAsia" w:ascii="宋体" w:hAnsi="宋体" w:eastAsia="宋体" w:cs="宋体"/>
          <w:sz w:val="72"/>
          <w:szCs w:val="72"/>
        </w:rPr>
      </w:pPr>
      <w:r>
        <w:rPr>
          <w:rFonts w:hint="eastAsia" w:ascii="宋体" w:hAnsi="宋体" w:eastAsia="宋体" w:cs="宋体"/>
          <w:sz w:val="72"/>
          <w:szCs w:val="72"/>
        </w:rPr>
        <w:t>202</w:t>
      </w:r>
      <w:r>
        <w:rPr>
          <w:rFonts w:hint="eastAsia" w:ascii="宋体" w:hAnsi="宋体" w:eastAsia="宋体" w:cs="宋体"/>
          <w:sz w:val="72"/>
          <w:szCs w:val="72"/>
          <w:lang w:val="en-US" w:eastAsia="zh-CN"/>
        </w:rPr>
        <w:t>1</w:t>
      </w:r>
      <w:r>
        <w:rPr>
          <w:rFonts w:hint="eastAsia" w:ascii="宋体" w:hAnsi="宋体" w:eastAsia="宋体" w:cs="宋体"/>
          <w:sz w:val="72"/>
          <w:szCs w:val="72"/>
        </w:rPr>
        <w:t>年度部门决算情况说明</w:t>
      </w:r>
    </w:p>
    <w:p>
      <w:pPr>
        <w:widowControl/>
        <w:jc w:val="left"/>
        <w:rPr>
          <w:rFonts w:cs="Times New Roman"/>
          <w:sz w:val="70"/>
          <w:szCs w:val="70"/>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pPr>
        <w:pStyle w:val="12"/>
        <w:rPr>
          <w:rFonts w:hAnsi="黑体" w:cs="Times New Roman"/>
          <w:b/>
          <w:bCs/>
          <w:sz w:val="32"/>
          <w:szCs w:val="32"/>
        </w:rPr>
      </w:pPr>
      <w:r>
        <w:rPr>
          <w:rFonts w:hint="eastAsia" w:hAnsi="黑体"/>
          <w:b/>
          <w:bCs/>
          <w:sz w:val="32"/>
          <w:szCs w:val="32"/>
        </w:rPr>
        <w:t>一、收入支出决算总体情况说明</w:t>
      </w:r>
    </w:p>
    <w:p>
      <w:pPr>
        <w:pStyle w:val="12"/>
        <w:ind w:firstLine="640" w:firstLineChars="200"/>
        <w:rPr>
          <w:rFonts w:hint="eastAsia" w:ascii="宋体" w:hAnsi="宋体" w:eastAsia="宋体" w:cs="Times New Roman"/>
          <w:sz w:val="32"/>
          <w:szCs w:val="32"/>
          <w:lang w:eastAsia="zh-CN"/>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5691.96</w:t>
      </w:r>
      <w:r>
        <w:rPr>
          <w:rFonts w:hint="eastAsia" w:ascii="宋体" w:hAnsi="宋体" w:eastAsia="宋体" w:cs="宋体"/>
          <w:sz w:val="32"/>
          <w:szCs w:val="32"/>
        </w:rPr>
        <w:t>万元。与上年相比，</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530.13</w:t>
      </w:r>
      <w:r>
        <w:rPr>
          <w:rFonts w:hint="eastAsia" w:ascii="宋体" w:hAnsi="宋体" w:eastAsia="宋体" w:cs="宋体"/>
          <w:color w:val="auto"/>
          <w:sz w:val="32"/>
          <w:szCs w:val="32"/>
        </w:rPr>
        <w:t>万元，</w:t>
      </w:r>
      <w:r>
        <w:rPr>
          <w:rFonts w:hint="eastAsia" w:ascii="宋体" w:hAnsi="宋体" w:eastAsia="宋体" w:cs="宋体"/>
          <w:color w:val="auto"/>
          <w:sz w:val="32"/>
          <w:szCs w:val="32"/>
          <w:lang w:eastAsia="zh-CN"/>
        </w:rPr>
        <w:t>增加</w:t>
      </w:r>
      <w:r>
        <w:rPr>
          <w:rFonts w:hint="eastAsia" w:ascii="宋体" w:hAnsi="宋体" w:eastAsia="宋体" w:cs="宋体"/>
          <w:color w:val="auto"/>
          <w:sz w:val="32"/>
          <w:szCs w:val="32"/>
          <w:lang w:val="en-US" w:eastAsia="zh-CN"/>
        </w:rPr>
        <w:t>10.27</w:t>
      </w:r>
      <w:r>
        <w:rPr>
          <w:rFonts w:ascii="宋体" w:hAnsi="宋体" w:eastAsia="宋体" w:cs="宋体"/>
          <w:color w:val="auto"/>
          <w:sz w:val="32"/>
          <w:szCs w:val="32"/>
        </w:rPr>
        <w:t>%</w:t>
      </w:r>
      <w:r>
        <w:rPr>
          <w:rFonts w:hint="eastAsia" w:ascii="宋体" w:hAnsi="宋体" w:eastAsia="宋体" w:cs="宋体"/>
          <w:color w:val="auto"/>
          <w:sz w:val="32"/>
          <w:szCs w:val="32"/>
        </w:rPr>
        <w:t>，主要是因为</w:t>
      </w:r>
      <w:r>
        <w:rPr>
          <w:rFonts w:hint="eastAsia" w:ascii="宋体" w:hAnsi="宋体" w:eastAsia="宋体" w:cs="宋体"/>
          <w:color w:val="auto"/>
          <w:sz w:val="32"/>
          <w:szCs w:val="32"/>
          <w:lang w:eastAsia="zh-CN"/>
        </w:rPr>
        <w:t>社会保障和就业</w:t>
      </w:r>
      <w:r>
        <w:rPr>
          <w:rFonts w:hint="eastAsia" w:ascii="仿宋" w:hAnsi="仿宋" w:eastAsia="仿宋"/>
          <w:color w:val="auto"/>
          <w:sz w:val="32"/>
          <w:szCs w:val="32"/>
          <w:lang w:eastAsia="zh-CN"/>
        </w:rPr>
        <w:t>、</w:t>
      </w:r>
      <w:r>
        <w:rPr>
          <w:rFonts w:hint="eastAsia" w:ascii="宋体" w:hAnsi="宋体" w:eastAsia="宋体" w:cs="宋体"/>
          <w:color w:val="auto"/>
          <w:sz w:val="32"/>
          <w:szCs w:val="32"/>
          <w:lang w:eastAsia="zh-CN"/>
        </w:rPr>
        <w:t>农林水、疫情防控等工作投入支出加大。</w:t>
      </w:r>
    </w:p>
    <w:p>
      <w:pPr>
        <w:pStyle w:val="12"/>
        <w:rPr>
          <w:rFonts w:hAnsi="黑体" w:cs="Times New Roman"/>
          <w:b/>
          <w:bCs/>
          <w:sz w:val="32"/>
          <w:szCs w:val="32"/>
        </w:rPr>
      </w:pPr>
      <w:r>
        <w:rPr>
          <w:rFonts w:hint="eastAsia" w:hAnsi="黑体"/>
          <w:b/>
          <w:bCs/>
          <w:sz w:val="32"/>
          <w:szCs w:val="32"/>
        </w:rPr>
        <w:t>二、收入决算情况说明</w:t>
      </w:r>
    </w:p>
    <w:p>
      <w:pPr>
        <w:pStyle w:val="12"/>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5691.96</w:t>
      </w:r>
      <w:r>
        <w:rPr>
          <w:rFonts w:hint="eastAsia" w:ascii="宋体" w:hAnsi="宋体" w:eastAsia="宋体" w:cs="宋体"/>
          <w:sz w:val="32"/>
          <w:szCs w:val="32"/>
        </w:rPr>
        <w:t>万元，其中：</w:t>
      </w:r>
      <w:r>
        <w:rPr>
          <w:rFonts w:hint="eastAsia" w:ascii="宋体" w:hAnsi="宋体" w:eastAsia="宋体" w:cs="宋体"/>
          <w:sz w:val="32"/>
          <w:szCs w:val="32"/>
          <w:lang w:val="en-US" w:eastAsia="zh-CN"/>
        </w:rPr>
        <w:t>一般公共预算</w:t>
      </w:r>
      <w:r>
        <w:rPr>
          <w:rFonts w:hint="eastAsia" w:ascii="宋体" w:hAnsi="宋体" w:eastAsia="宋体" w:cs="宋体"/>
          <w:sz w:val="32"/>
          <w:szCs w:val="32"/>
        </w:rPr>
        <w:t>财政拨款收入</w:t>
      </w:r>
      <w:r>
        <w:rPr>
          <w:rFonts w:hint="eastAsia" w:ascii="宋体" w:hAnsi="宋体" w:eastAsia="宋体" w:cs="宋体"/>
          <w:sz w:val="32"/>
          <w:szCs w:val="32"/>
          <w:lang w:val="en-US" w:eastAsia="zh-CN"/>
        </w:rPr>
        <w:t>3466.85</w:t>
      </w:r>
      <w:r>
        <w:rPr>
          <w:rFonts w:hint="eastAsia" w:ascii="宋体" w:hAnsi="宋体" w:eastAsia="宋体" w:cs="宋体"/>
          <w:sz w:val="32"/>
          <w:szCs w:val="32"/>
        </w:rPr>
        <w:t>万元，占</w:t>
      </w:r>
      <w:r>
        <w:rPr>
          <w:rFonts w:hint="eastAsia" w:ascii="宋体" w:hAnsi="宋体" w:eastAsia="宋体" w:cs="宋体"/>
          <w:sz w:val="32"/>
          <w:szCs w:val="32"/>
          <w:lang w:val="en-US" w:eastAsia="zh-CN"/>
        </w:rPr>
        <w:t>60.91</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政府性基金</w:t>
      </w:r>
      <w:r>
        <w:rPr>
          <w:rFonts w:hint="eastAsia" w:ascii="宋体" w:hAnsi="宋体" w:eastAsia="宋体" w:cs="宋体"/>
          <w:sz w:val="32"/>
          <w:szCs w:val="32"/>
        </w:rPr>
        <w:t>财政拨款收入</w:t>
      </w:r>
      <w:r>
        <w:rPr>
          <w:rFonts w:hint="eastAsia" w:ascii="宋体" w:hAnsi="宋体" w:eastAsia="宋体" w:cs="宋体"/>
          <w:sz w:val="32"/>
          <w:szCs w:val="32"/>
          <w:lang w:val="en-US" w:eastAsia="zh-CN"/>
        </w:rPr>
        <w:t>3.00</w:t>
      </w:r>
      <w:r>
        <w:rPr>
          <w:rFonts w:hint="eastAsia" w:ascii="宋体" w:hAnsi="宋体" w:eastAsia="宋体" w:cs="宋体"/>
          <w:sz w:val="32"/>
          <w:szCs w:val="32"/>
        </w:rPr>
        <w:t>万元，占</w:t>
      </w:r>
      <w:r>
        <w:rPr>
          <w:rFonts w:hint="eastAsia" w:ascii="宋体" w:hAnsi="宋体" w:eastAsia="宋体" w:cs="宋体"/>
          <w:sz w:val="32"/>
          <w:szCs w:val="32"/>
          <w:lang w:val="en-US" w:eastAsia="zh-CN"/>
        </w:rPr>
        <w:t>0.05</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2222.11</w:t>
      </w:r>
      <w:r>
        <w:rPr>
          <w:rFonts w:hint="eastAsia" w:ascii="宋体" w:hAnsi="宋体" w:eastAsia="宋体" w:cs="宋体"/>
          <w:sz w:val="32"/>
          <w:szCs w:val="32"/>
        </w:rPr>
        <w:t>万元，占</w:t>
      </w:r>
      <w:r>
        <w:rPr>
          <w:rFonts w:hint="eastAsia" w:ascii="宋体" w:hAnsi="宋体" w:eastAsia="宋体" w:cs="宋体"/>
          <w:sz w:val="32"/>
          <w:szCs w:val="32"/>
          <w:lang w:val="en-US" w:eastAsia="zh-CN"/>
        </w:rPr>
        <w:t>39.04</w:t>
      </w:r>
      <w:r>
        <w:rPr>
          <w:rFonts w:ascii="宋体" w:hAnsi="宋体" w:eastAsia="宋体" w:cs="宋体"/>
          <w:sz w:val="32"/>
          <w:szCs w:val="32"/>
        </w:rPr>
        <w:t>%</w:t>
      </w:r>
      <w:r>
        <w:rPr>
          <w:rFonts w:hint="eastAsia" w:ascii="宋体" w:hAnsi="宋体" w:eastAsia="宋体" w:cs="宋体"/>
          <w:sz w:val="32"/>
          <w:szCs w:val="32"/>
        </w:rPr>
        <w:t>。</w:t>
      </w:r>
    </w:p>
    <w:p>
      <w:pPr>
        <w:pStyle w:val="12"/>
        <w:rPr>
          <w:rFonts w:hAnsi="黑体" w:cs="Times New Roman"/>
          <w:b/>
          <w:bCs/>
          <w:sz w:val="32"/>
          <w:szCs w:val="32"/>
        </w:rPr>
      </w:pPr>
      <w:r>
        <w:rPr>
          <w:rFonts w:hint="eastAsia" w:hAnsi="黑体"/>
          <w:b/>
          <w:bCs/>
          <w:sz w:val="32"/>
          <w:szCs w:val="32"/>
        </w:rPr>
        <w:t>三、支出决算情况说明</w:t>
      </w:r>
    </w:p>
    <w:p>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5691.96</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5691.96</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2"/>
        <w:rPr>
          <w:rFonts w:hAnsi="黑体" w:cs="Times New Roman"/>
          <w:b/>
          <w:bCs/>
          <w:sz w:val="32"/>
          <w:szCs w:val="32"/>
        </w:rPr>
      </w:pPr>
      <w:r>
        <w:rPr>
          <w:rFonts w:hint="eastAsia" w:hAnsi="黑体"/>
          <w:b/>
          <w:bCs/>
          <w:sz w:val="32"/>
          <w:szCs w:val="32"/>
        </w:rPr>
        <w:t>四、财政拨款收入支出决算总体情况说明</w:t>
      </w:r>
    </w:p>
    <w:p>
      <w:pPr>
        <w:pStyle w:val="12"/>
        <w:rPr>
          <w:rFonts w:hint="eastAsia" w:ascii="宋体" w:hAnsi="宋体" w:eastAsia="宋体" w:cs="Times New Roman"/>
          <w:color w:val="FF0000"/>
          <w:sz w:val="32"/>
          <w:szCs w:val="32"/>
          <w:lang w:eastAsia="zh-CN"/>
        </w:rPr>
      </w:pPr>
      <w:r>
        <w:rPr>
          <w:rFonts w:ascii="宋体" w:hAnsi="宋体" w:eastAsia="宋体" w:cs="宋体"/>
          <w:sz w:val="32"/>
          <w:szCs w:val="32"/>
        </w:rPr>
        <w:t xml:space="preserve">    202</w:t>
      </w:r>
      <w:r>
        <w:rPr>
          <w:rFonts w:hint="eastAsia" w:ascii="宋体" w:hAnsi="宋体" w:eastAsia="宋体" w:cs="宋体"/>
          <w:sz w:val="32"/>
          <w:szCs w:val="32"/>
          <w:lang w:val="en-US" w:eastAsia="zh-CN"/>
        </w:rPr>
        <w:t>1</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3469.85</w:t>
      </w:r>
      <w:r>
        <w:rPr>
          <w:rFonts w:hint="eastAsia" w:ascii="宋体" w:hAnsi="宋体" w:eastAsia="宋体" w:cs="宋体"/>
          <w:sz w:val="32"/>
          <w:szCs w:val="32"/>
        </w:rPr>
        <w:t>万元，与上年相比</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增加</w:t>
      </w:r>
      <w:r>
        <w:rPr>
          <w:rFonts w:hint="eastAsia" w:ascii="宋体" w:hAnsi="宋体" w:eastAsia="宋体" w:cs="宋体"/>
          <w:color w:val="auto"/>
          <w:sz w:val="32"/>
          <w:szCs w:val="32"/>
          <w:lang w:val="en-US" w:eastAsia="zh-CN"/>
        </w:rPr>
        <w:t>912.48</w:t>
      </w:r>
      <w:r>
        <w:rPr>
          <w:rFonts w:hint="eastAsia" w:ascii="宋体" w:hAnsi="宋体" w:eastAsia="宋体" w:cs="宋体"/>
          <w:color w:val="auto"/>
          <w:sz w:val="32"/>
          <w:szCs w:val="32"/>
        </w:rPr>
        <w:t>万元</w:t>
      </w:r>
      <w:r>
        <w:rPr>
          <w:rFonts w:hint="eastAsia" w:ascii="宋体" w:hAnsi="宋体" w:eastAsia="宋体" w:cs="宋体"/>
          <w:color w:val="auto"/>
          <w:sz w:val="32"/>
          <w:szCs w:val="32"/>
          <w:lang w:eastAsia="zh-CN"/>
        </w:rPr>
        <w:t>，增加</w:t>
      </w:r>
      <w:r>
        <w:rPr>
          <w:rFonts w:hint="eastAsia" w:ascii="宋体" w:hAnsi="宋体" w:eastAsia="宋体" w:cs="宋体"/>
          <w:color w:val="auto"/>
          <w:sz w:val="32"/>
          <w:szCs w:val="32"/>
          <w:lang w:val="en-US" w:eastAsia="zh-CN"/>
        </w:rPr>
        <w:t>35.68</w:t>
      </w:r>
      <w:r>
        <w:rPr>
          <w:rFonts w:ascii="宋体" w:hAnsi="宋体" w:eastAsia="宋体" w:cs="宋体"/>
          <w:color w:val="auto"/>
          <w:sz w:val="32"/>
          <w:szCs w:val="32"/>
        </w:rPr>
        <w:t>%</w:t>
      </w:r>
      <w:r>
        <w:rPr>
          <w:rFonts w:hint="eastAsia" w:ascii="宋体" w:hAnsi="宋体" w:eastAsia="宋体" w:cs="宋体"/>
          <w:color w:val="auto"/>
          <w:sz w:val="32"/>
          <w:szCs w:val="32"/>
        </w:rPr>
        <w:t>，主要是因为</w:t>
      </w:r>
      <w:r>
        <w:rPr>
          <w:rFonts w:hint="eastAsia" w:ascii="宋体" w:hAnsi="宋体" w:eastAsia="宋体" w:cs="宋体"/>
          <w:color w:val="auto"/>
          <w:sz w:val="32"/>
          <w:szCs w:val="32"/>
          <w:lang w:eastAsia="zh-CN"/>
        </w:rPr>
        <w:t>社会保障和就业</w:t>
      </w:r>
      <w:r>
        <w:rPr>
          <w:rFonts w:hint="eastAsia" w:ascii="仿宋" w:hAnsi="仿宋" w:eastAsia="仿宋"/>
          <w:color w:val="auto"/>
          <w:sz w:val="32"/>
          <w:szCs w:val="32"/>
          <w:lang w:eastAsia="zh-CN"/>
        </w:rPr>
        <w:t>、</w:t>
      </w:r>
      <w:r>
        <w:rPr>
          <w:rFonts w:hint="eastAsia" w:ascii="宋体" w:hAnsi="宋体" w:eastAsia="宋体" w:cs="宋体"/>
          <w:color w:val="auto"/>
          <w:sz w:val="32"/>
          <w:szCs w:val="32"/>
          <w:lang w:eastAsia="zh-CN"/>
        </w:rPr>
        <w:t>农林水、疫情防控等工作投入支出加大。</w:t>
      </w:r>
    </w:p>
    <w:p>
      <w:pPr>
        <w:pStyle w:val="12"/>
        <w:rPr>
          <w:rFonts w:hAnsi="黑体" w:cs="Times New Roman"/>
          <w:b/>
          <w:bCs/>
          <w:sz w:val="32"/>
          <w:szCs w:val="32"/>
        </w:rPr>
      </w:pPr>
      <w:r>
        <w:rPr>
          <w:rFonts w:hint="eastAsia" w:hAnsi="黑体"/>
          <w:b/>
          <w:bCs/>
          <w:sz w:val="32"/>
          <w:szCs w:val="32"/>
        </w:rPr>
        <w:t>五、一般公共预算财政拨款支出决算情况说明</w:t>
      </w:r>
    </w:p>
    <w:p>
      <w:pPr>
        <w:pStyle w:val="12"/>
        <w:ind w:firstLine="640" w:firstLineChars="200"/>
        <w:rPr>
          <w:rFonts w:ascii="宋体" w:hAnsi="宋体" w:eastAsia="宋体" w:cs="Times New Roman"/>
          <w:b/>
          <w:bCs/>
          <w:sz w:val="32"/>
          <w:szCs w:val="32"/>
          <w:highlight w:val="none"/>
        </w:rPr>
      </w:pPr>
      <w:r>
        <w:rPr>
          <w:rFonts w:hint="eastAsia" w:ascii="宋体" w:hAnsi="宋体" w:eastAsia="宋体" w:cs="宋体"/>
          <w:b/>
          <w:bCs/>
          <w:sz w:val="32"/>
          <w:szCs w:val="32"/>
        </w:rPr>
        <w:t>（一）</w:t>
      </w:r>
      <w:r>
        <w:rPr>
          <w:rFonts w:hint="eastAsia" w:ascii="宋体" w:hAnsi="宋体" w:eastAsia="宋体" w:cs="宋体"/>
          <w:b/>
          <w:bCs/>
          <w:sz w:val="32"/>
          <w:szCs w:val="32"/>
          <w:highlight w:val="none"/>
        </w:rPr>
        <w:t>一般公共预算财政拨款支出决算总体情况</w:t>
      </w:r>
    </w:p>
    <w:p>
      <w:pPr>
        <w:pStyle w:val="12"/>
        <w:ind w:firstLine="640" w:firstLineChars="200"/>
        <w:rPr>
          <w:rFonts w:hint="eastAsia" w:ascii="宋体" w:hAnsi="宋体" w:eastAsia="宋体" w:cs="宋体"/>
          <w:sz w:val="32"/>
          <w:szCs w:val="32"/>
          <w:highlight w:val="none"/>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年度一般公共预算财政拨款支出</w:t>
      </w:r>
      <w:r>
        <w:rPr>
          <w:rFonts w:hint="eastAsia" w:ascii="宋体" w:hAnsi="宋体" w:eastAsia="宋体" w:cs="宋体"/>
          <w:sz w:val="32"/>
          <w:szCs w:val="32"/>
          <w:highlight w:val="none"/>
          <w:lang w:val="en-US" w:eastAsia="zh-CN"/>
        </w:rPr>
        <w:t>3469.85</w:t>
      </w:r>
      <w:r>
        <w:rPr>
          <w:rFonts w:hint="eastAsia" w:ascii="宋体" w:hAnsi="宋体" w:eastAsia="宋体" w:cs="宋体"/>
          <w:sz w:val="32"/>
          <w:szCs w:val="32"/>
          <w:highlight w:val="none"/>
        </w:rPr>
        <w:t>万元，占本年支出合计的</w:t>
      </w:r>
      <w:r>
        <w:rPr>
          <w:rFonts w:hint="eastAsia" w:ascii="宋体" w:hAnsi="宋体" w:eastAsia="宋体" w:cs="宋体"/>
          <w:sz w:val="32"/>
          <w:szCs w:val="32"/>
          <w:highlight w:val="none"/>
          <w:lang w:val="en-US" w:eastAsia="zh-CN"/>
        </w:rPr>
        <w:t>60.96</w:t>
      </w:r>
      <w:r>
        <w:rPr>
          <w:rFonts w:ascii="宋体" w:hAnsi="宋体" w:eastAsia="宋体" w:cs="宋体"/>
          <w:sz w:val="32"/>
          <w:szCs w:val="32"/>
          <w:highlight w:val="none"/>
        </w:rPr>
        <w:t>%</w:t>
      </w:r>
      <w:r>
        <w:rPr>
          <w:rFonts w:hint="eastAsia" w:ascii="宋体" w:hAnsi="宋体" w:eastAsia="宋体" w:cs="宋体"/>
          <w:sz w:val="32"/>
          <w:szCs w:val="32"/>
          <w:highlight w:val="none"/>
        </w:rPr>
        <w:t>，与上年相比，财政拨款支出</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lang w:val="en-US" w:eastAsia="zh-CN"/>
        </w:rPr>
        <w:t>912.48</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lang w:val="en-US" w:eastAsia="zh-CN"/>
        </w:rPr>
        <w:t>35.68</w:t>
      </w:r>
      <w:r>
        <w:rPr>
          <w:rFonts w:ascii="宋体" w:hAnsi="宋体" w:eastAsia="宋体" w:cs="宋体"/>
          <w:sz w:val="32"/>
          <w:szCs w:val="32"/>
          <w:highlight w:val="none"/>
        </w:rPr>
        <w:t>%</w:t>
      </w:r>
      <w:r>
        <w:rPr>
          <w:rFonts w:hint="eastAsia" w:ascii="宋体" w:hAnsi="宋体" w:eastAsia="宋体" w:cs="宋体"/>
          <w:sz w:val="32"/>
          <w:szCs w:val="32"/>
          <w:highlight w:val="none"/>
        </w:rPr>
        <w:t>，主要原因是：</w:t>
      </w:r>
      <w:r>
        <w:rPr>
          <w:rFonts w:hint="eastAsia" w:ascii="宋体" w:hAnsi="宋体" w:eastAsia="宋体" w:cs="宋体"/>
          <w:color w:val="auto"/>
          <w:sz w:val="32"/>
          <w:szCs w:val="32"/>
          <w:highlight w:val="none"/>
          <w:lang w:eastAsia="zh-CN"/>
        </w:rPr>
        <w:t>社会保障和就业</w:t>
      </w:r>
      <w:r>
        <w:rPr>
          <w:rFonts w:hint="eastAsia" w:ascii="仿宋" w:hAnsi="仿宋" w:eastAsia="仿宋"/>
          <w:color w:val="auto"/>
          <w:sz w:val="32"/>
          <w:szCs w:val="32"/>
          <w:highlight w:val="none"/>
          <w:lang w:eastAsia="zh-CN"/>
        </w:rPr>
        <w:t>、</w:t>
      </w:r>
      <w:r>
        <w:rPr>
          <w:rFonts w:hint="eastAsia" w:ascii="宋体" w:hAnsi="宋体" w:eastAsia="宋体" w:cs="宋体"/>
          <w:color w:val="auto"/>
          <w:sz w:val="32"/>
          <w:szCs w:val="32"/>
          <w:highlight w:val="none"/>
          <w:lang w:eastAsia="zh-CN"/>
        </w:rPr>
        <w:t>农林水、疫情防控等工作投入支出加大</w:t>
      </w:r>
      <w:r>
        <w:rPr>
          <w:rFonts w:hint="eastAsia" w:ascii="宋体" w:hAnsi="宋体" w:eastAsia="宋体" w:cs="宋体"/>
          <w:sz w:val="32"/>
          <w:szCs w:val="32"/>
          <w:highlight w:val="none"/>
          <w:lang w:val="en-US" w:eastAsia="zh-CN"/>
        </w:rPr>
        <w:t>。</w:t>
      </w:r>
    </w:p>
    <w:p>
      <w:pPr>
        <w:pStyle w:val="12"/>
        <w:ind w:firstLine="640" w:firstLineChars="20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（二）一般公共预算财政拨款支出决算结构情况</w:t>
      </w:r>
    </w:p>
    <w:p>
      <w:pPr>
        <w:pStyle w:val="12"/>
        <w:ind w:firstLine="640" w:firstLineChars="200"/>
        <w:rPr>
          <w:rFonts w:hint="eastAsia" w:ascii="宋体" w:hAnsi="宋体" w:eastAsia="宋体" w:cs="Times New Roman"/>
          <w:sz w:val="32"/>
          <w:szCs w:val="32"/>
          <w:highlight w:val="none"/>
          <w:lang w:val="en-US" w:eastAsia="zh-CN"/>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年度一般公共预算财政拨款支出</w:t>
      </w:r>
      <w:r>
        <w:rPr>
          <w:rFonts w:hint="eastAsia" w:ascii="宋体" w:hAnsi="宋体" w:eastAsia="宋体" w:cs="宋体"/>
          <w:sz w:val="32"/>
          <w:szCs w:val="32"/>
          <w:highlight w:val="none"/>
          <w:lang w:val="en-US" w:eastAsia="zh-CN"/>
        </w:rPr>
        <w:t>3469.85</w:t>
      </w:r>
      <w:r>
        <w:rPr>
          <w:rFonts w:hint="eastAsia" w:ascii="宋体" w:hAnsi="宋体" w:eastAsia="宋体" w:cs="宋体"/>
          <w:sz w:val="32"/>
          <w:szCs w:val="32"/>
          <w:highlight w:val="none"/>
        </w:rPr>
        <w:t>万元，主要用于以下方面：一般公共服务支出</w:t>
      </w:r>
      <w:r>
        <w:rPr>
          <w:rFonts w:hint="eastAsia" w:ascii="宋体" w:hAnsi="宋体" w:eastAsia="宋体" w:cs="宋体"/>
          <w:sz w:val="32"/>
          <w:szCs w:val="32"/>
          <w:highlight w:val="none"/>
          <w:lang w:val="en-US" w:eastAsia="zh-CN"/>
        </w:rPr>
        <w:t>2216.53</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63.88</w:t>
      </w:r>
      <w:r>
        <w:rPr>
          <w:rFonts w:ascii="宋体" w:hAnsi="宋体" w:eastAsia="宋体" w:cs="宋体"/>
          <w:sz w:val="32"/>
          <w:szCs w:val="32"/>
          <w:highlight w:val="none"/>
        </w:rPr>
        <w:t>%</w:t>
      </w:r>
      <w:r>
        <w:rPr>
          <w:rFonts w:hint="eastAsia" w:ascii="宋体" w:hAnsi="宋体" w:eastAsia="宋体" w:cs="宋体"/>
          <w:sz w:val="32"/>
          <w:szCs w:val="32"/>
          <w:highlight w:val="none"/>
        </w:rPr>
        <w:t>；社会保障和就业支出</w:t>
      </w:r>
      <w:r>
        <w:rPr>
          <w:rFonts w:hint="eastAsia" w:ascii="宋体" w:hAnsi="宋体" w:eastAsia="宋体" w:cs="宋体"/>
          <w:sz w:val="32"/>
          <w:szCs w:val="32"/>
          <w:highlight w:val="none"/>
          <w:lang w:val="en-US" w:eastAsia="zh-CN"/>
        </w:rPr>
        <w:t>134.60</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3.88</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r>
        <w:rPr>
          <w:rFonts w:hint="eastAsia" w:ascii="宋体" w:hAnsi="宋体" w:eastAsia="宋体" w:cs="宋体"/>
          <w:color w:val="auto"/>
          <w:sz w:val="32"/>
          <w:szCs w:val="32"/>
          <w:highlight w:val="none"/>
          <w:lang w:val="en-US" w:eastAsia="zh-CN"/>
        </w:rPr>
        <w:t>文化旅游体育和传媒支出2.41</w:t>
      </w:r>
      <w:r>
        <w:rPr>
          <w:rFonts w:hint="eastAsia" w:ascii="宋体" w:hAnsi="宋体" w:eastAsia="宋体" w:cs="宋体"/>
          <w:color w:val="auto"/>
          <w:sz w:val="32"/>
          <w:szCs w:val="32"/>
          <w:highlight w:val="none"/>
        </w:rPr>
        <w:t>万元，占</w:t>
      </w:r>
      <w:r>
        <w:rPr>
          <w:rFonts w:hint="eastAsia" w:ascii="宋体" w:hAnsi="宋体" w:eastAsia="宋体" w:cs="宋体"/>
          <w:color w:val="auto"/>
          <w:sz w:val="32"/>
          <w:szCs w:val="32"/>
          <w:highlight w:val="none"/>
          <w:lang w:val="en-US" w:eastAsia="zh-CN"/>
        </w:rPr>
        <w:t>0.07</w:t>
      </w:r>
      <w:r>
        <w:rPr>
          <w:rFonts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r>
        <w:rPr>
          <w:rFonts w:hint="eastAsia" w:ascii="宋体" w:hAnsi="宋体" w:eastAsia="宋体" w:cs="宋体"/>
          <w:sz w:val="32"/>
          <w:szCs w:val="32"/>
          <w:highlight w:val="none"/>
        </w:rPr>
        <w:t>卫生健康支出</w:t>
      </w:r>
      <w:r>
        <w:rPr>
          <w:rFonts w:hint="eastAsia" w:ascii="宋体" w:hAnsi="宋体" w:eastAsia="宋体" w:cs="宋体"/>
          <w:sz w:val="32"/>
          <w:szCs w:val="32"/>
          <w:highlight w:val="none"/>
          <w:lang w:val="en-US" w:eastAsia="zh-CN"/>
        </w:rPr>
        <w:t>27.68</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0.80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城乡社区支出</w:t>
      </w:r>
      <w:r>
        <w:rPr>
          <w:rFonts w:hint="eastAsia" w:ascii="宋体" w:hAnsi="宋体" w:eastAsia="宋体" w:cs="宋体"/>
          <w:sz w:val="32"/>
          <w:szCs w:val="32"/>
          <w:highlight w:val="none"/>
          <w:lang w:val="en-US" w:eastAsia="zh-CN"/>
        </w:rPr>
        <w:t>213.53</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6.15</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农林水支出</w:t>
      </w:r>
      <w:r>
        <w:rPr>
          <w:rFonts w:hint="eastAsia" w:ascii="宋体" w:hAnsi="宋体" w:eastAsia="宋体" w:cs="宋体"/>
          <w:sz w:val="32"/>
          <w:szCs w:val="32"/>
          <w:highlight w:val="none"/>
          <w:lang w:val="en-US" w:eastAsia="zh-CN"/>
        </w:rPr>
        <w:t>834.79</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24.06</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灾害防治及应急管理支出</w:t>
      </w:r>
      <w:r>
        <w:rPr>
          <w:rFonts w:hint="eastAsia" w:ascii="宋体" w:hAnsi="宋体" w:eastAsia="宋体" w:cs="宋体"/>
          <w:sz w:val="32"/>
          <w:szCs w:val="32"/>
          <w:highlight w:val="none"/>
          <w:lang w:val="en-US" w:eastAsia="zh-CN"/>
        </w:rPr>
        <w:t>37.31</w:t>
      </w:r>
      <w:r>
        <w:rPr>
          <w:rFonts w:hint="eastAsia" w:ascii="宋体" w:hAnsi="宋体" w:eastAsia="宋体" w:cs="宋体"/>
          <w:sz w:val="32"/>
          <w:szCs w:val="32"/>
          <w:highlight w:val="none"/>
        </w:rPr>
        <w:t>万元，占</w:t>
      </w:r>
      <w:r>
        <w:rPr>
          <w:rFonts w:hint="eastAsia" w:ascii="宋体" w:hAnsi="宋体" w:eastAsia="宋体" w:cs="宋体"/>
          <w:sz w:val="32"/>
          <w:szCs w:val="32"/>
          <w:highlight w:val="none"/>
          <w:lang w:val="en-US" w:eastAsia="zh-CN"/>
        </w:rPr>
        <w:t>1.08</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，其他支出</w:t>
      </w:r>
      <w:r>
        <w:rPr>
          <w:rFonts w:hint="eastAsia" w:ascii="宋体" w:hAnsi="宋体" w:eastAsia="宋体" w:cs="宋体"/>
          <w:sz w:val="32"/>
          <w:szCs w:val="32"/>
          <w:highlight w:val="none"/>
          <w:lang w:val="en-US" w:eastAsia="zh-CN"/>
        </w:rPr>
        <w:t>3.00万元，0.08%占%.</w:t>
      </w:r>
    </w:p>
    <w:p>
      <w:pPr>
        <w:pStyle w:val="12"/>
        <w:ind w:firstLine="800" w:firstLineChars="25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（三）一般公共预算财政拨款支出决算具体情况</w:t>
      </w:r>
    </w:p>
    <w:p>
      <w:pPr>
        <w:pStyle w:val="12"/>
        <w:ind w:firstLine="800" w:firstLineChars="250"/>
        <w:rPr>
          <w:rFonts w:ascii="宋体" w:hAnsi="宋体" w:eastAsia="宋体" w:cs="Times New Roman"/>
          <w:sz w:val="32"/>
          <w:szCs w:val="32"/>
          <w:highlight w:val="none"/>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年度一般公共预算财政拨款支出年初预算数为</w:t>
      </w:r>
      <w:r>
        <w:rPr>
          <w:rFonts w:hint="eastAsia" w:ascii="宋体" w:hAnsi="宋体" w:eastAsia="宋体" w:cs="宋体"/>
          <w:sz w:val="32"/>
          <w:szCs w:val="32"/>
          <w:highlight w:val="none"/>
          <w:lang w:val="en-US" w:eastAsia="zh-CN"/>
        </w:rPr>
        <w:t>3469.85</w:t>
      </w:r>
      <w:r>
        <w:rPr>
          <w:rFonts w:hint="eastAsia" w:ascii="宋体" w:hAnsi="宋体" w:eastAsia="宋体" w:cs="宋体"/>
          <w:sz w:val="32"/>
          <w:szCs w:val="32"/>
          <w:highlight w:val="none"/>
        </w:rPr>
        <w:t>万元，支出决算数为</w:t>
      </w:r>
      <w:r>
        <w:rPr>
          <w:rFonts w:hint="eastAsia" w:ascii="宋体" w:hAnsi="宋体" w:eastAsia="宋体" w:cs="宋体"/>
          <w:sz w:val="32"/>
          <w:szCs w:val="32"/>
          <w:highlight w:val="none"/>
          <w:lang w:val="en-US" w:eastAsia="zh-CN"/>
        </w:rPr>
        <w:t>3469.85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rPr>
        <w:t>，其中：</w:t>
      </w:r>
    </w:p>
    <w:p>
      <w:pPr>
        <w:pStyle w:val="12"/>
        <w:ind w:firstLine="800" w:firstLineChars="250"/>
        <w:rPr>
          <w:rFonts w:ascii="宋体" w:hAnsi="宋体" w:eastAsia="宋体" w:cs="Times New Roman"/>
          <w:sz w:val="32"/>
          <w:szCs w:val="32"/>
          <w:highlight w:val="none"/>
        </w:rPr>
      </w:pPr>
      <w:r>
        <w:rPr>
          <w:rFonts w:ascii="宋体" w:hAnsi="宋体" w:eastAsia="宋体" w:cs="宋体"/>
          <w:sz w:val="32"/>
          <w:szCs w:val="32"/>
          <w:highlight w:val="none"/>
        </w:rPr>
        <w:t>1</w:t>
      </w:r>
      <w:r>
        <w:rPr>
          <w:rFonts w:hint="eastAsia" w:ascii="宋体" w:hAnsi="宋体" w:eastAsia="宋体" w:cs="宋体"/>
          <w:sz w:val="32"/>
          <w:szCs w:val="32"/>
          <w:highlight w:val="none"/>
        </w:rPr>
        <w:t>、一般公共服务</w:t>
      </w:r>
      <w:r>
        <w:rPr>
          <w:rFonts w:hint="eastAsia" w:ascii="宋体" w:hAnsi="宋体" w:eastAsia="宋体" w:cs="宋体"/>
          <w:sz w:val="32"/>
          <w:szCs w:val="32"/>
          <w:highlight w:val="none"/>
          <w:lang w:eastAsia="zh-CN"/>
        </w:rPr>
        <w:t>（类）政府办公厅（室）及相关机构事务（款）</w:t>
      </w:r>
      <w:r>
        <w:rPr>
          <w:rFonts w:hint="eastAsia" w:ascii="宋体" w:hAnsi="宋体" w:eastAsia="宋体" w:cs="宋体"/>
          <w:sz w:val="32"/>
          <w:szCs w:val="32"/>
          <w:highlight w:val="none"/>
          <w:lang w:val="en-US" w:eastAsia="zh-CN"/>
        </w:rPr>
        <w:t>行政运行（项）</w:t>
      </w:r>
      <w:r>
        <w:rPr>
          <w:rFonts w:hint="eastAsia" w:ascii="宋体" w:hAnsi="宋体" w:eastAsia="宋体" w:cs="宋体"/>
          <w:sz w:val="32"/>
          <w:szCs w:val="32"/>
          <w:highlight w:val="none"/>
        </w:rPr>
        <w:t>。</w:t>
      </w:r>
    </w:p>
    <w:p>
      <w:pPr>
        <w:pStyle w:val="1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1987.9</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1987.9</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pPr>
        <w:pStyle w:val="12"/>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、一般公共服务</w:t>
      </w:r>
      <w:r>
        <w:rPr>
          <w:rFonts w:hint="eastAsia" w:ascii="宋体" w:hAnsi="宋体" w:eastAsia="宋体" w:cs="宋体"/>
          <w:sz w:val="32"/>
          <w:szCs w:val="32"/>
          <w:highlight w:val="none"/>
          <w:lang w:eastAsia="zh-CN"/>
        </w:rPr>
        <w:t>（类）政府办公厅（室）及相关机构事务（款）</w:t>
      </w:r>
      <w:r>
        <w:rPr>
          <w:rFonts w:hint="eastAsia" w:ascii="宋体" w:hAnsi="宋体" w:eastAsia="宋体" w:cs="宋体"/>
          <w:sz w:val="32"/>
          <w:szCs w:val="32"/>
          <w:highlight w:val="none"/>
          <w:lang w:val="en-US" w:eastAsia="zh-CN"/>
        </w:rPr>
        <w:t>其他政府办公厅（室）及相关机构事务支出（项）</w:t>
      </w:r>
      <w:r>
        <w:rPr>
          <w:rFonts w:hint="eastAsia" w:ascii="宋体" w:hAnsi="宋体" w:eastAsia="宋体" w:cs="宋体"/>
          <w:sz w:val="32"/>
          <w:szCs w:val="32"/>
          <w:highlight w:val="none"/>
        </w:rPr>
        <w:t>。</w:t>
      </w:r>
    </w:p>
    <w:p>
      <w:pPr>
        <w:pStyle w:val="1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70.5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70.5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pPr>
        <w:pStyle w:val="12"/>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、一般公共服务</w:t>
      </w:r>
      <w:r>
        <w:rPr>
          <w:rFonts w:hint="eastAsia" w:ascii="宋体" w:hAnsi="宋体" w:eastAsia="宋体" w:cs="宋体"/>
          <w:sz w:val="32"/>
          <w:szCs w:val="32"/>
          <w:highlight w:val="none"/>
          <w:lang w:eastAsia="zh-CN"/>
        </w:rPr>
        <w:t>（类）发展与改革事务（款）</w:t>
      </w:r>
      <w:r>
        <w:rPr>
          <w:rFonts w:hint="eastAsia" w:ascii="宋体" w:hAnsi="宋体" w:eastAsia="宋体" w:cs="宋体"/>
          <w:sz w:val="32"/>
          <w:szCs w:val="32"/>
          <w:highlight w:val="none"/>
          <w:lang w:val="en-US" w:eastAsia="zh-CN"/>
        </w:rPr>
        <w:t>其他发展与改革事务支出（项）</w:t>
      </w:r>
      <w:r>
        <w:rPr>
          <w:rFonts w:hint="eastAsia" w:ascii="宋体" w:hAnsi="宋体" w:eastAsia="宋体" w:cs="宋体"/>
          <w:sz w:val="32"/>
          <w:szCs w:val="32"/>
          <w:highlight w:val="none"/>
        </w:rPr>
        <w:t>。</w:t>
      </w:r>
    </w:p>
    <w:p>
      <w:pPr>
        <w:pStyle w:val="1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89.67</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89.67</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pPr>
        <w:pStyle w:val="12"/>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t>、一般公共服务</w:t>
      </w:r>
      <w:r>
        <w:rPr>
          <w:rFonts w:hint="eastAsia" w:ascii="宋体" w:hAnsi="宋体" w:eastAsia="宋体" w:cs="宋体"/>
          <w:sz w:val="32"/>
          <w:szCs w:val="32"/>
          <w:highlight w:val="none"/>
          <w:lang w:eastAsia="zh-CN"/>
        </w:rPr>
        <w:t>（类）财政事务（款）</w:t>
      </w:r>
      <w:r>
        <w:rPr>
          <w:rFonts w:hint="eastAsia" w:ascii="宋体" w:hAnsi="宋体" w:eastAsia="宋体" w:cs="宋体"/>
          <w:sz w:val="32"/>
          <w:szCs w:val="32"/>
          <w:highlight w:val="none"/>
          <w:lang w:val="en-US" w:eastAsia="zh-CN"/>
        </w:rPr>
        <w:t>行政运行（项）</w:t>
      </w:r>
      <w:r>
        <w:rPr>
          <w:rFonts w:hint="eastAsia" w:ascii="宋体" w:hAnsi="宋体" w:eastAsia="宋体" w:cs="宋体"/>
          <w:sz w:val="32"/>
          <w:szCs w:val="32"/>
          <w:highlight w:val="none"/>
        </w:rPr>
        <w:t>。</w:t>
      </w:r>
    </w:p>
    <w:p>
      <w:pPr>
        <w:pStyle w:val="1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68.46</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68.46</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pPr>
        <w:pStyle w:val="12"/>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w:t>
      </w:r>
      <w:r>
        <w:rPr>
          <w:rFonts w:hint="eastAsia" w:ascii="宋体" w:hAnsi="宋体" w:eastAsia="宋体" w:cs="宋体"/>
          <w:color w:val="auto"/>
          <w:sz w:val="32"/>
          <w:szCs w:val="32"/>
          <w:highlight w:val="none"/>
        </w:rPr>
        <w:t>文化旅游体育与传媒</w:t>
      </w:r>
      <w:r>
        <w:rPr>
          <w:rFonts w:hint="eastAsia" w:ascii="宋体" w:hAnsi="宋体" w:eastAsia="宋体" w:cs="宋体"/>
          <w:sz w:val="32"/>
          <w:szCs w:val="32"/>
          <w:highlight w:val="none"/>
          <w:lang w:eastAsia="zh-CN"/>
        </w:rPr>
        <w:t>（类）文化和旅游（款）</w:t>
      </w:r>
      <w:r>
        <w:rPr>
          <w:rFonts w:hint="eastAsia" w:ascii="宋体" w:hAnsi="宋体" w:eastAsia="宋体" w:cs="宋体"/>
          <w:sz w:val="32"/>
          <w:szCs w:val="32"/>
          <w:highlight w:val="none"/>
          <w:lang w:val="en-US" w:eastAsia="zh-CN"/>
        </w:rPr>
        <w:t>其他文化和旅游支出（项）</w:t>
      </w:r>
      <w:r>
        <w:rPr>
          <w:rFonts w:hint="eastAsia" w:ascii="宋体" w:hAnsi="宋体" w:eastAsia="宋体" w:cs="宋体"/>
          <w:sz w:val="32"/>
          <w:szCs w:val="32"/>
          <w:highlight w:val="none"/>
        </w:rPr>
        <w:t>。</w:t>
      </w:r>
    </w:p>
    <w:p>
      <w:pPr>
        <w:pStyle w:val="12"/>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2.41</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2.41</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pPr>
        <w:pStyle w:val="12"/>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6</w:t>
      </w:r>
      <w:r>
        <w:rPr>
          <w:rFonts w:hint="eastAsia" w:ascii="宋体" w:hAnsi="宋体" w:eastAsia="宋体" w:cs="宋体"/>
          <w:sz w:val="32"/>
          <w:szCs w:val="32"/>
          <w:highlight w:val="none"/>
        </w:rPr>
        <w:t>、社会保障和就业</w:t>
      </w:r>
      <w:r>
        <w:rPr>
          <w:rFonts w:hint="eastAsia" w:ascii="宋体" w:hAnsi="宋体" w:eastAsia="宋体" w:cs="宋体"/>
          <w:sz w:val="32"/>
          <w:szCs w:val="32"/>
          <w:highlight w:val="none"/>
          <w:lang w:eastAsia="zh-CN"/>
        </w:rPr>
        <w:t>（类）</w:t>
      </w:r>
      <w:r>
        <w:rPr>
          <w:rFonts w:hint="eastAsia" w:ascii="宋体" w:hAnsi="宋体" w:eastAsia="宋体" w:cs="宋体"/>
          <w:sz w:val="32"/>
          <w:szCs w:val="32"/>
          <w:highlight w:val="none"/>
          <w:lang w:val="en-US" w:eastAsia="zh-CN"/>
        </w:rPr>
        <w:t>人力资源和社会保障管理事务</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lang w:val="en-US" w:eastAsia="zh-CN"/>
        </w:rPr>
        <w:t>其他人力资源和社会保障管理事务支出（项）</w:t>
      </w:r>
      <w:r>
        <w:rPr>
          <w:rFonts w:hint="eastAsia" w:ascii="宋体" w:hAnsi="宋体" w:eastAsia="宋体" w:cs="宋体"/>
          <w:sz w:val="32"/>
          <w:szCs w:val="32"/>
          <w:highlight w:val="none"/>
        </w:rPr>
        <w:t>。</w:t>
      </w:r>
    </w:p>
    <w:p>
      <w:pPr>
        <w:pStyle w:val="1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122.46</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122.46</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pPr>
        <w:pStyle w:val="12"/>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7</w:t>
      </w:r>
      <w:r>
        <w:rPr>
          <w:rFonts w:hint="eastAsia" w:ascii="宋体" w:hAnsi="宋体" w:eastAsia="宋体" w:cs="宋体"/>
          <w:sz w:val="32"/>
          <w:szCs w:val="32"/>
          <w:highlight w:val="none"/>
        </w:rPr>
        <w:t>、社会保障和就业</w:t>
      </w:r>
      <w:r>
        <w:rPr>
          <w:rFonts w:hint="eastAsia" w:ascii="宋体" w:hAnsi="宋体" w:eastAsia="宋体" w:cs="宋体"/>
          <w:sz w:val="32"/>
          <w:szCs w:val="32"/>
          <w:highlight w:val="none"/>
          <w:lang w:eastAsia="zh-CN"/>
        </w:rPr>
        <w:t>（类）</w:t>
      </w:r>
      <w:r>
        <w:rPr>
          <w:rFonts w:hint="eastAsia" w:ascii="宋体" w:hAnsi="宋体" w:eastAsia="宋体" w:cs="宋体"/>
          <w:sz w:val="32"/>
          <w:szCs w:val="32"/>
          <w:highlight w:val="none"/>
          <w:lang w:val="en-US" w:eastAsia="zh-CN"/>
        </w:rPr>
        <w:t>退役军人管理事务</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lang w:val="en-US" w:eastAsia="zh-CN"/>
        </w:rPr>
        <w:t>其他退役军人事务管理支出（项）</w:t>
      </w:r>
      <w:r>
        <w:rPr>
          <w:rFonts w:hint="eastAsia" w:ascii="宋体" w:hAnsi="宋体" w:eastAsia="宋体" w:cs="宋体"/>
          <w:sz w:val="32"/>
          <w:szCs w:val="32"/>
          <w:highlight w:val="none"/>
        </w:rPr>
        <w:t>。</w:t>
      </w:r>
    </w:p>
    <w:p>
      <w:pPr>
        <w:pStyle w:val="12"/>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12.14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12.14</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pPr>
        <w:pStyle w:val="12"/>
        <w:numPr>
          <w:ilvl w:val="0"/>
          <w:numId w:val="0"/>
        </w:numPr>
        <w:ind w:firstLine="640" w:firstLineChars="20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lang w:val="en-US" w:eastAsia="zh-CN"/>
        </w:rPr>
        <w:t>8、</w:t>
      </w:r>
      <w:r>
        <w:rPr>
          <w:rFonts w:hint="eastAsia" w:ascii="宋体" w:hAnsi="宋体" w:eastAsia="宋体" w:cs="宋体"/>
          <w:color w:val="auto"/>
          <w:sz w:val="32"/>
          <w:szCs w:val="32"/>
          <w:highlight w:val="none"/>
        </w:rPr>
        <w:t>卫生健康</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卫生健康管理事务（款）其他卫生健康管理事务支出（项）</w:t>
      </w:r>
      <w:r>
        <w:rPr>
          <w:rFonts w:hint="eastAsia" w:ascii="宋体" w:hAnsi="宋体" w:eastAsia="宋体" w:cs="宋体"/>
          <w:color w:val="auto"/>
          <w:sz w:val="32"/>
          <w:szCs w:val="32"/>
          <w:highlight w:val="none"/>
          <w:lang w:eastAsia="zh-CN"/>
        </w:rPr>
        <w:t>。</w:t>
      </w:r>
    </w:p>
    <w:p>
      <w:pPr>
        <w:pStyle w:val="12"/>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27.68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27.68</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r>
        <w:rPr>
          <w:rFonts w:hint="eastAsia" w:ascii="宋体" w:hAnsi="宋体" w:eastAsia="宋体" w:cs="宋体"/>
          <w:sz w:val="32"/>
          <w:szCs w:val="32"/>
          <w:highlight w:val="none"/>
          <w:lang w:eastAsia="zh-CN"/>
        </w:rPr>
        <w:t>。</w:t>
      </w:r>
    </w:p>
    <w:p>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9</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城乡社区支出（类）</w:t>
      </w:r>
      <w:r>
        <w:rPr>
          <w:rFonts w:hint="eastAsia" w:ascii="宋体" w:hAnsi="宋体" w:eastAsia="宋体" w:cs="宋体"/>
          <w:color w:val="auto"/>
          <w:sz w:val="32"/>
          <w:szCs w:val="32"/>
          <w:highlight w:val="none"/>
          <w:lang w:val="en-US" w:eastAsia="zh-CN"/>
        </w:rPr>
        <w:t>城乡社区管理事务（款）城管执法（项）</w:t>
      </w:r>
      <w:r>
        <w:rPr>
          <w:rFonts w:hint="eastAsia" w:ascii="宋体" w:hAnsi="宋体" w:eastAsia="宋体" w:cs="宋体"/>
          <w:color w:val="auto"/>
          <w:sz w:val="32"/>
          <w:szCs w:val="32"/>
          <w:highlight w:val="none"/>
        </w:rPr>
        <w:t>。</w:t>
      </w:r>
    </w:p>
    <w:p>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73.82</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73.82</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城乡社区支出（类）</w:t>
      </w:r>
      <w:r>
        <w:rPr>
          <w:rFonts w:hint="eastAsia" w:ascii="宋体" w:hAnsi="宋体" w:eastAsia="宋体" w:cs="宋体"/>
          <w:color w:val="auto"/>
          <w:sz w:val="32"/>
          <w:szCs w:val="32"/>
          <w:highlight w:val="none"/>
          <w:lang w:val="en-US" w:eastAsia="zh-CN"/>
        </w:rPr>
        <w:t>城乡社区管理事务（款）其他城乡社区管理事务支出（项）</w:t>
      </w:r>
      <w:r>
        <w:rPr>
          <w:rFonts w:hint="eastAsia" w:ascii="宋体" w:hAnsi="宋体" w:eastAsia="宋体" w:cs="宋体"/>
          <w:color w:val="auto"/>
          <w:sz w:val="32"/>
          <w:szCs w:val="32"/>
          <w:highlight w:val="none"/>
        </w:rPr>
        <w:t>。</w:t>
      </w:r>
    </w:p>
    <w:p>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28.81</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28.81</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11</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城乡社区支出（类）</w:t>
      </w:r>
      <w:r>
        <w:rPr>
          <w:rFonts w:hint="eastAsia" w:ascii="宋体" w:hAnsi="宋体" w:eastAsia="宋体" w:cs="宋体"/>
          <w:color w:val="auto"/>
          <w:sz w:val="32"/>
          <w:szCs w:val="32"/>
          <w:highlight w:val="none"/>
          <w:lang w:val="en-US" w:eastAsia="zh-CN"/>
        </w:rPr>
        <w:t>城乡社区环境卫生（款）城乡社区环境卫生（项）</w:t>
      </w:r>
      <w:r>
        <w:rPr>
          <w:rFonts w:hint="eastAsia" w:ascii="宋体" w:hAnsi="宋体" w:eastAsia="宋体" w:cs="宋体"/>
          <w:color w:val="auto"/>
          <w:sz w:val="32"/>
          <w:szCs w:val="32"/>
          <w:highlight w:val="none"/>
        </w:rPr>
        <w:t>。</w:t>
      </w:r>
    </w:p>
    <w:p>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110.9</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110.9</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12</w:t>
      </w:r>
      <w:r>
        <w:rPr>
          <w:rFonts w:hint="eastAsia" w:ascii="宋体" w:hAnsi="宋体" w:eastAsia="宋体" w:cs="宋体"/>
          <w:color w:val="auto"/>
          <w:sz w:val="32"/>
          <w:szCs w:val="32"/>
          <w:highlight w:val="none"/>
        </w:rPr>
        <w:t>、农林水支出</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 xml:space="preserve">农业农村（款）病虫害控制（项） </w:t>
      </w:r>
      <w:r>
        <w:rPr>
          <w:rFonts w:hint="eastAsia" w:ascii="宋体" w:hAnsi="宋体" w:eastAsia="宋体" w:cs="宋体"/>
          <w:color w:val="auto"/>
          <w:sz w:val="32"/>
          <w:szCs w:val="32"/>
          <w:highlight w:val="none"/>
        </w:rPr>
        <w:t>。</w:t>
      </w:r>
    </w:p>
    <w:p>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0.5</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0.5</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13</w:t>
      </w:r>
      <w:r>
        <w:rPr>
          <w:rFonts w:hint="eastAsia" w:ascii="宋体" w:hAnsi="宋体" w:eastAsia="宋体" w:cs="宋体"/>
          <w:color w:val="auto"/>
          <w:sz w:val="32"/>
          <w:szCs w:val="32"/>
          <w:highlight w:val="none"/>
        </w:rPr>
        <w:t>、农林水支出</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 xml:space="preserve">水利（款）水利行业业务管理（项） </w:t>
      </w:r>
      <w:r>
        <w:rPr>
          <w:rFonts w:hint="eastAsia" w:ascii="宋体" w:hAnsi="宋体" w:eastAsia="宋体" w:cs="宋体"/>
          <w:color w:val="auto"/>
          <w:sz w:val="32"/>
          <w:szCs w:val="32"/>
          <w:highlight w:val="none"/>
        </w:rPr>
        <w:t>。</w:t>
      </w:r>
    </w:p>
    <w:p>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0.12</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0.12</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14</w:t>
      </w:r>
      <w:r>
        <w:rPr>
          <w:rFonts w:hint="eastAsia" w:ascii="宋体" w:hAnsi="宋体" w:eastAsia="宋体" w:cs="宋体"/>
          <w:color w:val="auto"/>
          <w:sz w:val="32"/>
          <w:szCs w:val="32"/>
          <w:highlight w:val="none"/>
        </w:rPr>
        <w:t>、农林水支出</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农村综合改革（款）对村民委员会和村党支部的补助（项）</w:t>
      </w:r>
      <w:r>
        <w:rPr>
          <w:rFonts w:hint="eastAsia" w:ascii="宋体" w:hAnsi="宋体" w:eastAsia="宋体" w:cs="宋体"/>
          <w:color w:val="auto"/>
          <w:sz w:val="32"/>
          <w:szCs w:val="32"/>
          <w:highlight w:val="none"/>
        </w:rPr>
        <w:t>。</w:t>
      </w:r>
    </w:p>
    <w:p>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461.93</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461.93</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15</w:t>
      </w:r>
      <w:r>
        <w:rPr>
          <w:rFonts w:hint="eastAsia" w:ascii="宋体" w:hAnsi="宋体" w:eastAsia="宋体" w:cs="宋体"/>
          <w:color w:val="auto"/>
          <w:sz w:val="32"/>
          <w:szCs w:val="32"/>
          <w:highlight w:val="none"/>
        </w:rPr>
        <w:t>、农林水支出</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 xml:space="preserve">农村综合改革（款）其他农村综合改革支出（项） </w:t>
      </w:r>
      <w:r>
        <w:rPr>
          <w:rFonts w:hint="eastAsia" w:ascii="宋体" w:hAnsi="宋体" w:eastAsia="宋体" w:cs="宋体"/>
          <w:color w:val="auto"/>
          <w:sz w:val="32"/>
          <w:szCs w:val="32"/>
          <w:highlight w:val="none"/>
        </w:rPr>
        <w:t>。</w:t>
      </w:r>
    </w:p>
    <w:p>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217.57</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217.57</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16</w:t>
      </w:r>
      <w:r>
        <w:rPr>
          <w:rFonts w:hint="eastAsia" w:ascii="宋体" w:hAnsi="宋体" w:eastAsia="宋体" w:cs="宋体"/>
          <w:color w:val="auto"/>
          <w:sz w:val="32"/>
          <w:szCs w:val="32"/>
          <w:highlight w:val="none"/>
        </w:rPr>
        <w:t>、农林水支出</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 xml:space="preserve">其他农林水支出（款）其他农林水支出（项） </w:t>
      </w:r>
      <w:r>
        <w:rPr>
          <w:rFonts w:hint="eastAsia" w:ascii="宋体" w:hAnsi="宋体" w:eastAsia="宋体" w:cs="宋体"/>
          <w:color w:val="auto"/>
          <w:sz w:val="32"/>
          <w:szCs w:val="32"/>
          <w:highlight w:val="none"/>
        </w:rPr>
        <w:t>。</w:t>
      </w:r>
    </w:p>
    <w:p>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154.67</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154.67</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pPr>
        <w:pStyle w:val="12"/>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17</w:t>
      </w:r>
      <w:r>
        <w:rPr>
          <w:rFonts w:hint="eastAsia" w:ascii="宋体" w:hAnsi="宋体" w:eastAsia="宋体" w:cs="宋体"/>
          <w:color w:val="auto"/>
          <w:sz w:val="32"/>
          <w:szCs w:val="32"/>
          <w:highlight w:val="none"/>
        </w:rPr>
        <w:t>、灾害防治及应急管理支出</w:t>
      </w:r>
      <w:r>
        <w:rPr>
          <w:rFonts w:hint="eastAsia" w:ascii="宋体" w:hAnsi="宋体" w:eastAsia="宋体" w:cs="宋体"/>
          <w:color w:val="auto"/>
          <w:sz w:val="32"/>
          <w:szCs w:val="32"/>
          <w:highlight w:val="none"/>
          <w:lang w:eastAsia="zh-CN"/>
        </w:rPr>
        <w:t>（类）</w:t>
      </w:r>
      <w:r>
        <w:rPr>
          <w:rFonts w:hint="eastAsia" w:ascii="宋体" w:hAnsi="宋体" w:eastAsia="宋体" w:cs="宋体"/>
          <w:color w:val="auto"/>
          <w:sz w:val="32"/>
          <w:szCs w:val="32"/>
          <w:highlight w:val="none"/>
          <w:lang w:val="en-US" w:eastAsia="zh-CN"/>
        </w:rPr>
        <w:t xml:space="preserve"> 应急管理事务（款） 其他应急管理支出（项）</w:t>
      </w:r>
      <w:r>
        <w:rPr>
          <w:rFonts w:hint="eastAsia" w:ascii="宋体" w:hAnsi="宋体" w:eastAsia="宋体" w:cs="宋体"/>
          <w:color w:val="auto"/>
          <w:sz w:val="32"/>
          <w:szCs w:val="32"/>
          <w:highlight w:val="none"/>
        </w:rPr>
        <w:t>。</w:t>
      </w:r>
    </w:p>
    <w:p>
      <w:pPr>
        <w:pStyle w:val="12"/>
        <w:ind w:firstLine="800" w:firstLineChars="25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37.31</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37.31</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pPr>
        <w:pStyle w:val="12"/>
        <w:numPr>
          <w:ilvl w:val="0"/>
          <w:numId w:val="2"/>
        </w:numPr>
        <w:ind w:firstLine="800" w:firstLine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其他支出（类）彩票公益金安排的支出（款）用于其他社会公益事业的彩票公益金支出（项）。</w:t>
      </w:r>
    </w:p>
    <w:p>
      <w:pPr>
        <w:pStyle w:val="12"/>
        <w:ind w:firstLine="800" w:firstLineChars="250"/>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 xml:space="preserve"> </w:t>
      </w: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3</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3</w:t>
      </w:r>
      <w:r>
        <w:rPr>
          <w:rFonts w:hint="eastAsia" w:ascii="宋体" w:hAnsi="宋体" w:eastAsia="宋体" w:cs="宋体"/>
          <w:color w:val="auto"/>
          <w:sz w:val="32"/>
          <w:szCs w:val="32"/>
          <w:highlight w:val="none"/>
        </w:rPr>
        <w:t>万元，完成年初预算的</w:t>
      </w:r>
      <w:r>
        <w:rPr>
          <w:rFonts w:hint="eastAsia" w:ascii="宋体" w:hAnsi="宋体" w:eastAsia="宋体" w:cs="宋体"/>
          <w:color w:val="auto"/>
          <w:sz w:val="32"/>
          <w:szCs w:val="32"/>
          <w:highlight w:val="none"/>
          <w:lang w:val="en-US" w:eastAsia="zh-CN"/>
        </w:rPr>
        <w:t>100</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lang w:eastAsia="zh-CN"/>
        </w:rPr>
        <w:t>。</w:t>
      </w:r>
    </w:p>
    <w:p>
      <w:pPr>
        <w:pStyle w:val="12"/>
        <w:rPr>
          <w:rFonts w:hAnsi="黑体" w:cs="Times New Roman"/>
          <w:b/>
          <w:bCs/>
          <w:sz w:val="32"/>
          <w:szCs w:val="32"/>
          <w:highlight w:val="none"/>
        </w:rPr>
      </w:pPr>
      <w:r>
        <w:rPr>
          <w:rFonts w:hint="eastAsia" w:hAnsi="黑体"/>
          <w:b/>
          <w:bCs/>
          <w:sz w:val="32"/>
          <w:szCs w:val="32"/>
          <w:highlight w:val="none"/>
        </w:rPr>
        <w:t>六、一般公共预算财政拨款基本支出决算情况说明</w:t>
      </w:r>
    </w:p>
    <w:p>
      <w:pPr>
        <w:pStyle w:val="12"/>
        <w:ind w:firstLine="640" w:firstLineChars="200"/>
        <w:rPr>
          <w:rFonts w:hint="eastAsia" w:ascii="宋体" w:hAnsi="宋体" w:eastAsia="宋体" w:cs="宋体"/>
          <w:sz w:val="32"/>
          <w:szCs w:val="32"/>
          <w:lang w:val="en-US" w:eastAsia="zh-CN"/>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年度一般公共预算财政拨款基本支出</w:t>
      </w:r>
      <w:r>
        <w:rPr>
          <w:rFonts w:hint="eastAsia" w:ascii="宋体" w:hAnsi="宋体" w:eastAsia="宋体" w:cs="宋体"/>
          <w:sz w:val="32"/>
          <w:szCs w:val="32"/>
          <w:highlight w:val="none"/>
          <w:lang w:val="en-US" w:eastAsia="zh-CN"/>
        </w:rPr>
        <w:t>3466.85</w:t>
      </w:r>
      <w:r>
        <w:rPr>
          <w:rFonts w:hint="eastAsia" w:ascii="宋体" w:hAnsi="宋体" w:eastAsia="宋体" w:cs="宋体"/>
          <w:sz w:val="32"/>
          <w:szCs w:val="32"/>
          <w:highlight w:val="none"/>
        </w:rPr>
        <w:t>万元，其中：人员经费</w:t>
      </w:r>
      <w:r>
        <w:rPr>
          <w:rFonts w:hint="eastAsia" w:ascii="宋体" w:hAnsi="宋体" w:eastAsia="宋体" w:cs="宋体"/>
          <w:sz w:val="32"/>
          <w:szCs w:val="32"/>
          <w:highlight w:val="none"/>
          <w:lang w:val="en-US" w:eastAsia="zh-CN"/>
        </w:rPr>
        <w:t>2829.85</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81.63</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主要包括基本工资、津贴补贴、奖金、伙食补助费</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lang w:val="en-US" w:eastAsia="zh-CN"/>
        </w:rPr>
        <w:t>机关事业单位基本养老保险缴费、职业年金缴费、其他</w:t>
      </w:r>
      <w:r>
        <w:rPr>
          <w:rFonts w:hint="eastAsia" w:ascii="宋体" w:hAnsi="宋体" w:eastAsia="宋体" w:cs="宋体"/>
          <w:sz w:val="32"/>
          <w:szCs w:val="32"/>
          <w:lang w:val="en-US" w:eastAsia="zh-CN"/>
        </w:rPr>
        <w:t>社会保障缴费、住房公积金</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对个人和家庭的补助、救济费</w:t>
      </w:r>
      <w:r>
        <w:rPr>
          <w:rFonts w:hint="eastAsia" w:ascii="宋体" w:hAnsi="宋体" w:eastAsia="宋体" w:cs="宋体"/>
          <w:sz w:val="32"/>
          <w:szCs w:val="32"/>
          <w:lang w:eastAsia="zh-CN"/>
        </w:rPr>
        <w:t>等</w:t>
      </w:r>
      <w:r>
        <w:rPr>
          <w:rFonts w:hint="eastAsia" w:ascii="宋体" w:hAnsi="宋体" w:eastAsia="宋体" w:cs="宋体"/>
          <w:sz w:val="32"/>
          <w:szCs w:val="32"/>
        </w:rPr>
        <w:t>；公用经费</w:t>
      </w:r>
      <w:r>
        <w:rPr>
          <w:rFonts w:hint="eastAsia" w:ascii="宋体" w:hAnsi="宋体" w:eastAsia="宋体" w:cs="宋体"/>
          <w:sz w:val="32"/>
          <w:szCs w:val="32"/>
          <w:lang w:val="en-US" w:eastAsia="zh-CN"/>
        </w:rPr>
        <w:t>637</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18.37</w:t>
      </w:r>
      <w:r>
        <w:rPr>
          <w:rFonts w:ascii="宋体" w:hAnsi="宋体" w:eastAsia="宋体" w:cs="宋体"/>
          <w:sz w:val="32"/>
          <w:szCs w:val="32"/>
        </w:rPr>
        <w:t>%</w:t>
      </w:r>
      <w:r>
        <w:rPr>
          <w:rFonts w:hint="eastAsia" w:ascii="宋体" w:hAnsi="宋体" w:eastAsia="宋体" w:cs="宋体"/>
          <w:sz w:val="32"/>
          <w:szCs w:val="32"/>
        </w:rPr>
        <w:t>，主要包括办公费、印刷费、咨询费、手续费</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水</w:t>
      </w:r>
      <w:r>
        <w:rPr>
          <w:rFonts w:hint="eastAsia" w:ascii="宋体" w:hAnsi="宋体" w:eastAsia="宋体" w:cs="宋体"/>
          <w:sz w:val="32"/>
          <w:szCs w:val="32"/>
        </w:rPr>
        <w:t>费</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维修（护）费、租赁费、公务接待费、专用材料费、专用燃料费、劳务费、其他交通费用、其他商品和服务支出</w:t>
      </w:r>
      <w:r>
        <w:rPr>
          <w:rFonts w:hint="eastAsia" w:ascii="宋体" w:hAnsi="宋体" w:eastAsia="宋体" w:cs="宋体"/>
          <w:sz w:val="32"/>
          <w:szCs w:val="32"/>
          <w:lang w:eastAsia="zh-CN"/>
        </w:rPr>
        <w:t>等。</w:t>
      </w:r>
    </w:p>
    <w:p>
      <w:pPr>
        <w:pStyle w:val="12"/>
        <w:rPr>
          <w:rFonts w:hAnsi="黑体" w:cs="Times New Roman"/>
          <w:b/>
          <w:bCs/>
          <w:sz w:val="32"/>
          <w:szCs w:val="32"/>
        </w:rPr>
      </w:pPr>
      <w:r>
        <w:rPr>
          <w:rFonts w:hint="eastAsia" w:hAnsi="黑体"/>
          <w:b/>
          <w:bCs/>
          <w:sz w:val="32"/>
          <w:szCs w:val="32"/>
        </w:rPr>
        <w:t>七、一般公共预算财政拨款三公经费支出决算情况说明</w:t>
      </w:r>
    </w:p>
    <w:p>
      <w:pPr>
        <w:pStyle w:val="12"/>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2"/>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11.4</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9.43</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82.72</w:t>
      </w:r>
      <w:r>
        <w:rPr>
          <w:rFonts w:ascii="宋体" w:hAnsi="宋体" w:eastAsia="宋体" w:cs="宋体"/>
          <w:sz w:val="32"/>
          <w:szCs w:val="32"/>
        </w:rPr>
        <w:t>%</w:t>
      </w:r>
      <w:r>
        <w:rPr>
          <w:rFonts w:hint="eastAsia" w:ascii="宋体" w:hAnsi="宋体" w:eastAsia="宋体" w:cs="宋体"/>
          <w:sz w:val="32"/>
          <w:szCs w:val="32"/>
        </w:rPr>
        <w:t>，其中：</w:t>
      </w:r>
    </w:p>
    <w:p>
      <w:pPr>
        <w:pStyle w:val="12"/>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与上年无增减变化</w:t>
      </w:r>
      <w:r>
        <w:rPr>
          <w:rFonts w:hint="eastAsia" w:ascii="宋体" w:hAnsi="宋体" w:eastAsia="宋体" w:cs="宋体"/>
          <w:sz w:val="32"/>
          <w:szCs w:val="32"/>
          <w:lang w:eastAsia="zh-CN"/>
        </w:rPr>
        <w:t>。</w:t>
      </w:r>
    </w:p>
    <w:p>
      <w:pPr>
        <w:pStyle w:val="12"/>
        <w:ind w:firstLine="800" w:firstLineChars="250"/>
        <w:rPr>
          <w:rFonts w:ascii="宋体" w:hAnsi="宋体" w:eastAsia="宋体" w:cs="Times New Roman"/>
          <w:sz w:val="32"/>
          <w:szCs w:val="32"/>
        </w:rPr>
      </w:pPr>
      <w:r>
        <w:rPr>
          <w:rFonts w:hint="eastAsia" w:ascii="宋体" w:hAnsi="宋体" w:eastAsia="宋体" w:cs="Times New Roman"/>
          <w:sz w:val="32"/>
          <w:szCs w:val="32"/>
        </w:rPr>
        <w:t>公务接待费支出预算为</w:t>
      </w:r>
      <w:r>
        <w:rPr>
          <w:rFonts w:hint="eastAsia" w:ascii="宋体" w:hAnsi="宋体" w:eastAsia="宋体" w:cs="宋体"/>
          <w:sz w:val="32"/>
          <w:szCs w:val="32"/>
          <w:lang w:val="en-US" w:eastAsia="zh-CN"/>
        </w:rPr>
        <w:t>11.4</w:t>
      </w:r>
      <w:r>
        <w:rPr>
          <w:rFonts w:hint="eastAsia" w:ascii="宋体" w:hAnsi="宋体" w:eastAsia="宋体" w:cs="Times New Roman"/>
          <w:sz w:val="32"/>
          <w:szCs w:val="32"/>
        </w:rPr>
        <w:t>万元，支出决算为</w:t>
      </w:r>
      <w:r>
        <w:rPr>
          <w:rFonts w:hint="eastAsia" w:ascii="宋体" w:hAnsi="宋体" w:eastAsia="宋体" w:cs="宋体"/>
          <w:sz w:val="32"/>
          <w:szCs w:val="32"/>
          <w:lang w:val="en-US" w:eastAsia="zh-CN"/>
        </w:rPr>
        <w:t>9.43</w:t>
      </w:r>
      <w:r>
        <w:rPr>
          <w:rFonts w:hint="eastAsia" w:ascii="宋体" w:hAnsi="宋体" w:eastAsia="宋体" w:cs="Times New Roman"/>
          <w:sz w:val="32"/>
          <w:szCs w:val="32"/>
        </w:rPr>
        <w:t>万元，完成预算的</w:t>
      </w:r>
      <w:r>
        <w:rPr>
          <w:rFonts w:hint="eastAsia" w:ascii="宋体" w:hAnsi="宋体" w:eastAsia="宋体" w:cs="宋体"/>
          <w:sz w:val="32"/>
          <w:szCs w:val="32"/>
          <w:lang w:val="en-US" w:eastAsia="zh-CN"/>
        </w:rPr>
        <w:t>82.72</w:t>
      </w:r>
      <w:r>
        <w:rPr>
          <w:rFonts w:ascii="宋体" w:hAnsi="宋体" w:eastAsia="宋体" w:cs="Times New Roman"/>
          <w:sz w:val="32"/>
          <w:szCs w:val="32"/>
        </w:rPr>
        <w:t>%</w:t>
      </w:r>
      <w:r>
        <w:rPr>
          <w:rFonts w:hint="eastAsia" w:ascii="宋体" w:hAnsi="宋体" w:eastAsia="宋体" w:cs="Times New Roman"/>
          <w:sz w:val="32"/>
          <w:szCs w:val="32"/>
        </w:rPr>
        <w:t>，决算数小于年初预算数的主要原因是</w:t>
      </w:r>
      <w:r>
        <w:rPr>
          <w:rFonts w:hint="eastAsia" w:ascii="宋体" w:hAnsi="宋体" w:eastAsia="宋体" w:cs="Times New Roman"/>
          <w:sz w:val="32"/>
          <w:szCs w:val="32"/>
          <w:lang w:eastAsia="zh-CN"/>
        </w:rPr>
        <w:t>严格执行上级公务接待的相关要求，控制效果明显</w:t>
      </w:r>
      <w:r>
        <w:rPr>
          <w:rFonts w:hint="eastAsia" w:ascii="宋体" w:hAnsi="宋体" w:eastAsia="宋体" w:cs="Times New Roman"/>
          <w:sz w:val="32"/>
          <w:szCs w:val="32"/>
        </w:rPr>
        <w:t>，与上年相比减少</w:t>
      </w:r>
      <w:r>
        <w:rPr>
          <w:rFonts w:hint="eastAsia" w:ascii="宋体" w:hAnsi="宋体" w:eastAsia="宋体" w:cs="Times New Roman"/>
          <w:sz w:val="32"/>
          <w:szCs w:val="32"/>
          <w:lang w:val="en-US" w:eastAsia="zh-CN"/>
        </w:rPr>
        <w:t>6.86</w:t>
      </w:r>
      <w:r>
        <w:rPr>
          <w:rFonts w:hint="eastAsia" w:ascii="宋体" w:hAnsi="宋体" w:eastAsia="宋体" w:cs="Times New Roman"/>
          <w:sz w:val="32"/>
          <w:szCs w:val="32"/>
        </w:rPr>
        <w:t>万元，减少</w:t>
      </w:r>
      <w:r>
        <w:rPr>
          <w:rFonts w:hint="eastAsia" w:ascii="仿宋_GB2312" w:hAnsi="仿宋_GB2312" w:eastAsia="仿宋_GB2312" w:cs="仿宋_GB2312"/>
          <w:color w:val="auto"/>
          <w:sz w:val="32"/>
          <w:lang w:val="en-US" w:eastAsia="zh-CN"/>
        </w:rPr>
        <w:t>42.11</w:t>
      </w:r>
      <w:r>
        <w:rPr>
          <w:rFonts w:ascii="宋体" w:hAnsi="宋体" w:eastAsia="宋体" w:cs="Times New Roman"/>
          <w:sz w:val="32"/>
          <w:szCs w:val="32"/>
        </w:rPr>
        <w:t>%</w:t>
      </w:r>
      <w:r>
        <w:rPr>
          <w:rFonts w:hint="eastAsia" w:ascii="宋体" w:hAnsi="宋体" w:eastAsia="宋体" w:cs="Times New Roman"/>
          <w:sz w:val="32"/>
          <w:szCs w:val="32"/>
          <w:lang w:eastAsia="zh-CN"/>
        </w:rPr>
        <w:t>，</w:t>
      </w:r>
      <w:r>
        <w:rPr>
          <w:rFonts w:hint="eastAsia" w:ascii="宋体" w:hAnsi="宋体" w:eastAsia="宋体" w:cs="Times New Roman"/>
          <w:sz w:val="32"/>
          <w:szCs w:val="32"/>
        </w:rPr>
        <w:t>减少的主要原因是</w:t>
      </w:r>
      <w:r>
        <w:rPr>
          <w:rFonts w:hint="eastAsia" w:ascii="宋体" w:hAnsi="宋体" w:eastAsia="宋体" w:cs="Times New Roman"/>
          <w:sz w:val="32"/>
          <w:szCs w:val="32"/>
          <w:lang w:val="en-US" w:eastAsia="zh-CN"/>
        </w:rPr>
        <w:t>进一步落实上级要求，严格压缩“三公”消费支出，并严格审批“三公”消费支出的申报，确定执行有效果</w:t>
      </w:r>
      <w:r>
        <w:rPr>
          <w:rFonts w:hint="eastAsia" w:ascii="宋体" w:hAnsi="宋体" w:eastAsia="宋体" w:cs="Times New Roman"/>
          <w:sz w:val="32"/>
          <w:szCs w:val="32"/>
        </w:rPr>
        <w:t>。</w:t>
      </w:r>
    </w:p>
    <w:p>
      <w:pPr>
        <w:pStyle w:val="12"/>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与上年无增减变化</w:t>
      </w:r>
      <w:r>
        <w:rPr>
          <w:rFonts w:hint="eastAsia" w:ascii="宋体" w:hAnsi="宋体" w:eastAsia="宋体" w:cs="宋体"/>
          <w:sz w:val="32"/>
          <w:szCs w:val="32"/>
          <w:lang w:eastAsia="zh-CN"/>
        </w:rPr>
        <w:t>。</w:t>
      </w:r>
    </w:p>
    <w:p>
      <w:pPr>
        <w:pStyle w:val="12"/>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2"/>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9.43</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w:t>
      </w:r>
    </w:p>
    <w:p>
      <w:pPr>
        <w:pStyle w:val="12"/>
        <w:ind w:firstLine="640" w:firstLineChars="200"/>
        <w:rPr>
          <w:rFonts w:hint="eastAsia" w:ascii="宋体" w:hAnsi="宋体" w:eastAsia="宋体" w:cs="Times New Roman"/>
          <w:b/>
          <w:bCs/>
          <w:sz w:val="32"/>
          <w:szCs w:val="32"/>
          <w:lang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万元，全年安排因公出国（境）团组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个，累计</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p>
    <w:p>
      <w:pPr>
        <w:pStyle w:val="12"/>
        <w:ind w:firstLine="640" w:firstLineChars="200"/>
        <w:rPr>
          <w:rFonts w:hint="eastAsia" w:ascii="宋体" w:hAnsi="宋体" w:eastAsia="宋体" w:cs="宋体"/>
          <w:sz w:val="32"/>
          <w:szCs w:val="32"/>
          <w:lang w:eastAsia="zh-CN"/>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9.43</w:t>
      </w:r>
      <w:r>
        <w:rPr>
          <w:rFonts w:hint="eastAsia" w:ascii="宋体" w:hAnsi="宋体" w:eastAsia="宋体" w:cs="宋体"/>
          <w:sz w:val="32"/>
          <w:szCs w:val="32"/>
        </w:rPr>
        <w:t>万元，</w:t>
      </w:r>
      <w:r>
        <w:rPr>
          <w:rFonts w:hint="eastAsia" w:ascii="宋体" w:hAnsi="宋体" w:eastAsia="宋体" w:cs="宋体"/>
          <w:sz w:val="32"/>
          <w:szCs w:val="32"/>
          <w:lang w:eastAsia="zh-CN"/>
        </w:rPr>
        <w:t>全年共接待来访团组</w:t>
      </w:r>
      <w:r>
        <w:rPr>
          <w:rFonts w:hint="eastAsia" w:ascii="宋体" w:hAnsi="宋体" w:eastAsia="宋体" w:cs="宋体"/>
          <w:sz w:val="32"/>
          <w:szCs w:val="32"/>
          <w:lang w:val="en-US" w:eastAsia="zh-CN"/>
        </w:rPr>
        <w:t>341</w:t>
      </w:r>
      <w:r>
        <w:rPr>
          <w:rFonts w:hint="eastAsia" w:ascii="宋体" w:hAnsi="宋体" w:eastAsia="宋体" w:cs="宋体"/>
          <w:sz w:val="32"/>
          <w:szCs w:val="32"/>
          <w:lang w:eastAsia="zh-CN"/>
        </w:rPr>
        <w:t>个、来宾</w:t>
      </w:r>
      <w:r>
        <w:rPr>
          <w:rFonts w:hint="eastAsia" w:ascii="宋体" w:hAnsi="宋体" w:eastAsia="宋体" w:cs="宋体"/>
          <w:sz w:val="32"/>
          <w:szCs w:val="32"/>
          <w:lang w:val="en-US" w:eastAsia="zh-CN"/>
        </w:rPr>
        <w:t>2395人次，主要是园区招商引资、上级公务接待等发生的接待支出</w:t>
      </w:r>
      <w:r>
        <w:rPr>
          <w:rFonts w:hint="eastAsia" w:ascii="宋体" w:hAnsi="宋体" w:eastAsia="宋体" w:cs="宋体"/>
          <w:sz w:val="32"/>
          <w:szCs w:val="32"/>
          <w:lang w:eastAsia="zh-CN"/>
        </w:rPr>
        <w:t>。</w:t>
      </w:r>
    </w:p>
    <w:p>
      <w:pPr>
        <w:pStyle w:val="12"/>
        <w:ind w:firstLine="640" w:firstLineChars="200"/>
        <w:rPr>
          <w:rFonts w:hint="eastAsia" w:ascii="宋体" w:hAnsi="宋体" w:eastAsia="宋体" w:cs="宋体"/>
          <w:sz w:val="32"/>
          <w:szCs w:val="32"/>
          <w:lang w:val="en-US" w:eastAsia="zh-CN"/>
        </w:rPr>
      </w:pPr>
      <w:r>
        <w:rPr>
          <w:rFonts w:ascii="宋体" w:hAnsi="宋体" w:eastAsia="宋体" w:cs="宋体"/>
          <w:sz w:val="32"/>
          <w:szCs w:val="32"/>
        </w:rPr>
        <w:t>3</w:t>
      </w:r>
      <w:r>
        <w:rPr>
          <w:rFonts w:hint="eastAsia" w:ascii="宋体" w:hAnsi="宋体" w:eastAsia="宋体" w:cs="宋体"/>
          <w:sz w:val="32"/>
          <w:szCs w:val="32"/>
        </w:rPr>
        <w:t>、公务用车购置费及运行维护费支出决算为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w:t>
      </w:r>
      <w:r>
        <w:rPr>
          <w:rFonts w:hint="eastAsia" w:ascii="宋体" w:hAnsi="宋体" w:eastAsia="宋体" w:cs="宋体"/>
          <w:sz w:val="32"/>
          <w:szCs w:val="32"/>
          <w:lang w:val="en-US" w:eastAsia="zh-CN"/>
        </w:rPr>
        <w:t>公务用车购置费0万元，更新公务用车0辆，公务用车运行维护费0万元。截至2021年12月31日，我单位开支财政拨款的公务用车保有量为0辆。</w:t>
      </w:r>
    </w:p>
    <w:p>
      <w:pPr>
        <w:pStyle w:val="12"/>
        <w:rPr>
          <w:rFonts w:hint="eastAsia" w:hAnsi="黑体"/>
          <w:b/>
          <w:bCs/>
          <w:sz w:val="32"/>
          <w:szCs w:val="32"/>
        </w:rPr>
      </w:pPr>
      <w:r>
        <w:rPr>
          <w:rFonts w:hint="eastAsia" w:hAnsi="黑体"/>
          <w:b/>
          <w:bCs/>
          <w:sz w:val="32"/>
          <w:szCs w:val="32"/>
        </w:rPr>
        <w:t>八、政府性基金预算收入支出决算情况</w:t>
      </w:r>
    </w:p>
    <w:p>
      <w:pPr>
        <w:pStyle w:val="12"/>
        <w:ind w:firstLine="640" w:firstLineChars="200"/>
        <w:rPr>
          <w:rFonts w:hint="eastAsia" w:ascii="仿宋" w:hAnsi="仿宋" w:eastAsia="仿宋" w:cs="仿宋"/>
          <w:kern w:val="0"/>
          <w:sz w:val="32"/>
          <w:szCs w:val="32"/>
          <w:lang w:val="en-US" w:eastAsia="zh-CN" w:bidi="ar-SA"/>
        </w:rPr>
      </w:pPr>
      <w:r>
        <w:rPr>
          <w:rFonts w:ascii="宋体" w:hAnsi="宋体" w:eastAsia="宋体" w:cs="宋体"/>
          <w:sz w:val="32"/>
          <w:szCs w:val="32"/>
        </w:rPr>
        <w:t>2021</w:t>
      </w:r>
      <w:r>
        <w:rPr>
          <w:rFonts w:hint="eastAsia" w:ascii="宋体" w:hAnsi="宋体" w:eastAsia="宋体" w:cs="宋体"/>
          <w:sz w:val="32"/>
          <w:szCs w:val="32"/>
        </w:rPr>
        <w:t>年度政府性基金预算财政拨款收入</w:t>
      </w:r>
      <w:r>
        <w:rPr>
          <w:rFonts w:hint="eastAsia" w:ascii="宋体" w:hAnsi="宋体" w:eastAsia="宋体" w:cs="宋体"/>
          <w:sz w:val="32"/>
          <w:szCs w:val="32"/>
          <w:lang w:val="en-US" w:eastAsia="zh-CN"/>
        </w:rPr>
        <w:t>3</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w:t>
      </w:r>
      <w:r>
        <w:rPr>
          <w:rFonts w:hint="eastAsia" w:ascii="宋体" w:hAnsi="宋体" w:eastAsia="宋体" w:cs="宋体"/>
          <w:sz w:val="32"/>
          <w:szCs w:val="32"/>
          <w:lang w:val="en-US" w:eastAsia="zh-CN"/>
        </w:rPr>
        <w:t>3</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3</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color w:val="auto"/>
          <w:sz w:val="32"/>
          <w:szCs w:val="32"/>
          <w:lang w:val="en-US" w:eastAsia="zh-CN"/>
        </w:rPr>
        <w:t>主要用于其他社会公益事业的彩票公益金支出</w:t>
      </w:r>
      <w:r>
        <w:rPr>
          <w:rFonts w:hint="eastAsia" w:ascii="宋体" w:hAnsi="宋体" w:eastAsia="宋体" w:cs="宋体"/>
          <w:sz w:val="32"/>
          <w:szCs w:val="32"/>
        </w:rPr>
        <w:t>，项目支出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pStyle w:val="12"/>
        <w:rPr>
          <w:rFonts w:hAnsi="黑体" w:cs="Times New Roman"/>
          <w:b/>
          <w:bCs/>
          <w:sz w:val="32"/>
          <w:szCs w:val="32"/>
        </w:rPr>
      </w:pPr>
      <w:r>
        <w:rPr>
          <w:rFonts w:hint="eastAsia" w:hAnsi="黑体"/>
          <w:b/>
          <w:bCs/>
          <w:sz w:val="32"/>
          <w:szCs w:val="32"/>
        </w:rPr>
        <w:t>九、关于机关运行经费支出说明</w:t>
      </w:r>
    </w:p>
    <w:p>
      <w:pPr>
        <w:pStyle w:val="12"/>
        <w:ind w:firstLine="640" w:firstLineChars="200"/>
        <w:rPr>
          <w:rFonts w:hint="eastAsia" w:ascii="宋体" w:hAnsi="宋体" w:eastAsia="宋体" w:cs="宋体"/>
          <w:sz w:val="32"/>
          <w:szCs w:val="32"/>
        </w:rPr>
      </w:pPr>
      <w:r>
        <w:rPr>
          <w:rFonts w:hint="eastAsia" w:ascii="宋体" w:hAnsi="宋体" w:eastAsia="宋体" w:cs="宋体"/>
          <w:sz w:val="32"/>
          <w:szCs w:val="32"/>
        </w:rPr>
        <w:t>本部门202</w:t>
      </w:r>
      <w:r>
        <w:rPr>
          <w:rFonts w:hint="eastAsia" w:ascii="宋体" w:hAnsi="宋体" w:eastAsia="宋体" w:cs="宋体"/>
          <w:sz w:val="32"/>
          <w:szCs w:val="32"/>
          <w:lang w:val="en-US" w:eastAsia="zh-CN"/>
        </w:rPr>
        <w:t>1</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637</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rPr>
        <w:t>比上年决算数</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47.48</w:t>
      </w:r>
      <w:r>
        <w:rPr>
          <w:rFonts w:hint="eastAsia" w:ascii="宋体" w:hAnsi="宋体" w:eastAsia="宋体" w:cs="宋体"/>
          <w:sz w:val="32"/>
          <w:szCs w:val="32"/>
        </w:rPr>
        <w:t>万元，</w:t>
      </w:r>
      <w:r>
        <w:rPr>
          <w:rFonts w:hint="eastAsia" w:ascii="宋体" w:hAnsi="宋体" w:eastAsia="宋体" w:cs="宋体"/>
          <w:sz w:val="32"/>
          <w:szCs w:val="32"/>
          <w:lang w:eastAsia="zh-CN"/>
        </w:rPr>
        <w:t>增长</w:t>
      </w:r>
      <w:r>
        <w:rPr>
          <w:rFonts w:hint="eastAsia" w:ascii="宋体" w:hAnsi="宋体" w:eastAsia="宋体" w:cs="宋体"/>
          <w:sz w:val="32"/>
          <w:szCs w:val="32"/>
          <w:lang w:val="en-US" w:eastAsia="zh-CN"/>
        </w:rPr>
        <w:t>8.05</w:t>
      </w:r>
      <w:r>
        <w:rPr>
          <w:rFonts w:hint="eastAsia" w:ascii="宋体" w:hAnsi="宋体" w:eastAsia="宋体" w:cs="宋体"/>
          <w:sz w:val="32"/>
          <w:szCs w:val="32"/>
        </w:rPr>
        <w:t>%。主要原因是：</w:t>
      </w:r>
      <w:r>
        <w:rPr>
          <w:rFonts w:hint="eastAsia" w:ascii="宋体" w:hAnsi="宋体" w:eastAsia="宋体" w:cs="宋体"/>
          <w:color w:val="auto"/>
          <w:sz w:val="32"/>
          <w:szCs w:val="32"/>
          <w:lang w:eastAsia="zh-CN"/>
        </w:rPr>
        <w:t>社会保障和就业、疫情防控等工作投入支出加大</w:t>
      </w:r>
      <w:r>
        <w:rPr>
          <w:rFonts w:hint="eastAsia" w:ascii="宋体" w:hAnsi="宋体" w:eastAsia="宋体" w:cs="宋体"/>
          <w:sz w:val="32"/>
          <w:szCs w:val="32"/>
          <w:lang w:val="en-US" w:eastAsia="zh-CN"/>
        </w:rPr>
        <w:t>。</w:t>
      </w:r>
    </w:p>
    <w:p>
      <w:pPr>
        <w:pStyle w:val="12"/>
        <w:rPr>
          <w:rFonts w:hAnsi="黑体" w:cs="Times New Roman"/>
          <w:b/>
          <w:bCs/>
          <w:sz w:val="32"/>
          <w:szCs w:val="32"/>
        </w:rPr>
      </w:pPr>
      <w:r>
        <w:rPr>
          <w:rFonts w:hint="eastAsia" w:hAnsi="黑体"/>
          <w:b/>
          <w:bCs/>
          <w:sz w:val="32"/>
          <w:szCs w:val="32"/>
        </w:rPr>
        <w:t>十、一般性支出情况</w:t>
      </w:r>
    </w:p>
    <w:p>
      <w:pPr>
        <w:pStyle w:val="12"/>
        <w:ind w:firstLine="800" w:firstLineChars="250"/>
        <w:rPr>
          <w:rFonts w:hint="eastAsia" w:ascii="宋体" w:hAnsi="宋体" w:eastAsia="宋体" w:cs="宋体"/>
          <w:color w:val="auto"/>
          <w:sz w:val="32"/>
          <w:szCs w:val="32"/>
          <w:lang w:eastAsia="zh-CN"/>
        </w:rPr>
      </w:pPr>
      <w:r>
        <w:rPr>
          <w:rFonts w:hint="eastAsia" w:ascii="宋体" w:hAnsi="宋体" w:eastAsia="宋体" w:cs="宋体"/>
          <w:sz w:val="32"/>
          <w:szCs w:val="32"/>
        </w:rPr>
        <w:t>202</w:t>
      </w:r>
      <w:r>
        <w:rPr>
          <w:rFonts w:hint="eastAsia" w:ascii="宋体" w:hAnsi="宋体" w:eastAsia="宋体" w:cs="宋体"/>
          <w:sz w:val="32"/>
          <w:szCs w:val="32"/>
          <w:lang w:val="en-US" w:eastAsia="zh-CN"/>
        </w:rPr>
        <w:t>1</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5.7</w:t>
      </w:r>
      <w:r>
        <w:rPr>
          <w:rFonts w:hint="eastAsia" w:ascii="宋体" w:hAnsi="宋体" w:eastAsia="宋体" w:cs="宋体"/>
          <w:sz w:val="32"/>
          <w:szCs w:val="32"/>
        </w:rPr>
        <w:t>万元，用于召开</w:t>
      </w:r>
      <w:r>
        <w:rPr>
          <w:rFonts w:hint="eastAsia" w:ascii="宋体" w:hAnsi="宋体" w:eastAsia="宋体" w:cs="宋体"/>
          <w:sz w:val="32"/>
          <w:szCs w:val="32"/>
          <w:lang w:eastAsia="zh-CN"/>
        </w:rPr>
        <w:t>镇村干部</w:t>
      </w:r>
      <w:r>
        <w:rPr>
          <w:rFonts w:hint="eastAsia" w:ascii="宋体" w:hAnsi="宋体" w:eastAsia="宋体" w:cs="宋体"/>
          <w:sz w:val="32"/>
          <w:szCs w:val="32"/>
        </w:rPr>
        <w:t>会议</w:t>
      </w:r>
      <w:r>
        <w:rPr>
          <w:rFonts w:hint="eastAsia" w:ascii="宋体" w:hAnsi="宋体" w:eastAsia="宋体" w:cs="宋体"/>
          <w:sz w:val="32"/>
          <w:szCs w:val="32"/>
          <w:lang w:eastAsia="zh-CN"/>
        </w:rPr>
        <w:t>、人大会、工作部署会议等，人数</w:t>
      </w:r>
      <w:r>
        <w:rPr>
          <w:rFonts w:hint="eastAsia" w:ascii="宋体" w:hAnsi="宋体" w:eastAsia="宋体" w:cs="宋体"/>
          <w:sz w:val="32"/>
          <w:szCs w:val="32"/>
          <w:lang w:val="en-US" w:eastAsia="zh-CN"/>
        </w:rPr>
        <w:t>1050余人，内容为扫黄打非工作部署会、禁毒工作安排部署会、森林防火工作部署会、新冠疫苗接种工作安排部署会等</w:t>
      </w:r>
      <w:r>
        <w:rPr>
          <w:rFonts w:hint="eastAsia" w:ascii="宋体" w:hAnsi="宋体" w:eastAsia="宋体" w:cs="宋体"/>
          <w:sz w:val="32"/>
          <w:szCs w:val="32"/>
          <w:lang w:eastAsia="zh-CN"/>
        </w:rPr>
        <w:t>。</w:t>
      </w:r>
      <w:r>
        <w:rPr>
          <w:rFonts w:hint="eastAsia" w:ascii="宋体" w:hAnsi="宋体" w:eastAsia="宋体" w:cs="宋体"/>
          <w:sz w:val="32"/>
          <w:szCs w:val="32"/>
        </w:rPr>
        <w:t>会议费</w:t>
      </w: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5.7</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5.7</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w:t>
      </w:r>
      <w:r>
        <w:rPr>
          <w:rFonts w:hint="eastAsia" w:ascii="宋体" w:hAnsi="宋体" w:eastAsia="宋体" w:cs="宋体"/>
          <w:sz w:val="32"/>
          <w:szCs w:val="32"/>
          <w:lang w:eastAsia="zh-CN"/>
        </w:rPr>
        <w:t>开支培训费</w:t>
      </w:r>
      <w:r>
        <w:rPr>
          <w:rFonts w:hint="eastAsia" w:ascii="宋体" w:hAnsi="宋体" w:eastAsia="宋体" w:cs="宋体"/>
          <w:sz w:val="32"/>
          <w:szCs w:val="32"/>
          <w:lang w:val="en-US" w:eastAsia="zh-CN"/>
        </w:rPr>
        <w:t>0.84万元，用于镇村干部培训会议等，人员330余人，内容为基层党建业务培训会、意识形态工作学习培训会、财务培训会等。</w:t>
      </w:r>
      <w:r>
        <w:rPr>
          <w:rFonts w:hint="eastAsia" w:ascii="宋体" w:hAnsi="宋体" w:eastAsia="宋体" w:cs="宋体"/>
          <w:sz w:val="32"/>
          <w:szCs w:val="32"/>
          <w:lang w:eastAsia="zh-CN"/>
        </w:rPr>
        <w:t>培训</w:t>
      </w:r>
      <w:r>
        <w:rPr>
          <w:rFonts w:hint="eastAsia" w:ascii="宋体" w:hAnsi="宋体" w:eastAsia="宋体" w:cs="宋体"/>
          <w:sz w:val="32"/>
          <w:szCs w:val="32"/>
        </w:rPr>
        <w:t>费</w:t>
      </w: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0.84</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0.84</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color w:val="auto"/>
          <w:sz w:val="32"/>
          <w:szCs w:val="32"/>
          <w:lang w:eastAsia="zh-CN"/>
        </w:rPr>
        <w:t>。本年无</w:t>
      </w:r>
      <w:r>
        <w:rPr>
          <w:rFonts w:hint="eastAsia" w:ascii="宋体" w:hAnsi="宋体" w:eastAsia="宋体" w:cs="宋体"/>
          <w:color w:val="auto"/>
          <w:sz w:val="32"/>
          <w:szCs w:val="32"/>
        </w:rPr>
        <w:t>节庆、晚会、论坛、赛事活动</w:t>
      </w:r>
      <w:r>
        <w:rPr>
          <w:rFonts w:hint="eastAsia" w:ascii="宋体" w:hAnsi="宋体" w:eastAsia="宋体" w:cs="宋体"/>
          <w:color w:val="auto"/>
          <w:sz w:val="32"/>
          <w:szCs w:val="32"/>
          <w:lang w:eastAsia="zh-CN"/>
        </w:rPr>
        <w:t>开支。</w:t>
      </w:r>
    </w:p>
    <w:p>
      <w:pPr>
        <w:pStyle w:val="12"/>
        <w:rPr>
          <w:rFonts w:hAnsi="黑体" w:cs="Times New Roman"/>
          <w:b/>
          <w:bCs/>
          <w:sz w:val="32"/>
          <w:szCs w:val="32"/>
        </w:rPr>
      </w:pPr>
      <w:r>
        <w:rPr>
          <w:rFonts w:hint="eastAsia" w:hAnsi="黑体"/>
          <w:b/>
          <w:bCs/>
          <w:sz w:val="32"/>
          <w:szCs w:val="32"/>
        </w:rPr>
        <w:t>十一、关于政府采购支出说明</w:t>
      </w:r>
    </w:p>
    <w:p>
      <w:pPr>
        <w:spacing w:line="600" w:lineRule="exact"/>
        <w:ind w:firstLine="640" w:firstLineChars="200"/>
        <w:rPr>
          <w:rFonts w:eastAsia="仿宋_GB2312"/>
          <w:kern w:val="0"/>
          <w:sz w:val="32"/>
          <w:szCs w:val="32"/>
        </w:rPr>
      </w:pPr>
      <w:r>
        <w:rPr>
          <w:rFonts w:hint="eastAsia" w:ascii="宋体" w:hAnsi="宋体" w:eastAsia="宋体" w:cs="宋体"/>
          <w:color w:val="auto"/>
          <w:sz w:val="32"/>
          <w:szCs w:val="32"/>
        </w:rPr>
        <w:t>本部门202</w:t>
      </w:r>
      <w:r>
        <w:rPr>
          <w:rFonts w:hint="eastAsia" w:ascii="宋体" w:hAnsi="宋体" w:eastAsia="宋体" w:cs="宋体"/>
          <w:color w:val="auto"/>
          <w:sz w:val="32"/>
          <w:szCs w:val="32"/>
          <w:lang w:val="en-US" w:eastAsia="zh-CN"/>
        </w:rPr>
        <w:t>1</w:t>
      </w:r>
      <w:r>
        <w:rPr>
          <w:rFonts w:hint="eastAsia" w:ascii="宋体" w:hAnsi="宋体" w:eastAsia="宋体" w:cs="宋体"/>
          <w:color w:val="auto"/>
          <w:sz w:val="32"/>
          <w:szCs w:val="32"/>
        </w:rPr>
        <w:t>年度政府采购支出总额</w:t>
      </w:r>
      <w:r>
        <w:rPr>
          <w:rFonts w:hint="eastAsia" w:ascii="宋体" w:hAnsi="宋体" w:cs="宋体"/>
          <w:color w:val="auto"/>
          <w:sz w:val="32"/>
          <w:szCs w:val="32"/>
          <w:lang w:val="en-US" w:eastAsia="zh-CN"/>
        </w:rPr>
        <w:t>15.07</w:t>
      </w:r>
      <w:r>
        <w:rPr>
          <w:rFonts w:hint="eastAsia" w:ascii="宋体" w:hAnsi="宋体" w:eastAsia="宋体" w:cs="宋体"/>
          <w:color w:val="auto"/>
          <w:sz w:val="32"/>
          <w:szCs w:val="32"/>
        </w:rPr>
        <w:t>万元，其中：政府采购货物支出</w:t>
      </w:r>
      <w:r>
        <w:rPr>
          <w:rFonts w:hint="eastAsia" w:ascii="宋体" w:hAnsi="宋体" w:cs="宋体"/>
          <w:color w:val="auto"/>
          <w:sz w:val="32"/>
          <w:szCs w:val="32"/>
          <w:lang w:val="en-US" w:eastAsia="zh-CN"/>
        </w:rPr>
        <w:t>0</w:t>
      </w:r>
      <w:r>
        <w:rPr>
          <w:rFonts w:hint="eastAsia" w:ascii="宋体" w:hAnsi="宋体" w:eastAsia="宋体" w:cs="宋体"/>
          <w:color w:val="auto"/>
          <w:sz w:val="32"/>
          <w:szCs w:val="32"/>
        </w:rPr>
        <w:t>万元、政府采购工程支出</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万元、政府采购服务支出</w:t>
      </w:r>
      <w:r>
        <w:rPr>
          <w:rFonts w:hint="eastAsia" w:ascii="宋体" w:hAnsi="宋体" w:cs="宋体"/>
          <w:color w:val="auto"/>
          <w:sz w:val="32"/>
          <w:szCs w:val="32"/>
          <w:lang w:val="en-US" w:eastAsia="zh-CN"/>
        </w:rPr>
        <w:t>15.07</w:t>
      </w:r>
      <w:r>
        <w:rPr>
          <w:rFonts w:hint="eastAsia" w:ascii="宋体" w:hAnsi="宋体" w:eastAsia="宋体" w:cs="宋体"/>
          <w:color w:val="auto"/>
          <w:sz w:val="32"/>
          <w:szCs w:val="32"/>
        </w:rPr>
        <w:t>万元。授予中小企业合同金额</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万元，占政府采购支出总额的</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 xml:space="preserve"> %，其中：授予小微企业合同金额</w:t>
      </w:r>
      <w:r>
        <w:rPr>
          <w:rFonts w:hint="eastAsia" w:ascii="宋体" w:hAnsi="宋体" w:cs="宋体"/>
          <w:color w:val="auto"/>
          <w:sz w:val="32"/>
          <w:szCs w:val="32"/>
          <w:lang w:val="en-US" w:eastAsia="zh-CN"/>
        </w:rPr>
        <w:t>15.07</w:t>
      </w:r>
      <w:r>
        <w:rPr>
          <w:rFonts w:hint="eastAsia" w:ascii="宋体" w:hAnsi="宋体" w:eastAsia="宋体" w:cs="宋体"/>
          <w:color w:val="auto"/>
          <w:sz w:val="32"/>
          <w:szCs w:val="32"/>
        </w:rPr>
        <w:t>万元，占政府采购支出总额的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p>
    <w:p>
      <w:pPr>
        <w:pStyle w:val="12"/>
        <w:rPr>
          <w:rFonts w:hAnsi="黑体" w:cs="Times New Roman"/>
          <w:b/>
          <w:bCs/>
          <w:sz w:val="32"/>
          <w:szCs w:val="32"/>
        </w:rPr>
      </w:pPr>
      <w:r>
        <w:rPr>
          <w:rFonts w:hint="eastAsia" w:hAnsi="黑体"/>
          <w:b/>
          <w:bCs/>
          <w:sz w:val="32"/>
          <w:szCs w:val="32"/>
        </w:rPr>
        <w:t>十二、关于国有资产占用情况说明</w:t>
      </w:r>
    </w:p>
    <w:p>
      <w:pPr>
        <w:pStyle w:val="12"/>
        <w:rPr>
          <w:rFonts w:hint="eastAsia" w:ascii="宋体" w:hAnsi="宋体" w:eastAsia="宋体" w:cs="宋体"/>
          <w:sz w:val="32"/>
          <w:szCs w:val="32"/>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截至202</w:t>
      </w:r>
      <w:r>
        <w:rPr>
          <w:rFonts w:hint="eastAsia" w:ascii="宋体" w:hAnsi="宋体" w:eastAsia="宋体" w:cs="宋体"/>
          <w:sz w:val="32"/>
          <w:szCs w:val="32"/>
          <w:lang w:val="en-US" w:eastAsia="zh-CN"/>
        </w:rPr>
        <w:t>1</w:t>
      </w:r>
      <w:r>
        <w:rPr>
          <w:rFonts w:hint="eastAsia" w:ascii="宋体" w:hAnsi="宋体" w:eastAsia="宋体" w:cs="宋体"/>
          <w:sz w:val="32"/>
          <w:szCs w:val="32"/>
        </w:rPr>
        <w:t>年12月31日，本单位共有车辆</w:t>
      </w:r>
      <w:r>
        <w:rPr>
          <w:rFonts w:hint="eastAsia" w:ascii="宋体" w:hAnsi="宋体" w:eastAsia="宋体" w:cs="宋体"/>
          <w:sz w:val="32"/>
          <w:szCs w:val="32"/>
          <w:lang w:val="en-US" w:eastAsia="zh-CN"/>
        </w:rPr>
        <w:t>0</w:t>
      </w:r>
      <w:r>
        <w:rPr>
          <w:rFonts w:hint="eastAsia" w:ascii="宋体" w:hAnsi="宋体" w:eastAsia="宋体" w:cs="宋体"/>
          <w:sz w:val="32"/>
          <w:szCs w:val="32"/>
        </w:rPr>
        <w:t>辆，其中，领导干部用车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0</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辆；单位价值50万元以上通用设备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台；单位价值100万元以上专用设备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w:t>
      </w:r>
    </w:p>
    <w:p>
      <w:pPr>
        <w:pStyle w:val="12"/>
        <w:rPr>
          <w:rFonts w:hAnsi="黑体" w:cs="Times New Roman"/>
          <w:b/>
          <w:bCs/>
          <w:sz w:val="32"/>
          <w:szCs w:val="32"/>
        </w:rPr>
      </w:pPr>
      <w:r>
        <w:rPr>
          <w:rFonts w:hint="eastAsia" w:hAnsi="黑体"/>
          <w:b/>
          <w:bCs/>
          <w:sz w:val="32"/>
          <w:szCs w:val="32"/>
        </w:rPr>
        <w:t>十三、关于</w:t>
      </w:r>
      <w:r>
        <w:rPr>
          <w:rFonts w:hAnsi="黑体"/>
          <w:b/>
          <w:bCs/>
          <w:sz w:val="32"/>
          <w:szCs w:val="32"/>
        </w:rPr>
        <w:t>202</w:t>
      </w:r>
      <w:r>
        <w:rPr>
          <w:rFonts w:hint="eastAsia" w:hAnsi="黑体"/>
          <w:b/>
          <w:bCs/>
          <w:sz w:val="32"/>
          <w:szCs w:val="32"/>
          <w:lang w:val="en-US" w:eastAsia="zh-CN"/>
        </w:rPr>
        <w:t>1</w:t>
      </w:r>
      <w:r>
        <w:rPr>
          <w:rFonts w:hint="eastAsia" w:hAnsi="黑体"/>
          <w:b/>
          <w:bCs/>
          <w:sz w:val="32"/>
          <w:szCs w:val="32"/>
        </w:rPr>
        <w:t>年度预算绩效情况的说明</w:t>
      </w:r>
    </w:p>
    <w:p>
      <w:pPr>
        <w:pStyle w:val="12"/>
        <w:ind w:firstLine="640" w:firstLineChars="200"/>
        <w:jc w:val="both"/>
        <w:rPr>
          <w:rFonts w:hint="eastAsia" w:ascii="宋体" w:hAnsi="宋体" w:eastAsia="宋体" w:cs="宋体"/>
          <w:sz w:val="32"/>
          <w:szCs w:val="32"/>
        </w:rPr>
      </w:pPr>
      <w:r>
        <w:rPr>
          <w:rFonts w:hint="eastAsia" w:ascii="宋体" w:hAnsi="宋体" w:eastAsia="宋体" w:cs="宋体"/>
          <w:sz w:val="32"/>
          <w:szCs w:val="32"/>
        </w:rPr>
        <w:t>本部门预算绩效管理开展情况</w:t>
      </w:r>
      <w:r>
        <w:rPr>
          <w:rFonts w:hint="eastAsia" w:ascii="宋体" w:hAnsi="宋体" w:eastAsia="宋体" w:cs="宋体"/>
          <w:sz w:val="32"/>
          <w:szCs w:val="32"/>
          <w:lang w:val="en-US" w:eastAsia="zh-CN"/>
        </w:rPr>
        <w:t>于</w:t>
      </w:r>
      <w:r>
        <w:rPr>
          <w:rFonts w:hint="eastAsia" w:ascii="宋体" w:hAnsi="宋体" w:eastAsia="宋体" w:cs="宋体"/>
          <w:color w:val="auto"/>
          <w:sz w:val="32"/>
          <w:szCs w:val="32"/>
          <w:lang w:val="en-US" w:eastAsia="zh-CN"/>
        </w:rPr>
        <w:t>2022年4</w:t>
      </w:r>
      <w:r>
        <w:rPr>
          <w:rFonts w:hint="eastAsia" w:ascii="宋体" w:hAnsi="宋体" w:eastAsia="宋体" w:cs="宋体"/>
          <w:sz w:val="32"/>
          <w:szCs w:val="32"/>
          <w:lang w:val="en-US" w:eastAsia="zh-CN"/>
        </w:rPr>
        <w:t>月份开始开展，其中</w:t>
      </w:r>
      <w:r>
        <w:rPr>
          <w:rFonts w:hint="eastAsia" w:ascii="宋体" w:hAnsi="宋体" w:eastAsia="宋体" w:cs="宋体"/>
          <w:sz w:val="32"/>
          <w:szCs w:val="32"/>
        </w:rPr>
        <w:t>绩效目标和绩效评价报告等</w:t>
      </w:r>
      <w:r>
        <w:rPr>
          <w:rFonts w:hint="eastAsia" w:ascii="宋体" w:hAnsi="宋体" w:eastAsia="宋体" w:cs="宋体"/>
          <w:sz w:val="32"/>
          <w:szCs w:val="32"/>
          <w:lang w:val="en-US" w:eastAsia="zh-CN"/>
        </w:rPr>
        <w:t>严格按照上级业务部门的要求进行相关业务处理，2021年度部门整体支出绩效评价自评得分</w:t>
      </w:r>
      <w:r>
        <w:rPr>
          <w:rFonts w:hint="eastAsia" w:ascii="宋体" w:hAnsi="宋体" w:eastAsia="宋体" w:cs="宋体"/>
          <w:color w:val="auto"/>
          <w:sz w:val="32"/>
          <w:szCs w:val="32"/>
          <w:lang w:val="en-US" w:eastAsia="zh-CN"/>
        </w:rPr>
        <w:t>92</w:t>
      </w:r>
      <w:r>
        <w:rPr>
          <w:rFonts w:hint="eastAsia" w:ascii="宋体" w:hAnsi="宋体" w:eastAsia="宋体" w:cs="宋体"/>
          <w:sz w:val="32"/>
          <w:szCs w:val="32"/>
          <w:lang w:val="en-US" w:eastAsia="zh-CN"/>
        </w:rPr>
        <w:t>分（详情见附件2021年度部门整体支出绩效评价自评报告）。</w:t>
      </w:r>
    </w:p>
    <w:p>
      <w:pPr>
        <w:pStyle w:val="12"/>
        <w:rPr>
          <w:rFonts w:hAnsi="黑体" w:cs="Times New Roman"/>
          <w:b/>
          <w:bCs/>
          <w:sz w:val="32"/>
          <w:szCs w:val="32"/>
        </w:rPr>
      </w:pPr>
    </w:p>
    <w:p>
      <w:pPr>
        <w:pStyle w:val="12"/>
        <w:jc w:val="center"/>
        <w:rPr>
          <w:rFonts w:cs="Times New Roman"/>
          <w:sz w:val="72"/>
          <w:szCs w:val="72"/>
        </w:rPr>
      </w:pPr>
    </w:p>
    <w:p>
      <w:pPr>
        <w:pStyle w:val="12"/>
        <w:jc w:val="center"/>
        <w:rPr>
          <w:rFonts w:cs="Times New Roman"/>
          <w:sz w:val="72"/>
          <w:szCs w:val="72"/>
        </w:rPr>
      </w:pPr>
    </w:p>
    <w:p>
      <w:pPr>
        <w:pStyle w:val="12"/>
        <w:jc w:val="center"/>
        <w:rPr>
          <w:rFonts w:cs="Times New Roman"/>
          <w:sz w:val="72"/>
          <w:szCs w:val="72"/>
        </w:rPr>
      </w:pPr>
    </w:p>
    <w:p>
      <w:pPr>
        <w:pStyle w:val="12"/>
        <w:jc w:val="center"/>
        <w:rPr>
          <w:rFonts w:cs="Times New Roman"/>
          <w:sz w:val="72"/>
          <w:szCs w:val="72"/>
        </w:rPr>
        <w:sectPr>
          <w:pgSz w:w="11906" w:h="16838"/>
          <w:pgMar w:top="1440" w:right="1797" w:bottom="1440" w:left="1797" w:header="851" w:footer="992" w:gutter="0"/>
          <w:pgBorders>
            <w:top w:val="none" w:sz="0" w:space="0"/>
            <w:left w:val="none" w:sz="0" w:space="0"/>
            <w:bottom w:val="none" w:sz="0" w:space="0"/>
            <w:right w:val="none" w:sz="0" w:space="0"/>
          </w:pgBorders>
          <w:cols w:space="0" w:num="1"/>
          <w:rtlGutter w:val="0"/>
          <w:docGrid w:type="linesAndChars" w:linePitch="312" w:charSpace="0"/>
        </w:sectPr>
      </w:pPr>
    </w:p>
    <w:p>
      <w:pPr>
        <w:pStyle w:val="12"/>
        <w:jc w:val="both"/>
        <w:rPr>
          <w:rFonts w:cs="Times New Roman"/>
          <w:sz w:val="72"/>
          <w:szCs w:val="72"/>
        </w:rPr>
      </w:pPr>
    </w:p>
    <w:p>
      <w:pPr>
        <w:pStyle w:val="12"/>
        <w:jc w:val="center"/>
        <w:rPr>
          <w:rFonts w:hint="eastAsia" w:ascii="宋体" w:hAnsi="宋体" w:eastAsia="宋体" w:cs="宋体"/>
          <w:sz w:val="72"/>
          <w:szCs w:val="72"/>
        </w:rPr>
      </w:pPr>
      <w:r>
        <w:rPr>
          <w:rFonts w:hint="eastAsia" w:ascii="宋体" w:hAnsi="宋体" w:eastAsia="宋体" w:cs="宋体"/>
          <w:sz w:val="72"/>
          <w:szCs w:val="72"/>
        </w:rPr>
        <w:t>第四部分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名词解释</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pStyle w:val="12"/>
        <w:ind w:firstLine="640" w:firstLineChars="200"/>
        <w:jc w:val="both"/>
        <w:rPr>
          <w:rFonts w:hint="eastAsia" w:ascii="宋体" w:hAnsi="宋体" w:eastAsia="宋体" w:cs="宋体"/>
          <w:sz w:val="32"/>
          <w:szCs w:val="32"/>
        </w:rPr>
      </w:pPr>
      <w:r>
        <w:rPr>
          <w:rFonts w:ascii="仿宋" w:hAnsi="仿宋" w:eastAsia="仿宋" w:cs="仿宋"/>
          <w:kern w:val="0"/>
          <w:sz w:val="32"/>
          <w:szCs w:val="32"/>
        </w:rPr>
        <w:t xml:space="preserve"> </w:t>
      </w:r>
      <w:r>
        <w:rPr>
          <w:rFonts w:hint="eastAsia" w:ascii="宋体" w:hAnsi="宋体" w:eastAsia="宋体" w:cs="宋体"/>
          <w:sz w:val="32"/>
          <w:szCs w:val="32"/>
          <w:lang w:val="en-US" w:eastAsia="zh-CN"/>
        </w:rPr>
        <w:t>一、基本支出：指单位为保障机构正常运转、完成日常工作任务而发生的各项支出（包括基本工资、津贴补贴等）和公用支出（包括办公费、邮电费、差旅费及印刷费）。</w:t>
      </w:r>
    </w:p>
    <w:p>
      <w:pPr>
        <w:pStyle w:val="12"/>
        <w:ind w:firstLine="640" w:firstLineChars="200"/>
        <w:jc w:val="both"/>
        <w:rPr>
          <w:rFonts w:hint="eastAsia" w:ascii="宋体" w:hAnsi="宋体" w:eastAsia="宋体" w:cs="宋体"/>
          <w:sz w:val="32"/>
          <w:szCs w:val="32"/>
        </w:rPr>
      </w:pPr>
      <w:r>
        <w:rPr>
          <w:rFonts w:hint="eastAsia" w:ascii="宋体" w:hAnsi="宋体" w:eastAsia="宋体" w:cs="宋体"/>
          <w:sz w:val="32"/>
          <w:szCs w:val="32"/>
          <w:lang w:val="en-US" w:eastAsia="zh-CN"/>
        </w:rPr>
        <w:t>二、项目支出：指单位为完成特定的行政工作任务或事业发展目标，在基本支出之外发生的各项支出。</w:t>
      </w:r>
    </w:p>
    <w:p>
      <w:pPr>
        <w:pStyle w:val="12"/>
        <w:ind w:firstLine="640" w:firstLineChars="200"/>
        <w:jc w:val="both"/>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三、“三公”经费：指因公出国（境）经费、公务用车购置及 运行维护费、公务接待费。其中：因公出国（境）经费指公务出国（境）的住宿费、旅费、伙食补助费、杂费、培训费等支出；公务用车购置及运行费反映单位公务用车车辆购置 支出（含车辆购置税）及租用费、燃料费、维修费、过桥过路费、保险费等支出；公务接待费反映单位按规定开支的各类公务接待支出。</w:t>
      </w:r>
    </w:p>
    <w:p>
      <w:pPr>
        <w:pStyle w:val="12"/>
        <w:ind w:firstLine="640" w:firstLineChars="200"/>
        <w:jc w:val="both"/>
        <w:rPr>
          <w:rFonts w:hint="eastAsia" w:ascii="宋体" w:hAnsi="宋体" w:eastAsia="宋体" w:cs="宋体"/>
          <w:sz w:val="32"/>
          <w:szCs w:val="32"/>
        </w:rPr>
      </w:pPr>
      <w:r>
        <w:rPr>
          <w:rFonts w:hint="eastAsia" w:ascii="宋体" w:hAnsi="宋体" w:eastAsia="宋体" w:cs="宋体"/>
          <w:sz w:val="32"/>
          <w:szCs w:val="32"/>
          <w:lang w:val="en-US" w:eastAsia="zh-CN"/>
        </w:rPr>
        <w:t>四、机关运行经费：行政单位（包括参照公务员法管理的事业单位）一般公共预算财政拨款基本支出中的公用支出，包括办公费、邮电费、差旅费及印刷费等。</w:t>
      </w:r>
    </w:p>
    <w:p>
      <w:pPr>
        <w:pStyle w:val="12"/>
        <w:jc w:val="center"/>
        <w:rPr>
          <w:rFonts w:cs="Times New Roman"/>
          <w:sz w:val="72"/>
          <w:szCs w:val="72"/>
        </w:rPr>
      </w:pPr>
    </w:p>
    <w:p>
      <w:pPr>
        <w:pStyle w:val="12"/>
        <w:jc w:val="center"/>
        <w:rPr>
          <w:rFonts w:cs="Times New Roman"/>
          <w:sz w:val="72"/>
          <w:szCs w:val="72"/>
        </w:rPr>
      </w:pPr>
    </w:p>
    <w:p>
      <w:pPr>
        <w:pStyle w:val="12"/>
        <w:jc w:val="center"/>
        <w:rPr>
          <w:rFonts w:cs="Times New Roman"/>
          <w:sz w:val="72"/>
          <w:szCs w:val="72"/>
        </w:rPr>
      </w:pPr>
    </w:p>
    <w:p>
      <w:pPr>
        <w:pStyle w:val="12"/>
        <w:jc w:val="center"/>
        <w:rPr>
          <w:rFonts w:cs="Times New Roman"/>
          <w:sz w:val="72"/>
          <w:szCs w:val="72"/>
        </w:rPr>
      </w:pPr>
    </w:p>
    <w:p>
      <w:pPr>
        <w:pStyle w:val="12"/>
        <w:ind w:firstLine="3960" w:firstLineChars="550"/>
        <w:rPr>
          <w:rFonts w:hint="eastAsia" w:ascii="宋体" w:hAnsi="宋体" w:eastAsia="宋体" w:cs="宋体"/>
          <w:sz w:val="72"/>
          <w:szCs w:val="72"/>
        </w:rPr>
      </w:pPr>
      <w:r>
        <w:rPr>
          <w:rFonts w:hint="eastAsia" w:ascii="宋体" w:hAnsi="宋体" w:eastAsia="宋体" w:cs="宋体"/>
          <w:sz w:val="72"/>
          <w:szCs w:val="72"/>
        </w:rPr>
        <w:t>第五部分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附件</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widowControl/>
        <w:ind w:firstLine="960" w:firstLineChars="300"/>
        <w:jc w:val="left"/>
        <w:rPr>
          <w:rFonts w:ascii="黑体" w:eastAsia="黑体" w:cs="Times New Roman"/>
          <w:color w:val="000000"/>
          <w:kern w:val="0"/>
          <w:sz w:val="70"/>
          <w:szCs w:val="70"/>
        </w:rPr>
      </w:pPr>
      <w:r>
        <w:rPr>
          <w:rFonts w:ascii="宋体" w:hAnsi="宋体" w:cs="宋体"/>
          <w:b/>
          <w:bCs/>
          <w:color w:val="000000"/>
          <w:kern w:val="0"/>
          <w:sz w:val="32"/>
          <w:szCs w:val="32"/>
        </w:rPr>
        <w:t>202</w:t>
      </w:r>
      <w:r>
        <w:rPr>
          <w:rFonts w:hint="eastAsia" w:ascii="宋体" w:hAnsi="宋体" w:cs="宋体"/>
          <w:b/>
          <w:bCs/>
          <w:color w:val="000000"/>
          <w:kern w:val="0"/>
          <w:sz w:val="32"/>
          <w:szCs w:val="32"/>
          <w:lang w:val="en-US" w:eastAsia="zh-CN"/>
        </w:rPr>
        <w:t>1</w:t>
      </w:r>
      <w:r>
        <w:rPr>
          <w:rFonts w:hint="eastAsia" w:ascii="宋体" w:hAnsi="宋体" w:cs="宋体"/>
          <w:b/>
          <w:bCs/>
          <w:color w:val="000000"/>
          <w:kern w:val="0"/>
          <w:sz w:val="32"/>
          <w:szCs w:val="32"/>
        </w:rPr>
        <w:t>年度部门整体支出绩效评价报告</w:t>
      </w: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ind w:firstLine="640" w:firstLineChars="200"/>
        <w:jc w:val="left"/>
        <w:rPr>
          <w:rFonts w:ascii="宋体" w:cs="Times New Roman"/>
          <w:color w:val="000000"/>
          <w:kern w:val="0"/>
          <w:sz w:val="32"/>
          <w:szCs w:val="32"/>
        </w:rPr>
      </w:pPr>
    </w:p>
    <w:p>
      <w:pPr>
        <w:widowControl/>
        <w:shd w:val="clear" w:color="auto" w:fill="FFFFFF"/>
        <w:jc w:val="center"/>
        <w:outlineLvl w:val="1"/>
        <w:rPr>
          <w:rFonts w:ascii="微软雅黑" w:hAnsi="微软雅黑" w:cs="宋体"/>
          <w:b/>
          <w:bCs/>
          <w:color w:val="000000"/>
          <w:kern w:val="0"/>
          <w:sz w:val="39"/>
          <w:szCs w:val="39"/>
        </w:rPr>
      </w:pPr>
      <w:r>
        <w:rPr>
          <w:rFonts w:hint="eastAsia" w:ascii="微软雅黑" w:hAnsi="微软雅黑" w:cs="宋体"/>
          <w:b/>
          <w:bCs/>
          <w:color w:val="000000"/>
          <w:kern w:val="0"/>
          <w:sz w:val="39"/>
          <w:szCs w:val="39"/>
        </w:rPr>
        <w:t>湘潭县2021年度</w:t>
      </w:r>
      <w:r>
        <w:rPr>
          <w:rFonts w:hint="eastAsia" w:ascii="微软雅黑" w:hAnsi="微软雅黑" w:cs="宋体"/>
          <w:b/>
          <w:bCs/>
          <w:color w:val="000000"/>
          <w:kern w:val="0"/>
          <w:sz w:val="39"/>
          <w:szCs w:val="39"/>
          <w:lang w:eastAsia="zh-CN"/>
        </w:rPr>
        <w:t>杨嘉桥</w:t>
      </w:r>
      <w:r>
        <w:rPr>
          <w:rFonts w:hint="eastAsia" w:ascii="微软雅黑" w:hAnsi="微软雅黑" w:cs="宋体"/>
          <w:b/>
          <w:bCs/>
          <w:color w:val="000000"/>
          <w:kern w:val="0"/>
          <w:sz w:val="39"/>
          <w:szCs w:val="39"/>
        </w:rPr>
        <w:t>镇人民政府部门整体支出绩效评价报告</w:t>
      </w:r>
    </w:p>
    <w:tbl>
      <w:tblPr>
        <w:tblStyle w:val="7"/>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697"/>
        <w:gridCol w:w="5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部门概况</w:t>
            </w:r>
          </w:p>
        </w:tc>
        <w:tc>
          <w:tcPr>
            <w:tcW w:w="1697" w:type="dxa"/>
            <w:vAlign w:val="center"/>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单位名称</w:t>
            </w:r>
          </w:p>
        </w:tc>
        <w:tc>
          <w:tcPr>
            <w:tcW w:w="5958" w:type="dxa"/>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宋体"/>
                <w:sz w:val="24"/>
              </w:rPr>
            </w:pPr>
            <w:r>
              <w:rPr>
                <w:rFonts w:hint="eastAsia" w:ascii="仿宋_GB2312" w:eastAsia="仿宋_GB2312"/>
                <w:sz w:val="24"/>
              </w:rPr>
              <w:t>湘潭县</w:t>
            </w:r>
            <w:r>
              <w:rPr>
                <w:rFonts w:hint="eastAsia" w:ascii="仿宋_GB2312" w:eastAsia="仿宋_GB2312"/>
                <w:sz w:val="24"/>
                <w:lang w:eastAsia="zh-CN"/>
              </w:rPr>
              <w:t>杨嘉桥</w:t>
            </w:r>
            <w:r>
              <w:rPr>
                <w:rFonts w:hint="eastAsia" w:ascii="仿宋_GB2312" w:eastAsia="仿宋_GB2312"/>
                <w:sz w:val="24"/>
              </w:rPr>
              <w:t>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vAlign w:val="top"/>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p>
        </w:tc>
        <w:tc>
          <w:tcPr>
            <w:tcW w:w="1697" w:type="dxa"/>
            <w:vAlign w:val="center"/>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年度预算金额</w:t>
            </w:r>
          </w:p>
        </w:tc>
        <w:tc>
          <w:tcPr>
            <w:tcW w:w="5958" w:type="dxa"/>
            <w:vAlign w:val="center"/>
          </w:tcPr>
          <w:p>
            <w:pPr>
              <w:keepNext w:val="0"/>
              <w:keepLines w:val="0"/>
              <w:suppressLineNumbers w:val="0"/>
              <w:spacing w:before="0" w:beforeAutospacing="0" w:after="0" w:afterAutospacing="0" w:line="576" w:lineRule="exact"/>
              <w:ind w:left="0" w:right="879" w:rightChars="419"/>
              <w:jc w:val="center"/>
              <w:rPr>
                <w:rFonts w:hint="default" w:ascii="仿宋_GB2312" w:hAnsi="宋体" w:eastAsia="仿宋_GB2312" w:cs="宋体"/>
                <w:sz w:val="24"/>
              </w:rPr>
            </w:pPr>
            <w:r>
              <w:rPr>
                <w:rFonts w:hint="eastAsia" w:ascii="仿宋_GB2312" w:hAnsi="宋体" w:eastAsia="仿宋_GB2312" w:cs="宋体"/>
                <w:kern w:val="0"/>
                <w:sz w:val="24"/>
              </w:rPr>
              <w:t>57,</w:t>
            </w:r>
            <w:r>
              <w:rPr>
                <w:rFonts w:hint="eastAsia" w:ascii="仿宋_GB2312" w:hAnsi="宋体" w:eastAsia="仿宋_GB2312" w:cs="宋体"/>
                <w:kern w:val="0"/>
                <w:sz w:val="24"/>
                <w:lang w:val="en-US" w:eastAsia="zh-CN"/>
              </w:rPr>
              <w:t>447</w:t>
            </w:r>
            <w:r>
              <w:rPr>
                <w:rFonts w:hint="eastAsia" w:ascii="仿宋_GB2312" w:hAnsi="宋体" w:eastAsia="仿宋_GB2312" w:cs="宋体"/>
                <w:kern w:val="0"/>
                <w:sz w:val="24"/>
              </w:rPr>
              <w:t>,</w:t>
            </w:r>
            <w:r>
              <w:rPr>
                <w:rFonts w:hint="eastAsia" w:ascii="仿宋_GB2312" w:hAnsi="宋体" w:eastAsia="仿宋_GB2312" w:cs="宋体"/>
                <w:kern w:val="0"/>
                <w:sz w:val="24"/>
                <w:lang w:val="en-US" w:eastAsia="zh-CN"/>
              </w:rPr>
              <w:t>800</w:t>
            </w:r>
            <w:r>
              <w:rPr>
                <w:rFonts w:hint="eastAsia" w:ascii="仿宋_GB2312" w:hAnsi="宋体" w:eastAsia="仿宋_GB2312" w:cs="宋体"/>
                <w:kern w:val="0"/>
                <w:sz w:val="24"/>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vAlign w:val="top"/>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p>
        </w:tc>
        <w:tc>
          <w:tcPr>
            <w:tcW w:w="1697" w:type="dxa"/>
            <w:vAlign w:val="center"/>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主管部门</w:t>
            </w:r>
          </w:p>
        </w:tc>
        <w:tc>
          <w:tcPr>
            <w:tcW w:w="5958" w:type="dxa"/>
            <w:vAlign w:val="center"/>
          </w:tcPr>
          <w:p>
            <w:pPr>
              <w:keepNext w:val="0"/>
              <w:keepLines w:val="0"/>
              <w:suppressLineNumbers w:val="0"/>
              <w:spacing w:before="0" w:beforeAutospacing="0" w:after="0" w:afterAutospacing="0" w:line="576" w:lineRule="exact"/>
              <w:ind w:left="0" w:right="879" w:rightChars="419"/>
              <w:jc w:val="center"/>
              <w:rPr>
                <w:rFonts w:hint="default" w:ascii="仿宋_GB2312" w:hAnsi="宋体" w:eastAsia="仿宋_GB2312" w:cs="宋体"/>
                <w:sz w:val="24"/>
              </w:rPr>
            </w:pPr>
            <w:r>
              <w:rPr>
                <w:rFonts w:hint="eastAsia" w:ascii="仿宋_GB2312" w:hAnsi="宋体" w:eastAsia="仿宋_GB2312" w:cs="宋体"/>
                <w:sz w:val="24"/>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384" w:type="dxa"/>
            <w:vMerge w:val="continue"/>
            <w:vAlign w:val="top"/>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p>
        </w:tc>
        <w:tc>
          <w:tcPr>
            <w:tcW w:w="1697" w:type="dxa"/>
            <w:vAlign w:val="center"/>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单位基本职能</w:t>
            </w:r>
          </w:p>
        </w:tc>
        <w:tc>
          <w:tcPr>
            <w:tcW w:w="5958" w:type="dxa"/>
            <w:vAlign w:val="center"/>
          </w:tcPr>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1、执行上级国家行政机关的决定、命令和国家制定的</w:t>
            </w:r>
            <w:r>
              <w:rPr>
                <w:rFonts w:hint="eastAsia" w:ascii="仿宋_GB2312" w:hAnsi="宋体" w:eastAsia="仿宋_GB2312" w:cs="宋体"/>
                <w:kern w:val="0"/>
                <w:sz w:val="24"/>
                <w:lang w:eastAsia="zh-CN"/>
              </w:rPr>
              <w:t>法律法规</w:t>
            </w:r>
            <w:r>
              <w:rPr>
                <w:rFonts w:hint="eastAsia" w:ascii="仿宋_GB2312" w:hAnsi="宋体" w:eastAsia="仿宋_GB2312" w:cs="宋体"/>
                <w:kern w:val="0"/>
                <w:sz w:val="24"/>
              </w:rPr>
              <w:t>，接受同级党委的领导，执行本级人民代表大会的各项决议，并报告执行决议、决定和命令的情况。</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2、制定并落实本行政区域的经济计划和措施，促进产业结构调整及其他经济保持平衡协调发展，全面提高人民群众的生活水平和生活质量。</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3、承担国有资产、集体资产管理、监督及增值保值责任；认真执行国家的法律和政策，履行经济合同。</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4、开展社会主义民主和法制的宣传教育，制定社会治安综合治理工作规划并组织实施，加强社区管理工作，调解民间纠纷，打击违法犯罪，维护社会稳定。</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5、制定社会各项事业发展计划，组织实施义务教育和其他各类教育，加强计划生育工作，推进社会保障、社会福利事业和养老保险工作。</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6、加强镇级财政的监督和管理，按计划组织、管理财政收入和支出，执行国家有关财经法规和政策，保证国家财政收入的完成；做好统计工作。</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7、指导、支持、帮助村民委员会的组织制度建设和业务建设，促进村民委员民主自治。</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8、制定和组织实施镇村建设规划；加强公用、市政设施、水利建设和管理以及房屋土地管理和环境综合整治工作，保护和改善生活环境和生态环境。</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9、协助和支持设置在本行政区域内不隶属于镇的国家机关和企事业单位工作，监督其遵守和执行国家的</w:t>
            </w:r>
            <w:r>
              <w:rPr>
                <w:rFonts w:hint="eastAsia" w:ascii="仿宋_GB2312" w:hAnsi="宋体" w:eastAsia="仿宋_GB2312" w:cs="宋体"/>
                <w:kern w:val="0"/>
                <w:sz w:val="24"/>
                <w:lang w:eastAsia="zh-CN"/>
              </w:rPr>
              <w:t>法律法规</w:t>
            </w:r>
            <w:r>
              <w:rPr>
                <w:rFonts w:hint="eastAsia" w:ascii="仿宋_GB2312" w:hAnsi="宋体" w:eastAsia="仿宋_GB2312" w:cs="宋体"/>
                <w:kern w:val="0"/>
                <w:sz w:val="24"/>
              </w:rPr>
              <w:t>和政策。</w:t>
            </w:r>
          </w:p>
          <w:p>
            <w:pPr>
              <w:keepNext w:val="0"/>
              <w:keepLines w:val="0"/>
              <w:suppressLineNumbers w:val="0"/>
              <w:spacing w:before="0" w:beforeAutospacing="0" w:after="0" w:afterAutospacing="0" w:line="360" w:lineRule="auto"/>
              <w:ind w:left="0" w:right="0" w:firstLine="480" w:firstLineChars="200"/>
              <w:rPr>
                <w:rFonts w:hint="default" w:ascii="仿宋_GB2312" w:hAnsi="仿宋_GB2312" w:eastAsia="仿宋_GB2312" w:cs="仿宋_GB2312"/>
                <w:sz w:val="24"/>
              </w:rPr>
            </w:pPr>
            <w:r>
              <w:rPr>
                <w:rFonts w:hint="eastAsia" w:ascii="仿宋_GB2312" w:hAnsi="宋体" w:eastAsia="仿宋_GB2312" w:cs="宋体"/>
                <w:kern w:val="0"/>
                <w:sz w:val="24"/>
              </w:rPr>
              <w:t>10、承办本级党委、人大和上级交办</w:t>
            </w:r>
            <w:r>
              <w:rPr>
                <w:rFonts w:hint="eastAsia" w:ascii="仿宋_GB2312" w:hAnsi="宋体" w:eastAsia="仿宋_GB2312" w:cs="宋体"/>
                <w:kern w:val="0"/>
                <w:sz w:val="24"/>
                <w:lang w:eastAsia="zh-CN"/>
              </w:rPr>
              <w:t>的其他事项</w:t>
            </w:r>
            <w:r>
              <w:rPr>
                <w:rFonts w:hint="eastAsia" w:ascii="仿宋_GB2312" w:hAnsi="宋体" w:eastAsia="仿宋_GB2312" w:cs="宋体"/>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84" w:type="dxa"/>
            <w:vMerge w:val="restart"/>
            <w:vAlign w:val="center"/>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绩效完成情况</w:t>
            </w:r>
          </w:p>
        </w:tc>
        <w:tc>
          <w:tcPr>
            <w:tcW w:w="1697" w:type="dxa"/>
            <w:vAlign w:val="center"/>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部门整体支出管理和使用基本情况</w:t>
            </w:r>
          </w:p>
        </w:tc>
        <w:tc>
          <w:tcPr>
            <w:tcW w:w="5958" w:type="dxa"/>
            <w:vAlign w:val="center"/>
          </w:tcPr>
          <w:p>
            <w:pPr>
              <w:keepNext w:val="0"/>
              <w:keepLines w:val="0"/>
              <w:suppressLineNumbers w:val="0"/>
              <w:spacing w:before="0" w:beforeAutospacing="0" w:after="0" w:afterAutospacing="0" w:line="360" w:lineRule="auto"/>
              <w:ind w:left="0" w:right="0" w:firstLine="480" w:firstLineChars="200"/>
              <w:rPr>
                <w:rFonts w:hint="default" w:ascii="仿宋_GB2312" w:hAnsi="仿宋_GB2312" w:eastAsia="仿宋_GB2312" w:cs="仿宋_GB2312"/>
                <w:sz w:val="24"/>
              </w:rPr>
            </w:pPr>
            <w:r>
              <w:rPr>
                <w:rFonts w:hint="eastAsia" w:ascii="仿宋_GB2312" w:hAnsi="宋体" w:eastAsia="仿宋_GB2312" w:cs="宋体"/>
                <w:kern w:val="0"/>
                <w:sz w:val="24"/>
              </w:rPr>
              <w:t>始终认真贯彻执行《</w:t>
            </w:r>
            <w:r>
              <w:rPr>
                <w:rFonts w:hint="eastAsia" w:ascii="仿宋_GB2312" w:hAnsi="宋体" w:eastAsia="仿宋_GB2312" w:cs="宋体"/>
                <w:kern w:val="0"/>
                <w:sz w:val="24"/>
                <w:lang w:eastAsia="zh-CN"/>
              </w:rPr>
              <w:t>中华人民共和国</w:t>
            </w:r>
            <w:r>
              <w:rPr>
                <w:rFonts w:hint="eastAsia" w:ascii="仿宋_GB2312" w:hAnsi="宋体" w:eastAsia="仿宋_GB2312" w:cs="宋体"/>
                <w:kern w:val="0"/>
                <w:sz w:val="24"/>
              </w:rPr>
              <w:t>会计法</w:t>
            </w:r>
            <w:r>
              <w:rPr>
                <w:rFonts w:hint="eastAsia" w:ascii="仿宋_GB2312" w:hAnsi="宋体" w:eastAsia="仿宋_GB2312" w:cs="宋体"/>
                <w:kern w:val="0"/>
                <w:sz w:val="24"/>
                <w:lang w:eastAsia="zh-CN"/>
              </w:rPr>
              <w:t>》《中华人民共和国</w:t>
            </w:r>
            <w:bookmarkStart w:id="2" w:name="_GoBack"/>
            <w:bookmarkEnd w:id="2"/>
            <w:r>
              <w:rPr>
                <w:rFonts w:hint="eastAsia" w:ascii="仿宋_GB2312" w:hAnsi="宋体" w:eastAsia="仿宋_GB2312" w:cs="宋体"/>
                <w:kern w:val="0"/>
                <w:sz w:val="24"/>
              </w:rPr>
              <w:t>预算法</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行政单位会计制度》等法律法规，各项经费支出严格按照政府采购、国库集中支付等有关规定执行。同时我镇先后</w:t>
            </w:r>
            <w:r>
              <w:rPr>
                <w:rFonts w:hint="eastAsia" w:ascii="仿宋_GB2312" w:hAnsi="宋体" w:eastAsia="仿宋_GB2312" w:cs="宋体"/>
                <w:kern w:val="0"/>
                <w:sz w:val="24"/>
                <w:lang w:eastAsia="zh-CN"/>
              </w:rPr>
              <w:t>制定了</w:t>
            </w:r>
            <w:r>
              <w:rPr>
                <w:rFonts w:hint="eastAsia" w:ascii="仿宋_GB2312" w:hAnsi="宋体" w:eastAsia="仿宋_GB2312" w:cs="宋体"/>
                <w:kern w:val="0"/>
                <w:sz w:val="24"/>
              </w:rPr>
              <w:t>《湘潭县</w:t>
            </w:r>
            <w:r>
              <w:rPr>
                <w:rFonts w:hint="eastAsia" w:ascii="仿宋_GB2312" w:hAnsi="宋体" w:eastAsia="仿宋_GB2312" w:cs="宋体"/>
                <w:kern w:val="0"/>
                <w:sz w:val="24"/>
                <w:lang w:eastAsia="zh-CN"/>
              </w:rPr>
              <w:t>杨嘉桥</w:t>
            </w:r>
            <w:r>
              <w:rPr>
                <w:rFonts w:hint="eastAsia" w:ascii="仿宋_GB2312" w:hAnsi="宋体" w:eastAsia="仿宋_GB2312" w:cs="宋体"/>
                <w:kern w:val="0"/>
                <w:sz w:val="24"/>
              </w:rPr>
              <w:t>镇预算管理制度</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湘潭县</w:t>
            </w:r>
            <w:r>
              <w:rPr>
                <w:rFonts w:hint="eastAsia" w:ascii="仿宋_GB2312" w:hAnsi="宋体" w:eastAsia="仿宋_GB2312" w:cs="宋体"/>
                <w:kern w:val="0"/>
                <w:sz w:val="24"/>
                <w:lang w:eastAsia="zh-CN"/>
              </w:rPr>
              <w:t>杨嘉桥</w:t>
            </w:r>
            <w:r>
              <w:rPr>
                <w:rFonts w:hint="eastAsia" w:ascii="仿宋_GB2312" w:hAnsi="宋体" w:eastAsia="仿宋_GB2312" w:cs="宋体"/>
                <w:kern w:val="0"/>
                <w:sz w:val="24"/>
              </w:rPr>
              <w:t>镇政府采购管理办法</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湘潭县</w:t>
            </w:r>
            <w:r>
              <w:rPr>
                <w:rFonts w:hint="eastAsia" w:ascii="仿宋_GB2312" w:hAnsi="宋体" w:eastAsia="仿宋_GB2312" w:cs="宋体"/>
                <w:kern w:val="0"/>
                <w:sz w:val="24"/>
                <w:lang w:eastAsia="zh-CN"/>
              </w:rPr>
              <w:t>杨嘉桥</w:t>
            </w:r>
            <w:r>
              <w:rPr>
                <w:rFonts w:hint="eastAsia" w:ascii="仿宋_GB2312" w:hAnsi="宋体" w:eastAsia="仿宋_GB2312" w:cs="宋体"/>
                <w:kern w:val="0"/>
                <w:sz w:val="24"/>
              </w:rPr>
              <w:t>镇财务管理制度</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湘潭县</w:t>
            </w:r>
            <w:r>
              <w:rPr>
                <w:rFonts w:hint="eastAsia" w:ascii="仿宋_GB2312" w:hAnsi="宋体" w:eastAsia="仿宋_GB2312" w:cs="宋体"/>
                <w:kern w:val="0"/>
                <w:sz w:val="24"/>
                <w:lang w:eastAsia="zh-CN"/>
              </w:rPr>
              <w:t>杨嘉桥</w:t>
            </w:r>
            <w:r>
              <w:rPr>
                <w:rFonts w:hint="eastAsia" w:ascii="仿宋_GB2312" w:hAnsi="宋体" w:eastAsia="仿宋_GB2312" w:cs="宋体"/>
                <w:kern w:val="0"/>
                <w:sz w:val="24"/>
              </w:rPr>
              <w:t>镇支出管理制度</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湘潭县</w:t>
            </w:r>
            <w:r>
              <w:rPr>
                <w:rFonts w:hint="eastAsia" w:ascii="仿宋_GB2312" w:hAnsi="宋体" w:eastAsia="仿宋_GB2312" w:cs="宋体"/>
                <w:kern w:val="0"/>
                <w:sz w:val="24"/>
                <w:lang w:eastAsia="zh-CN"/>
              </w:rPr>
              <w:t>杨嘉桥</w:t>
            </w:r>
            <w:r>
              <w:rPr>
                <w:rFonts w:hint="eastAsia" w:ascii="仿宋_GB2312" w:hAnsi="宋体" w:eastAsia="仿宋_GB2312" w:cs="宋体"/>
                <w:kern w:val="0"/>
                <w:sz w:val="24"/>
              </w:rPr>
              <w:t>镇固定资产管理办法》等相关制度，明确了经费审批权限及程序，经费预算、核算管理、资产购置与处置、财务监督等。在“三公”经费管理方面，规范了公务接待的审批管理，较好地控制了行政运行成本。2021年部门整体支出</w:t>
            </w:r>
            <w:r>
              <w:rPr>
                <w:rFonts w:hint="eastAsia" w:ascii="仿宋_GB2312" w:hAnsi="宋体" w:eastAsia="仿宋_GB2312" w:cs="宋体"/>
                <w:kern w:val="0"/>
                <w:sz w:val="24"/>
                <w:lang w:val="en-US" w:eastAsia="zh-CN"/>
              </w:rPr>
              <w:t>5691.96</w:t>
            </w:r>
            <w:r>
              <w:rPr>
                <w:rFonts w:hint="eastAsia" w:ascii="仿宋_GB2312" w:hAnsi="宋体" w:eastAsia="仿宋_GB2312" w:cs="宋体"/>
                <w:kern w:val="0"/>
                <w:sz w:val="24"/>
              </w:rPr>
              <w:t>万元，支出按支出性质分类为：基本支出</w:t>
            </w:r>
            <w:r>
              <w:rPr>
                <w:rFonts w:hint="eastAsia" w:ascii="仿宋_GB2312" w:hAnsi="宋体" w:eastAsia="仿宋_GB2312" w:cs="宋体"/>
                <w:kern w:val="0"/>
                <w:sz w:val="24"/>
                <w:lang w:val="en-US" w:eastAsia="zh-CN"/>
              </w:rPr>
              <w:t>5691.96</w:t>
            </w:r>
            <w:r>
              <w:rPr>
                <w:rFonts w:hint="eastAsia" w:ascii="仿宋_GB2312" w:hAnsi="宋体" w:eastAsia="仿宋_GB2312" w:cs="宋体"/>
                <w:kern w:val="0"/>
                <w:sz w:val="24"/>
              </w:rPr>
              <w:t>万元（其中：人员经费</w:t>
            </w:r>
            <w:r>
              <w:rPr>
                <w:rFonts w:hint="eastAsia" w:ascii="仿宋_GB2312" w:hAnsi="宋体" w:eastAsia="仿宋_GB2312" w:cs="宋体"/>
                <w:kern w:val="0"/>
                <w:sz w:val="24"/>
                <w:lang w:val="en-US" w:eastAsia="zh-CN"/>
              </w:rPr>
              <w:t>3739.76</w:t>
            </w:r>
            <w:r>
              <w:rPr>
                <w:rFonts w:hint="eastAsia" w:ascii="仿宋_GB2312" w:hAnsi="宋体" w:eastAsia="仿宋_GB2312" w:cs="宋体"/>
                <w:kern w:val="0"/>
                <w:sz w:val="24"/>
              </w:rPr>
              <w:t>万元，日常公用经费</w:t>
            </w:r>
            <w:r>
              <w:rPr>
                <w:rFonts w:hint="eastAsia" w:ascii="仿宋_GB2312" w:hAnsi="宋体" w:eastAsia="仿宋_GB2312" w:cs="宋体"/>
                <w:kern w:val="0"/>
                <w:sz w:val="24"/>
                <w:lang w:val="en-US" w:eastAsia="zh-CN"/>
              </w:rPr>
              <w:t>1952.20</w:t>
            </w:r>
            <w:r>
              <w:rPr>
                <w:rFonts w:hint="eastAsia" w:ascii="仿宋_GB2312" w:hAnsi="宋体" w:eastAsia="仿宋_GB2312" w:cs="宋体"/>
                <w:kern w:val="0"/>
                <w:sz w:val="24"/>
              </w:rPr>
              <w:t>万元，项目支出：无）。支出按经济分类为：工资福利支出</w:t>
            </w:r>
            <w:r>
              <w:rPr>
                <w:rFonts w:hint="eastAsia" w:ascii="仿宋_GB2312" w:hAnsi="宋体" w:eastAsia="仿宋_GB2312" w:cs="宋体"/>
                <w:kern w:val="0"/>
                <w:sz w:val="24"/>
                <w:lang w:val="en-US" w:eastAsia="zh-CN"/>
              </w:rPr>
              <w:t>2006.32</w:t>
            </w:r>
            <w:r>
              <w:rPr>
                <w:rFonts w:hint="eastAsia" w:ascii="仿宋_GB2312" w:hAnsi="宋体" w:eastAsia="仿宋_GB2312" w:cs="宋体"/>
                <w:kern w:val="0"/>
                <w:sz w:val="24"/>
              </w:rPr>
              <w:t>万元，商品和服务支出</w:t>
            </w:r>
            <w:r>
              <w:rPr>
                <w:rFonts w:hint="eastAsia" w:ascii="仿宋_GB2312" w:hAnsi="宋体" w:eastAsia="仿宋_GB2312" w:cs="宋体"/>
                <w:kern w:val="0"/>
                <w:sz w:val="24"/>
                <w:lang w:val="en-US" w:eastAsia="zh-CN"/>
              </w:rPr>
              <w:t>1899.19</w:t>
            </w:r>
            <w:r>
              <w:rPr>
                <w:rFonts w:hint="eastAsia" w:ascii="仿宋_GB2312" w:hAnsi="宋体" w:eastAsia="仿宋_GB2312" w:cs="宋体"/>
                <w:kern w:val="0"/>
                <w:sz w:val="24"/>
              </w:rPr>
              <w:t>万元，对个人和家庭的补助</w:t>
            </w:r>
            <w:r>
              <w:rPr>
                <w:rFonts w:hint="eastAsia" w:ascii="仿宋_GB2312" w:hAnsi="宋体" w:eastAsia="仿宋_GB2312" w:cs="宋体"/>
                <w:kern w:val="0"/>
                <w:sz w:val="24"/>
                <w:lang w:val="en-US" w:eastAsia="zh-CN"/>
              </w:rPr>
              <w:t>1733.45</w:t>
            </w:r>
            <w:r>
              <w:rPr>
                <w:rFonts w:hint="eastAsia" w:ascii="仿宋_GB2312" w:hAnsi="宋体" w:eastAsia="仿宋_GB2312" w:cs="宋体"/>
                <w:kern w:val="0"/>
                <w:sz w:val="24"/>
              </w:rPr>
              <w:t>万元，资本性支出</w:t>
            </w:r>
            <w:r>
              <w:rPr>
                <w:rFonts w:hint="eastAsia" w:ascii="仿宋_GB2312" w:hAnsi="宋体" w:eastAsia="仿宋_GB2312" w:cs="宋体"/>
                <w:kern w:val="0"/>
                <w:sz w:val="24"/>
                <w:lang w:val="en-US" w:eastAsia="zh-CN"/>
              </w:rPr>
              <w:t>53.00</w:t>
            </w:r>
            <w:r>
              <w:rPr>
                <w:rFonts w:hint="eastAsia" w:ascii="仿宋_GB2312" w:hAnsi="宋体" w:eastAsia="仿宋_GB2312" w:cs="宋体"/>
                <w:kern w:val="0"/>
                <w:sz w:val="24"/>
              </w:rPr>
              <w:t>万元。2021年“三公”经费支出：</w:t>
            </w:r>
            <w:r>
              <w:rPr>
                <w:rFonts w:hint="eastAsia" w:ascii="仿宋_GB2312" w:hAnsi="宋体" w:eastAsia="仿宋_GB2312" w:cs="宋体"/>
                <w:kern w:val="0"/>
                <w:sz w:val="24"/>
                <w:lang w:val="en-US" w:eastAsia="zh-CN"/>
              </w:rPr>
              <w:t>9.43万元</w:t>
            </w:r>
            <w:r>
              <w:rPr>
                <w:rFonts w:hint="eastAsia" w:ascii="仿宋_GB2312" w:hAnsi="宋体" w:eastAsia="仿宋_GB2312" w:cs="宋体"/>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vAlign w:val="top"/>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p>
        </w:tc>
        <w:tc>
          <w:tcPr>
            <w:tcW w:w="1697" w:type="dxa"/>
            <w:vAlign w:val="center"/>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绩效目标完成情况</w:t>
            </w:r>
          </w:p>
        </w:tc>
        <w:tc>
          <w:tcPr>
            <w:tcW w:w="5958" w:type="dxa"/>
            <w:vAlign w:val="center"/>
          </w:tcPr>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2021年，我镇坚持以习近平新时代中国特色社会主义思想为指导，深入贯彻党的十九大、十九届二中、三中、四中、五中、六中全会精神，坚决落实习近平总书记考察湖南重要讲话精神，紧紧围绕着县委制定的“三提一领”目标，按照“农业强基、园区提质、产业富足、治理有效”的工作思路，有力推进了全镇各项事业持续高质量发展，圆满完成了两委换届选举、疫情防控等重要工作。</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lang w:eastAsia="zh-CN"/>
              </w:rPr>
              <w:t>（一）</w:t>
            </w:r>
            <w:r>
              <w:rPr>
                <w:rFonts w:hint="eastAsia" w:ascii="仿宋_GB2312" w:hAnsi="宋体" w:eastAsia="仿宋_GB2312" w:cs="宋体"/>
                <w:kern w:val="0"/>
                <w:sz w:val="24"/>
              </w:rPr>
              <w:t>聚焦党的建设，基层组织稳定发展</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圆满完成“两委”换届选举工作，基层党组织班子结构全面优化</w:t>
            </w:r>
            <w:r>
              <w:rPr>
                <w:rFonts w:hint="eastAsia" w:ascii="仿宋_GB2312" w:hAnsi="宋体" w:eastAsia="仿宋_GB2312" w:cs="宋体"/>
                <w:kern w:val="0"/>
                <w:sz w:val="24"/>
                <w:lang w:eastAsia="zh-CN"/>
              </w:rPr>
              <w:t>，</w:t>
            </w:r>
            <w:r>
              <w:rPr>
                <w:rFonts w:hint="eastAsia" w:ascii="仿宋_GB2312" w:hAnsi="宋体" w:eastAsia="仿宋_GB2312" w:cs="宋体"/>
                <w:kern w:val="0"/>
                <w:sz w:val="24"/>
              </w:rPr>
              <w:t>全面实现“一肩挑”和“交叉任职”。在优先保障村级运转的基础上完善23个村（社区）便民服务综合平台建设，“一门式”全覆盖工作稳步推进。开展“党建+社会治理‘百千万’工程”。全镇建立113个大网格和680个党员小网格，打造以党员为主体的村组管家队伍，实现“小事不出村、大事不出镇、矛盾不上交”。湖南湘水缘党支部于2021年6月成功获评湖南省非公有制经济组织先进基层党组织。</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lang w:eastAsia="zh-CN"/>
              </w:rPr>
              <w:t>（二）</w:t>
            </w:r>
            <w:r>
              <w:rPr>
                <w:rFonts w:hint="eastAsia" w:ascii="仿宋_GB2312" w:hAnsi="宋体" w:eastAsia="仿宋_GB2312" w:cs="宋体"/>
                <w:kern w:val="0"/>
                <w:sz w:val="24"/>
              </w:rPr>
              <w:t>聚焦经济发展，园区建设持续推进</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立足于“引老乡、回故乡、建家乡”的招商模式，通过党政负责人亲自参与招商引资工作，用“店小二”的服务精神，提升客商满意度。招商引资成效明显。今年园区接待客商8批次，引进新建项目6个，接触意向项目5个，完成土地征拆134.85亩，项目总投资超2.6亿元。截至目前，全镇新增固定投资项目13个，新增总投资额70911万元，其中已完成投资额66872万元。重大项目有序推进。目前杨河工业园建成投产的企业有10家，新入园项目投资强度150万元/亩以上，税收贡献5万元/每亩以上的标准。</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2021年本镇税收任务2086万元</w:t>
            </w:r>
            <w:r>
              <w:rPr>
                <w:rFonts w:hint="eastAsia" w:ascii="仿宋_GB2312" w:hAnsi="宋体" w:eastAsia="仿宋_GB2312" w:cs="宋体"/>
                <w:kern w:val="0"/>
                <w:sz w:val="24"/>
              </w:rPr>
              <w:t>，</w:t>
            </w:r>
            <w:r>
              <w:rPr>
                <w:rFonts w:hint="eastAsia" w:ascii="仿宋_GB2312" w:hAnsi="宋体" w:eastAsia="仿宋_GB2312" w:cs="宋体"/>
                <w:kern w:val="0"/>
                <w:sz w:val="24"/>
                <w:lang w:eastAsia="zh-CN"/>
              </w:rPr>
              <w:t>完成</w:t>
            </w:r>
            <w:r>
              <w:rPr>
                <w:rFonts w:hint="eastAsia" w:ascii="仿宋_GB2312" w:hAnsi="宋体" w:eastAsia="仿宋_GB2312" w:cs="宋体"/>
                <w:kern w:val="0"/>
                <w:sz w:val="24"/>
              </w:rPr>
              <w:t>税收</w:t>
            </w:r>
            <w:r>
              <w:rPr>
                <w:rFonts w:hint="eastAsia" w:ascii="仿宋_GB2312" w:hAnsi="宋体" w:eastAsia="仿宋_GB2312" w:cs="宋体"/>
                <w:kern w:val="0"/>
                <w:sz w:val="24"/>
                <w:lang w:val="en-US" w:eastAsia="zh-CN"/>
              </w:rPr>
              <w:t>2298</w:t>
            </w:r>
            <w:r>
              <w:rPr>
                <w:rFonts w:hint="eastAsia" w:ascii="仿宋_GB2312" w:hAnsi="宋体" w:eastAsia="仿宋_GB2312" w:cs="宋体"/>
                <w:kern w:val="0"/>
                <w:sz w:val="24"/>
              </w:rPr>
              <w:t>万元，</w:t>
            </w:r>
            <w:r>
              <w:rPr>
                <w:rFonts w:hint="eastAsia" w:ascii="仿宋_GB2312" w:hAnsi="宋体" w:eastAsia="仿宋_GB2312" w:cs="宋体"/>
                <w:kern w:val="0"/>
                <w:sz w:val="24"/>
                <w:lang w:eastAsia="zh-CN"/>
              </w:rPr>
              <w:t>超额完成税收任务</w:t>
            </w:r>
            <w:r>
              <w:rPr>
                <w:rFonts w:hint="eastAsia" w:ascii="仿宋_GB2312" w:hAnsi="宋体" w:eastAsia="仿宋_GB2312" w:cs="宋体"/>
                <w:kern w:val="0"/>
                <w:sz w:val="24"/>
                <w:lang w:val="en-US" w:eastAsia="zh-CN"/>
              </w:rPr>
              <w:t>212万元，</w:t>
            </w:r>
            <w:r>
              <w:rPr>
                <w:rFonts w:hint="eastAsia" w:ascii="仿宋_GB2312" w:hAnsi="宋体" w:eastAsia="仿宋_GB2312" w:cs="宋体"/>
                <w:kern w:val="0"/>
                <w:sz w:val="24"/>
              </w:rPr>
              <w:t>年度税收任务超额完成10</w:t>
            </w:r>
            <w:r>
              <w:rPr>
                <w:rFonts w:hint="eastAsia" w:ascii="仿宋_GB2312" w:hAnsi="宋体" w:eastAsia="仿宋_GB2312" w:cs="宋体"/>
                <w:kern w:val="0"/>
                <w:sz w:val="24"/>
                <w:lang w:val="en-US" w:eastAsia="zh-CN"/>
              </w:rPr>
              <w:t>.16</w:t>
            </w:r>
            <w:r>
              <w:rPr>
                <w:rFonts w:hint="eastAsia" w:ascii="仿宋_GB2312" w:hAnsi="宋体" w:eastAsia="仿宋_GB2312" w:cs="宋体"/>
                <w:kern w:val="0"/>
                <w:sz w:val="24"/>
              </w:rPr>
              <w:t>%；</w:t>
            </w:r>
            <w:r>
              <w:rPr>
                <w:rFonts w:hint="eastAsia" w:ascii="仿宋_GB2312" w:hAnsi="宋体" w:eastAsia="仿宋_GB2312" w:cs="宋体"/>
                <w:kern w:val="0"/>
                <w:sz w:val="24"/>
                <w:lang w:eastAsia="zh-CN"/>
              </w:rPr>
              <w:t>非税收入年度任务</w:t>
            </w:r>
            <w:r>
              <w:rPr>
                <w:rFonts w:hint="eastAsia" w:ascii="仿宋_GB2312" w:hAnsi="宋体" w:eastAsia="仿宋_GB2312" w:cs="宋体"/>
                <w:kern w:val="0"/>
                <w:sz w:val="24"/>
                <w:lang w:val="en-US" w:eastAsia="zh-CN"/>
              </w:rPr>
              <w:t>100万元，完成106.8万元，超额完成任务6.8%；</w:t>
            </w:r>
            <w:r>
              <w:rPr>
                <w:rFonts w:hint="eastAsia" w:ascii="仿宋_GB2312" w:hAnsi="宋体" w:eastAsia="仿宋_GB2312" w:cs="宋体"/>
                <w:kern w:val="0"/>
                <w:sz w:val="24"/>
              </w:rPr>
              <w:t>全镇规模工业企业总产值已完成27.9亿元，规模工业总产值同比去年增长16%，规模商贸业实现销售收入768万，规模服务业实现营业收入1.15亿元。固定资产投资完成7.03亿元。</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lang w:eastAsia="zh-CN"/>
              </w:rPr>
              <w:t>（三）</w:t>
            </w:r>
            <w:r>
              <w:rPr>
                <w:rFonts w:hint="eastAsia" w:ascii="仿宋_GB2312" w:hAnsi="宋体" w:eastAsia="仿宋_GB2312" w:cs="宋体"/>
                <w:kern w:val="0"/>
                <w:sz w:val="24"/>
              </w:rPr>
              <w:t>聚焦“三农”工作，助力乡村振兴</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健全防止返贫动态监测和帮扶机制。紧盯有返贫风险的脱贫户，逐户开展走访摸排，实现监测对象精准掌握。全力保障粮食生产。全年推广优质稻种植面积达8.3万亩，预计总产量达7.9万吨，其中九江村千亩示范片，燕荆、金洪等村200亩示范片。积极推动项目示范。杨嘉桥、雁银、新桥3个村落实早稻集中育秧千亩示范片，旷家新村落实早稻万亩示范片，辐射周边金洪、金凤、同福、新福等村。示范片种植率为100%，示范片水稻亩产达到450公斤以上。巩固发展传统养殖。全镇有养猪大户112户，新引进种猪4550头，其中利群生猪合作社种猪存栏1200头，兴农牧业种植存栏400头。存栏生猪9万头，养殖收入逐步增加。坚持发展产业，增加造血功能。“一村一品”特色鲜明，发展金洪村休闲垂钓旅游业，金福村牛蛙养殖业，雁银村立华牧业等特色产业，筑牢返贫防线，建立稳定发展的长效机制。全面深化农村改革。依托“四站融合”发展农村电子商务。实行“壮大村级集体经济三年强村计划”，白鹿村、金福村成功申报50万省级扶持村级集体经济资金，村级集体经济年底预计可达150万元。</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lang w:eastAsia="zh-CN"/>
              </w:rPr>
              <w:t>（四）</w:t>
            </w:r>
            <w:r>
              <w:rPr>
                <w:rFonts w:hint="eastAsia" w:ascii="仿宋_GB2312" w:hAnsi="宋体" w:eastAsia="仿宋_GB2312" w:cs="宋体"/>
                <w:kern w:val="0"/>
                <w:sz w:val="24"/>
              </w:rPr>
              <w:t>聚焦疫情防控，织密联防联控网络</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rPr>
              <w:t>全体镇村干部“白加黑”“5+2”冲锋在抗疫第一线，取得了“零输入”“零疑似”“零确诊”的良好成绩。营造联防联控氛围。号召200余名党员、团员加入志愿者队伍，大力宣传疫情防控知识和要求。机关单位、企业和个人捐赠防疫物资总价值超过20万元。细化联防联控措施。为疫苗接种提供服务，并接送行动不便、位置不便的群众进行接种，累计出动疫苗接种志愿车800多台/次，接送5200余人进行疫苗注射，连续10天日接种量超过1100人。截至目前，全镇累计接种6岁以上人群新冠疫苗71155剂次，疫苗接种工作位居全县第</w:t>
            </w: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eastAsia="zh-CN"/>
              </w:rPr>
              <w:t>（五）</w:t>
            </w:r>
            <w:r>
              <w:rPr>
                <w:rFonts w:hint="eastAsia" w:ascii="仿宋_GB2312" w:hAnsi="宋体" w:eastAsia="仿宋_GB2312" w:cs="宋体"/>
                <w:kern w:val="0"/>
                <w:sz w:val="24"/>
                <w:lang w:val="en-US" w:eastAsia="zh-CN"/>
              </w:rPr>
              <w:t>2021年我镇获得各项荣誉：</w:t>
            </w:r>
          </w:p>
          <w:p>
            <w:pPr>
              <w:keepNext w:val="0"/>
              <w:keepLines w:val="0"/>
              <w:suppressLineNumbers w:val="0"/>
              <w:spacing w:before="0" w:beforeAutospacing="0" w:after="0" w:afterAutospacing="0" w:line="360" w:lineRule="auto"/>
              <w:ind w:left="0" w:right="0" w:firstLine="480" w:firstLineChars="200"/>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1、在湖南省爱卫办进行的“湖南省卫生镇”评审中评为湖南省卫生镇（湘潭市仅3个乡镇获此称号）。</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2、在2021年度全市安全生产和消防工作考核中被评为安全生产和消防工作优秀乡镇。</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3、我镇在2021年被评为市粮食生产先进乡镇，我镇旷家新村及同福村被评为县粮食生产先进村。</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4、我镇政务（便民）服务中心被评为湘潭市首届“十佳政务大厅”（全市获评政务大厅10个）。</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5、被评为2021年度全县农村人居环境整治工作先进乡镇、先进村。</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6、湘潭县财政局关于2021年度乡镇财政所工作目标管理考评情况通报，综合平时抽查和年底检查情况，县财政局评定我镇财政管理工作靠前。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384" w:type="dxa"/>
            <w:vMerge w:val="restart"/>
            <w:vAlign w:val="center"/>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存在的问题分析及改进措施</w:t>
            </w:r>
          </w:p>
        </w:tc>
        <w:tc>
          <w:tcPr>
            <w:tcW w:w="1697" w:type="dxa"/>
            <w:vAlign w:val="center"/>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存在的问题</w:t>
            </w:r>
          </w:p>
        </w:tc>
        <w:tc>
          <w:tcPr>
            <w:tcW w:w="5958" w:type="dxa"/>
            <w:vAlign w:val="center"/>
          </w:tcPr>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目前杨嘉桥镇正处于进位赶超、稳中求进的关键时期，我们的总体发展水平与高质量发展的要求还有差距，发展中还存在一些困难和问题：</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1、预算编制的口径与实际执行不太一致；体制基数与财政总预算支出不匹配。</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2、乡镇专项资金难以预计，且难以估计来源渠道。</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3、部分功能性科目规范使用有待加强。因财政资金紧张，所需资金指标很难按时到位，而单位有些必要支出项目不得已使用其他功能指标进行支付时，造成实际支出与预算不匹配。</w:t>
            </w:r>
          </w:p>
          <w:p>
            <w:pPr>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4、乡镇各站办所涉及工作面广，具体工作存在不确定性，导致预算编制与实际执行有差异。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84" w:type="dxa"/>
            <w:vMerge w:val="continue"/>
            <w:vAlign w:val="top"/>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p>
        </w:tc>
        <w:tc>
          <w:tcPr>
            <w:tcW w:w="1697" w:type="dxa"/>
            <w:vAlign w:val="center"/>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改进措施</w:t>
            </w:r>
          </w:p>
        </w:tc>
        <w:tc>
          <w:tcPr>
            <w:tcW w:w="5958" w:type="dxa"/>
            <w:vAlign w:val="center"/>
          </w:tcPr>
          <w:p>
            <w:pPr>
              <w:pStyle w:val="16"/>
              <w:keepNext w:val="0"/>
              <w:keepLines w:val="0"/>
              <w:suppressLineNumbers w:val="0"/>
              <w:spacing w:before="0" w:beforeAutospacing="0" w:after="0" w:afterAutospacing="0" w:line="360" w:lineRule="auto"/>
              <w:ind w:left="0" w:right="0" w:firstLine="480" w:firstLineChars="200"/>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这些问题，是本单位工作的重中之重，镇党委、政府必将高度重视，并切实加以解决。</w:t>
            </w:r>
          </w:p>
          <w:p>
            <w:pPr>
              <w:keepNext w:val="0"/>
              <w:keepLines w:val="0"/>
              <w:suppressLineNumbers w:val="0"/>
              <w:spacing w:before="0" w:beforeAutospacing="0" w:after="0" w:afterAutospacing="0" w:line="360" w:lineRule="auto"/>
              <w:ind w:left="0" w:right="0" w:firstLine="560"/>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1、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0"/>
              <w:jc w:val="both"/>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2、乡镇专项资金应在年初的时候根据政府下达的工作任务，合理</w:t>
            </w:r>
            <w:r>
              <w:rPr>
                <w:rFonts w:hint="eastAsia" w:ascii="仿宋_GB2312" w:eastAsia="仿宋_GB2312" w:cs="宋体"/>
                <w:kern w:val="0"/>
                <w:sz w:val="24"/>
                <w:szCs w:val="24"/>
                <w:lang w:val="en-US" w:eastAsia="zh-CN" w:bidi="ar-SA"/>
              </w:rPr>
              <w:t>的</w:t>
            </w:r>
            <w:r>
              <w:rPr>
                <w:rFonts w:hint="eastAsia" w:ascii="仿宋_GB2312" w:hAnsi="宋体" w:eastAsia="仿宋_GB2312" w:cs="宋体"/>
                <w:kern w:val="0"/>
                <w:sz w:val="24"/>
                <w:szCs w:val="24"/>
                <w:lang w:val="en-US" w:eastAsia="zh-CN" w:bidi="ar-SA"/>
              </w:rPr>
              <w:t>预算好专项项目的成本费用列支情况，必要的时候聘请中介机构进行造价的合理估算，集体决议后统一上报，大力整合各项财政资金，集中投向专项项目，保证项目的正常运作。</w:t>
            </w:r>
          </w:p>
          <w:p>
            <w:pPr>
              <w:keepNext w:val="0"/>
              <w:keepLines w:val="0"/>
              <w:suppressLineNumbers w:val="0"/>
              <w:spacing w:before="0" w:beforeAutospacing="0" w:after="0" w:afterAutospacing="0" w:line="360" w:lineRule="auto"/>
              <w:ind w:left="0" w:right="0" w:firstLine="560"/>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3、强化日常管理工作。一是及时掌握资金使用动态情况，了解资金使用过程中产生的效果以及满意度情况；二是加强资金使用各环节的管理，严格按政策、制度的规定用好每一笔资金。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vAlign w:val="top"/>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p>
        </w:tc>
        <w:tc>
          <w:tcPr>
            <w:tcW w:w="1697" w:type="dxa"/>
            <w:vAlign w:val="center"/>
          </w:tcPr>
          <w:p>
            <w:pPr>
              <w:keepNext w:val="0"/>
              <w:keepLines w:val="0"/>
              <w:suppressLineNumbers w:val="0"/>
              <w:spacing w:before="0" w:beforeAutospacing="0" w:after="0" w:afterAutospacing="0" w:line="576" w:lineRule="exact"/>
              <w:ind w:left="0" w:right="0"/>
              <w:jc w:val="center"/>
              <w:rPr>
                <w:rFonts w:hint="default" w:ascii="仿宋_GB2312" w:hAnsi="宋体" w:eastAsia="仿宋_GB2312" w:cs="宋体"/>
                <w:sz w:val="24"/>
              </w:rPr>
            </w:pPr>
            <w:r>
              <w:rPr>
                <w:rFonts w:hint="eastAsia" w:ascii="仿宋_GB2312" w:hAnsi="宋体" w:eastAsia="仿宋_GB2312" w:cs="宋体"/>
                <w:sz w:val="24"/>
              </w:rPr>
              <w:t>其他需要说明问题</w:t>
            </w:r>
          </w:p>
        </w:tc>
        <w:tc>
          <w:tcPr>
            <w:tcW w:w="5958" w:type="dxa"/>
            <w:vAlign w:val="center"/>
          </w:tcPr>
          <w:p>
            <w:pPr>
              <w:keepNext w:val="0"/>
              <w:keepLines w:val="0"/>
              <w:suppressLineNumbers w:val="0"/>
              <w:spacing w:before="0" w:beforeAutospacing="0" w:after="0" w:afterAutospacing="0" w:line="576" w:lineRule="exact"/>
              <w:ind w:left="0" w:right="879" w:rightChars="419"/>
              <w:jc w:val="center"/>
              <w:rPr>
                <w:rFonts w:hint="default" w:ascii="仿宋_GB2312" w:hAnsi="宋体" w:eastAsia="仿宋_GB2312" w:cs="宋体"/>
                <w:sz w:val="24"/>
              </w:rPr>
            </w:pPr>
            <w:r>
              <w:rPr>
                <w:rFonts w:hint="eastAsia" w:ascii="仿宋_GB2312" w:hAnsi="宋体" w:eastAsia="仿宋_GB2312" w:cs="宋体"/>
                <w:sz w:val="24"/>
              </w:rPr>
              <w:t>无</w:t>
            </w:r>
          </w:p>
        </w:tc>
      </w:tr>
    </w:tbl>
    <w:p>
      <w:pPr>
        <w:ind w:firstLine="640" w:firstLineChars="200"/>
        <w:jc w:val="left"/>
        <w:rPr>
          <w:rFonts w:ascii="宋体" w:cs="Times New Roman"/>
          <w:color w:val="000000"/>
          <w:kern w:val="0"/>
          <w:sz w:val="32"/>
          <w:szCs w:val="32"/>
        </w:rPr>
      </w:pPr>
    </w:p>
    <w:p>
      <w:pPr>
        <w:jc w:val="left"/>
        <w:rPr>
          <w:rFonts w:ascii="宋体" w:cs="Times New Roman"/>
          <w:color w:val="000000"/>
          <w:kern w:val="0"/>
          <w:sz w:val="32"/>
          <w:szCs w:val="32"/>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F58F291F-F0F4-4BA9-B79A-AE97571A6750}"/>
  </w:font>
  <w:font w:name="黑体">
    <w:panose1 w:val="02010609060101010101"/>
    <w:charset w:val="86"/>
    <w:family w:val="auto"/>
    <w:pitch w:val="default"/>
    <w:sig w:usb0="800002BF" w:usb1="38CF7CFA" w:usb2="00000016" w:usb3="00000000" w:csb0="00040001" w:csb1="00000000"/>
    <w:embedRegular r:id="rId2" w:fontKey="{D7AC07D4-CAC9-4546-A9DC-0FEC20DE872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3" w:fontKey="{868BF07A-C153-4FD1-81EC-352B53939CA5}"/>
  </w:font>
  <w:font w:name="方正小标宋_GBK">
    <w:panose1 w:val="02000000000000000000"/>
    <w:charset w:val="86"/>
    <w:family w:val="script"/>
    <w:pitch w:val="default"/>
    <w:sig w:usb0="A00002BF" w:usb1="38CF7CFA" w:usb2="00082016" w:usb3="00000000" w:csb0="00040001" w:csb1="00000000"/>
    <w:embedRegular r:id="rId4" w:fontKey="{5563B37E-E97E-4DB8-8475-E56FE4B4ECC5}"/>
  </w:font>
  <w:font w:name="仿宋">
    <w:panose1 w:val="02010609060101010101"/>
    <w:charset w:val="86"/>
    <w:family w:val="auto"/>
    <w:pitch w:val="default"/>
    <w:sig w:usb0="800002BF" w:usb1="38CF7CFA" w:usb2="00000016" w:usb3="00000000" w:csb0="00040001" w:csb1="00000000"/>
    <w:embedRegular r:id="rId5" w:fontKey="{FEC931FE-4ACC-41F1-A28A-EB553108C1A8}"/>
  </w:font>
  <w:font w:name="微软雅黑">
    <w:panose1 w:val="020B0503020204020204"/>
    <w:charset w:val="86"/>
    <w:family w:val="auto"/>
    <w:pitch w:val="default"/>
    <w:sig w:usb0="80000287" w:usb1="280F3C52" w:usb2="00000016" w:usb3="00000000" w:csb0="0004001F" w:csb1="00000000"/>
    <w:embedRegular r:id="rId6" w:fontKey="{6D15D673-CA3B-4C41-9CFE-D9740D82AFC2}"/>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8E153A"/>
    <w:multiLevelType w:val="singleLevel"/>
    <w:tmpl w:val="E08E153A"/>
    <w:lvl w:ilvl="0" w:tentative="0">
      <w:start w:val="18"/>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GM4NDY3MDdkNzQ0ZDIwNmMwY2YwYWNjNzRlOTI1ODc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C036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1B94762"/>
    <w:rsid w:val="02894687"/>
    <w:rsid w:val="02E76D69"/>
    <w:rsid w:val="06101C58"/>
    <w:rsid w:val="07A273F2"/>
    <w:rsid w:val="07BA5E1E"/>
    <w:rsid w:val="09D85EFA"/>
    <w:rsid w:val="0AD3655E"/>
    <w:rsid w:val="0B0F319A"/>
    <w:rsid w:val="0BCE221F"/>
    <w:rsid w:val="103D0541"/>
    <w:rsid w:val="104F414C"/>
    <w:rsid w:val="10967755"/>
    <w:rsid w:val="11D71831"/>
    <w:rsid w:val="124E765D"/>
    <w:rsid w:val="13BC7E35"/>
    <w:rsid w:val="13D55743"/>
    <w:rsid w:val="14150715"/>
    <w:rsid w:val="15C31904"/>
    <w:rsid w:val="163D0024"/>
    <w:rsid w:val="16646A67"/>
    <w:rsid w:val="16E97ABA"/>
    <w:rsid w:val="18D954BF"/>
    <w:rsid w:val="197979EB"/>
    <w:rsid w:val="197D7485"/>
    <w:rsid w:val="1AF500BD"/>
    <w:rsid w:val="1D1D4003"/>
    <w:rsid w:val="1DCD2D51"/>
    <w:rsid w:val="1E0265CC"/>
    <w:rsid w:val="1FB104BE"/>
    <w:rsid w:val="20A26767"/>
    <w:rsid w:val="20CE7B22"/>
    <w:rsid w:val="22194A19"/>
    <w:rsid w:val="27332D68"/>
    <w:rsid w:val="284E65ED"/>
    <w:rsid w:val="296526A8"/>
    <w:rsid w:val="2B0D5850"/>
    <w:rsid w:val="2C4A1F29"/>
    <w:rsid w:val="2C6729B6"/>
    <w:rsid w:val="2E874867"/>
    <w:rsid w:val="2EB300BB"/>
    <w:rsid w:val="2F355C8E"/>
    <w:rsid w:val="3124429C"/>
    <w:rsid w:val="31C61972"/>
    <w:rsid w:val="31CD5F3F"/>
    <w:rsid w:val="31CD7447"/>
    <w:rsid w:val="331269A3"/>
    <w:rsid w:val="3316170F"/>
    <w:rsid w:val="355153F3"/>
    <w:rsid w:val="35FE103C"/>
    <w:rsid w:val="36AC0151"/>
    <w:rsid w:val="36DD6ED4"/>
    <w:rsid w:val="372D7098"/>
    <w:rsid w:val="38B43EA5"/>
    <w:rsid w:val="39132A95"/>
    <w:rsid w:val="3A505044"/>
    <w:rsid w:val="3B2A220A"/>
    <w:rsid w:val="3D7570DD"/>
    <w:rsid w:val="3DAA6DEC"/>
    <w:rsid w:val="4157042E"/>
    <w:rsid w:val="435140E5"/>
    <w:rsid w:val="438F25E2"/>
    <w:rsid w:val="44581571"/>
    <w:rsid w:val="44EB58E1"/>
    <w:rsid w:val="46756350"/>
    <w:rsid w:val="47476709"/>
    <w:rsid w:val="474B2221"/>
    <w:rsid w:val="4913047A"/>
    <w:rsid w:val="497A278E"/>
    <w:rsid w:val="4A392FB7"/>
    <w:rsid w:val="4E30093E"/>
    <w:rsid w:val="4F8D3B03"/>
    <w:rsid w:val="4FD177A8"/>
    <w:rsid w:val="502E1DA6"/>
    <w:rsid w:val="52353C89"/>
    <w:rsid w:val="54751090"/>
    <w:rsid w:val="556B1A0F"/>
    <w:rsid w:val="56424565"/>
    <w:rsid w:val="56D4415B"/>
    <w:rsid w:val="576E1A54"/>
    <w:rsid w:val="57F10EA3"/>
    <w:rsid w:val="57FF79E1"/>
    <w:rsid w:val="5A920684"/>
    <w:rsid w:val="5EF84214"/>
    <w:rsid w:val="608D71FE"/>
    <w:rsid w:val="62217F0A"/>
    <w:rsid w:val="63657CFF"/>
    <w:rsid w:val="644C1AA2"/>
    <w:rsid w:val="65D576D7"/>
    <w:rsid w:val="66AC1CAB"/>
    <w:rsid w:val="68154BC9"/>
    <w:rsid w:val="68B97582"/>
    <w:rsid w:val="68F4768C"/>
    <w:rsid w:val="6B2A021D"/>
    <w:rsid w:val="6B6F7227"/>
    <w:rsid w:val="6BD663EF"/>
    <w:rsid w:val="6D2D4D2B"/>
    <w:rsid w:val="6E0A3446"/>
    <w:rsid w:val="6E614F55"/>
    <w:rsid w:val="6EC35C1B"/>
    <w:rsid w:val="714448E2"/>
    <w:rsid w:val="727A2170"/>
    <w:rsid w:val="75740158"/>
    <w:rsid w:val="75835178"/>
    <w:rsid w:val="76C51E30"/>
    <w:rsid w:val="79C766C2"/>
    <w:rsid w:val="7A720EA1"/>
    <w:rsid w:val="7BCA4C93"/>
    <w:rsid w:val="7CD448F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qFormat/>
    <w:uiPriority w:val="99"/>
  </w:style>
  <w:style w:type="table" w:default="1" w:styleId="7">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正文格式"/>
    <w:qFormat/>
    <w:uiPriority w:val="0"/>
    <w:pPr>
      <w:spacing w:beforeLines="50" w:afterLines="50" w:line="360" w:lineRule="auto"/>
      <w:ind w:firstLine="480" w:firstLineChars="200"/>
    </w:pPr>
    <w:rPr>
      <w:rFonts w:ascii="Times New Roman" w:hAnsi="Times New Roman" w:eastAsia="宋体" w:cs="Times New Roman"/>
      <w:kern w:val="2"/>
      <w:sz w:val="24"/>
      <w:szCs w:val="22"/>
      <w:lang w:val="en-US" w:eastAsia="zh-CN" w:bidi="ar-SA"/>
    </w:rPr>
  </w:style>
  <w:style w:type="paragraph" w:styleId="3">
    <w:name w:val="Balloon Text"/>
    <w:basedOn w:val="1"/>
    <w:link w:val="14"/>
    <w:semiHidden/>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Header Char"/>
    <w:basedOn w:val="9"/>
    <w:link w:val="5"/>
    <w:qFormat/>
    <w:locked/>
    <w:uiPriority w:val="99"/>
    <w:rPr>
      <w:sz w:val="18"/>
      <w:szCs w:val="18"/>
    </w:rPr>
  </w:style>
  <w:style w:type="character" w:customStyle="1" w:styleId="11">
    <w:name w:val="Footer Char"/>
    <w:basedOn w:val="9"/>
    <w:link w:val="4"/>
    <w:qFormat/>
    <w:locked/>
    <w:uiPriority w:val="99"/>
    <w:rPr>
      <w:sz w:val="18"/>
      <w:szCs w:val="18"/>
    </w:rPr>
  </w:style>
  <w:style w:type="paragraph" w:customStyle="1" w:styleId="12">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customStyle="1" w:styleId="13">
    <w:name w:val="List Paragraph"/>
    <w:basedOn w:val="1"/>
    <w:qFormat/>
    <w:uiPriority w:val="99"/>
    <w:pPr>
      <w:ind w:firstLine="420" w:firstLineChars="200"/>
    </w:pPr>
  </w:style>
  <w:style w:type="character" w:customStyle="1" w:styleId="14">
    <w:name w:val="Balloon Text Char"/>
    <w:basedOn w:val="9"/>
    <w:link w:val="3"/>
    <w:semiHidden/>
    <w:qFormat/>
    <w:locked/>
    <w:uiPriority w:val="99"/>
    <w:rPr>
      <w:sz w:val="18"/>
      <w:szCs w:val="18"/>
    </w:rPr>
  </w:style>
  <w:style w:type="paragraph" w:customStyle="1" w:styleId="15">
    <w:name w:val="List Paragraph1"/>
    <w:basedOn w:val="1"/>
    <w:qFormat/>
    <w:uiPriority w:val="99"/>
    <w:pPr>
      <w:ind w:firstLine="420" w:firstLineChars="200"/>
    </w:pPr>
  </w:style>
  <w:style w:type="paragraph" w:customStyle="1" w:styleId="16">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38</Pages>
  <Words>13574</Words>
  <Characters>19215</Characters>
  <Lines>0</Lines>
  <Paragraphs>0</Paragraphs>
  <TotalTime>11</TotalTime>
  <ScaleCrop>false</ScaleCrop>
  <LinksUpToDate>false</LinksUpToDate>
  <CharactersWithSpaces>19584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战歌丶</cp:lastModifiedBy>
  <cp:lastPrinted>2022-07-21T07:51:00Z</cp:lastPrinted>
  <dcterms:modified xsi:type="dcterms:W3CDTF">2023-09-21T00:50:25Z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2052-12.1.0.15374</vt:lpwstr>
  </property>
  <property fmtid="{D5CDD505-2E9C-101B-9397-08002B2CF9AE}" pid="4" name="ICV">
    <vt:lpwstr>A657EFB301FC4D5FB16B55F61293875A</vt:lpwstr>
  </property>
</Properties>
</file>