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宋体" w:hAnsi="宋体" w:eastAsia="宋体" w:cs="宋体"/>
          <w:sz w:val="72"/>
          <w:szCs w:val="72"/>
        </w:rPr>
      </w:pPr>
    </w:p>
    <w:p>
      <w:pPr>
        <w:pStyle w:val="2"/>
        <w:jc w:val="center"/>
        <w:rPr>
          <w:rFonts w:ascii="宋体" w:hAnsi="宋体" w:eastAsia="宋体" w:cs="宋体"/>
          <w:sz w:val="72"/>
          <w:szCs w:val="72"/>
        </w:rPr>
      </w:pPr>
    </w:p>
    <w:p>
      <w:pPr>
        <w:pStyle w:val="2"/>
        <w:jc w:val="center"/>
        <w:rPr>
          <w:rFonts w:ascii="宋体" w:hAnsi="宋体" w:eastAsia="宋体" w:cs="宋体"/>
          <w:sz w:val="72"/>
          <w:szCs w:val="72"/>
        </w:rPr>
      </w:pPr>
    </w:p>
    <w:p>
      <w:pPr>
        <w:pStyle w:val="2"/>
        <w:jc w:val="center"/>
        <w:rPr>
          <w:rFonts w:ascii="宋体" w:hAnsi="宋体" w:eastAsia="宋体" w:cs="宋体"/>
          <w:sz w:val="72"/>
          <w:szCs w:val="72"/>
        </w:rPr>
      </w:pPr>
    </w:p>
    <w:p>
      <w:pPr>
        <w:pStyle w:val="2"/>
        <w:jc w:val="center"/>
        <w:rPr>
          <w:rFonts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1</w:t>
      </w:r>
      <w:r>
        <w:rPr>
          <w:rFonts w:hint="eastAsia" w:ascii="宋体" w:hAnsi="宋体" w:eastAsia="宋体" w:cs="宋体"/>
          <w:sz w:val="72"/>
          <w:szCs w:val="72"/>
        </w:rPr>
        <w:t>年度</w:t>
      </w:r>
    </w:p>
    <w:p>
      <w:pPr>
        <w:pStyle w:val="2"/>
        <w:jc w:val="center"/>
        <w:rPr>
          <w:rFonts w:ascii="宋体" w:hAnsi="宋体" w:eastAsia="宋体" w:cs="宋体"/>
          <w:sz w:val="72"/>
          <w:szCs w:val="72"/>
        </w:rPr>
      </w:pPr>
      <w:r>
        <w:rPr>
          <w:rFonts w:hint="eastAsia" w:ascii="宋体" w:hAnsi="宋体" w:eastAsia="宋体" w:cs="宋体"/>
          <w:sz w:val="72"/>
          <w:szCs w:val="72"/>
        </w:rPr>
        <w:t>锦石乡人民政府</w:t>
      </w:r>
    </w:p>
    <w:p>
      <w:pPr>
        <w:pStyle w:val="2"/>
        <w:jc w:val="center"/>
        <w:rPr>
          <w:rFonts w:ascii="宋体" w:hAnsi="宋体" w:eastAsia="宋体" w:cs="宋体"/>
          <w:sz w:val="72"/>
          <w:szCs w:val="72"/>
        </w:rPr>
      </w:pPr>
      <w:r>
        <w:rPr>
          <w:rFonts w:hint="eastAsia" w:ascii="宋体" w:hAnsi="宋体" w:eastAsia="宋体" w:cs="宋体"/>
          <w:sz w:val="72"/>
          <w:szCs w:val="72"/>
        </w:rPr>
        <w:t>部门决算</w:t>
      </w:r>
    </w:p>
    <w:p>
      <w:pPr>
        <w:pStyle w:val="2"/>
        <w:jc w:val="center"/>
        <w:rPr>
          <w:rFonts w:ascii="宋体" w:hAnsi="宋体" w:eastAsia="宋体" w:cs="宋体"/>
          <w:sz w:val="72"/>
          <w:szCs w:val="72"/>
        </w:rPr>
      </w:pPr>
    </w:p>
    <w:p>
      <w:pPr>
        <w:pStyle w:val="2"/>
        <w:jc w:val="center"/>
        <w:rPr>
          <w:rFonts w:cs="Times New Roman"/>
          <w:sz w:val="56"/>
          <w:szCs w:val="56"/>
        </w:rPr>
      </w:pPr>
    </w:p>
    <w:p>
      <w:pPr>
        <w:pStyle w:val="2"/>
        <w:jc w:val="center"/>
        <w:rPr>
          <w:rFonts w:cs="Times New Roman"/>
          <w:sz w:val="56"/>
          <w:szCs w:val="56"/>
        </w:rPr>
      </w:pPr>
    </w:p>
    <w:p>
      <w:pPr>
        <w:pStyle w:val="2"/>
        <w:jc w:val="center"/>
        <w:rPr>
          <w:rFonts w:cs="Times New Roman"/>
          <w:sz w:val="56"/>
          <w:szCs w:val="56"/>
        </w:rPr>
      </w:pPr>
    </w:p>
    <w:p>
      <w:pPr>
        <w:pStyle w:val="2"/>
        <w:jc w:val="center"/>
        <w:rPr>
          <w:sz w:val="32"/>
          <w:szCs w:val="32"/>
        </w:rPr>
      </w:pPr>
    </w:p>
    <w:p>
      <w:pPr>
        <w:pStyle w:val="2"/>
        <w:jc w:val="center"/>
        <w:rPr>
          <w:sz w:val="32"/>
          <w:szCs w:val="32"/>
        </w:rPr>
      </w:pPr>
    </w:p>
    <w:p>
      <w:pPr>
        <w:pStyle w:val="2"/>
        <w:jc w:val="center"/>
        <w:rPr>
          <w:sz w:val="32"/>
          <w:szCs w:val="32"/>
        </w:rPr>
      </w:pPr>
    </w:p>
    <w:p>
      <w:pPr>
        <w:pStyle w:val="2"/>
        <w:jc w:val="center"/>
        <w:rPr>
          <w:sz w:val="32"/>
          <w:szCs w:val="32"/>
        </w:rPr>
      </w:pPr>
    </w:p>
    <w:p>
      <w:pPr>
        <w:pStyle w:val="2"/>
        <w:jc w:val="center"/>
        <w:rPr>
          <w:sz w:val="32"/>
          <w:szCs w:val="32"/>
        </w:rPr>
      </w:pPr>
    </w:p>
    <w:p>
      <w:pPr>
        <w:pStyle w:val="2"/>
        <w:spacing w:line="500" w:lineRule="exact"/>
        <w:rPr>
          <w:rFonts w:cs="Times New Roman"/>
          <w:b/>
          <w:bCs/>
          <w:sz w:val="36"/>
          <w:szCs w:val="36"/>
        </w:rPr>
      </w:pPr>
    </w:p>
    <w:p>
      <w:pPr>
        <w:pStyle w:val="2"/>
        <w:spacing w:line="500" w:lineRule="exact"/>
        <w:jc w:val="center"/>
        <w:rPr>
          <w:rFonts w:cs="Times New Roman"/>
          <w:b/>
          <w:bCs/>
          <w:sz w:val="36"/>
          <w:szCs w:val="36"/>
        </w:rPr>
      </w:pPr>
      <w:r>
        <w:rPr>
          <w:rFonts w:hint="eastAsia"/>
          <w:b/>
          <w:bCs/>
          <w:sz w:val="36"/>
          <w:szCs w:val="36"/>
        </w:rPr>
        <w:t>目录</w:t>
      </w:r>
    </w:p>
    <w:p>
      <w:pPr>
        <w:pStyle w:val="2"/>
        <w:spacing w:line="460" w:lineRule="exact"/>
        <w:rPr>
          <w:rFonts w:ascii="仿宋_GB2312" w:eastAsia="仿宋_GB2312" w:cs="Times New Roman"/>
          <w:b/>
          <w:bCs/>
          <w:sz w:val="28"/>
          <w:szCs w:val="28"/>
        </w:rPr>
      </w:pPr>
      <w:r>
        <w:rPr>
          <w:rFonts w:hint="eastAsia"/>
          <w:b/>
          <w:bCs/>
          <w:sz w:val="28"/>
          <w:szCs w:val="28"/>
        </w:rPr>
        <w:t>第一部分锦石乡人民政府概况</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2"/>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lang w:val="en-US" w:eastAsia="zh-CN"/>
        </w:rPr>
        <w:t>1</w:t>
      </w:r>
      <w:r>
        <w:rPr>
          <w:rFonts w:hint="eastAsia" w:hAnsi="仿宋_GB2312"/>
          <w:b/>
          <w:bCs/>
          <w:sz w:val="28"/>
          <w:szCs w:val="28"/>
        </w:rPr>
        <w:t>年度部门决算表</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2"/>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lang w:val="en-US" w:eastAsia="zh-CN"/>
        </w:rPr>
        <w:t>1</w:t>
      </w:r>
      <w:r>
        <w:rPr>
          <w:rFonts w:hint="eastAsia" w:hAnsi="仿宋_GB2312"/>
          <w:b/>
          <w:bCs/>
          <w:sz w:val="28"/>
          <w:szCs w:val="28"/>
        </w:rPr>
        <w:t>年度部门决算情况说明</w:t>
      </w:r>
    </w:p>
    <w:p>
      <w:pPr>
        <w:pStyle w:val="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2"/>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2"/>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2"/>
        <w:jc w:val="center"/>
        <w:rPr>
          <w:rFonts w:ascii="宋体" w:hAnsi="宋体" w:eastAsia="宋体" w:cs="宋体"/>
          <w:sz w:val="72"/>
          <w:szCs w:val="72"/>
        </w:rPr>
      </w:pPr>
    </w:p>
    <w:p>
      <w:pPr>
        <w:pStyle w:val="2"/>
        <w:jc w:val="center"/>
        <w:rPr>
          <w:rFonts w:hint="eastAsia" w:ascii="宋体" w:hAnsi="宋体" w:eastAsia="宋体" w:cs="宋体"/>
          <w:sz w:val="72"/>
          <w:szCs w:val="72"/>
        </w:rPr>
      </w:pPr>
    </w:p>
    <w:p>
      <w:pPr>
        <w:pStyle w:val="2"/>
        <w:jc w:val="center"/>
        <w:rPr>
          <w:rFonts w:hint="eastAsia" w:ascii="宋体" w:hAnsi="宋体" w:eastAsia="宋体" w:cs="宋体"/>
          <w:sz w:val="72"/>
          <w:szCs w:val="72"/>
        </w:rPr>
      </w:pPr>
    </w:p>
    <w:p>
      <w:pPr>
        <w:pStyle w:val="2"/>
        <w:jc w:val="both"/>
        <w:rPr>
          <w:rFonts w:hint="eastAsia" w:ascii="宋体" w:hAnsi="宋体" w:eastAsia="宋体" w:cs="宋体"/>
          <w:sz w:val="72"/>
          <w:szCs w:val="72"/>
        </w:rPr>
      </w:pPr>
    </w:p>
    <w:p>
      <w:pPr>
        <w:pStyle w:val="2"/>
        <w:jc w:val="both"/>
        <w:rPr>
          <w:rFonts w:hint="eastAsia" w:ascii="宋体" w:hAnsi="宋体" w:eastAsia="宋体" w:cs="宋体"/>
          <w:sz w:val="72"/>
          <w:szCs w:val="72"/>
        </w:rPr>
      </w:pPr>
    </w:p>
    <w:p>
      <w:pPr>
        <w:pStyle w:val="2"/>
        <w:jc w:val="center"/>
        <w:rPr>
          <w:rFonts w:hint="eastAsia" w:ascii="宋体" w:hAnsi="宋体" w:eastAsia="宋体" w:cs="宋体"/>
          <w:sz w:val="72"/>
          <w:szCs w:val="72"/>
        </w:rPr>
      </w:pPr>
    </w:p>
    <w:p>
      <w:pPr>
        <w:pStyle w:val="2"/>
        <w:jc w:val="center"/>
        <w:rPr>
          <w:rFonts w:ascii="宋体" w:hAnsi="宋体" w:eastAsia="宋体" w:cs="宋体"/>
          <w:sz w:val="72"/>
          <w:szCs w:val="72"/>
        </w:rPr>
      </w:pPr>
      <w:r>
        <w:rPr>
          <w:rFonts w:hint="eastAsia" w:ascii="宋体" w:hAnsi="宋体" w:eastAsia="宋体" w:cs="宋体"/>
          <w:sz w:val="72"/>
          <w:szCs w:val="72"/>
        </w:rPr>
        <w:t>第一部分</w:t>
      </w:r>
    </w:p>
    <w:p>
      <w:pPr>
        <w:pStyle w:val="2"/>
        <w:jc w:val="center"/>
        <w:rPr>
          <w:rFonts w:ascii="宋体" w:hAnsi="宋体" w:eastAsia="宋体" w:cs="宋体"/>
          <w:sz w:val="72"/>
          <w:szCs w:val="72"/>
        </w:rPr>
      </w:pPr>
    </w:p>
    <w:p>
      <w:pPr>
        <w:pStyle w:val="2"/>
        <w:jc w:val="center"/>
        <w:rPr>
          <w:rFonts w:cs="Times New Roman"/>
          <w:sz w:val="84"/>
          <w:szCs w:val="84"/>
        </w:rPr>
      </w:pPr>
      <w:r>
        <w:rPr>
          <w:rFonts w:hint="eastAsia" w:ascii="宋体" w:hAnsi="宋体" w:eastAsia="宋体" w:cs="宋体"/>
          <w:sz w:val="72"/>
          <w:szCs w:val="72"/>
        </w:rPr>
        <w:t>锦石乡人民政府概况</w:t>
      </w: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pStyle w:val="12"/>
        <w:ind w:left="720" w:firstLine="0" w:firstLineChars="0"/>
        <w:jc w:val="left"/>
        <w:rPr>
          <w:rFonts w:ascii="黑体" w:hAnsi="黑体" w:eastAsia="黑体" w:cs="Times New Roman"/>
          <w:sz w:val="32"/>
          <w:szCs w:val="32"/>
        </w:rPr>
      </w:pPr>
    </w:p>
    <w:p>
      <w:pPr>
        <w:pStyle w:val="12"/>
        <w:ind w:left="720" w:firstLine="0" w:firstLineChars="0"/>
        <w:jc w:val="left"/>
        <w:rPr>
          <w:rFonts w:ascii="黑体" w:hAnsi="黑体" w:eastAsia="黑体" w:cs="Times New Roman"/>
          <w:sz w:val="32"/>
          <w:szCs w:val="32"/>
        </w:rPr>
      </w:pPr>
    </w:p>
    <w:p>
      <w:pPr>
        <w:pStyle w:val="12"/>
        <w:ind w:left="720" w:firstLine="0" w:firstLineChars="0"/>
        <w:jc w:val="left"/>
        <w:rPr>
          <w:rFonts w:ascii="黑体" w:hAnsi="黑体" w:eastAsia="黑体" w:cs="Times New Roman"/>
          <w:sz w:val="32"/>
          <w:szCs w:val="32"/>
        </w:rPr>
      </w:pPr>
    </w:p>
    <w:p>
      <w:pPr>
        <w:pStyle w:val="12"/>
        <w:ind w:left="720" w:firstLine="0" w:firstLineChars="0"/>
        <w:jc w:val="left"/>
        <w:rPr>
          <w:rFonts w:ascii="黑体" w:hAnsi="黑体" w:eastAsia="黑体" w:cs="Times New Roman"/>
          <w:sz w:val="32"/>
          <w:szCs w:val="32"/>
        </w:rPr>
      </w:pPr>
    </w:p>
    <w:p>
      <w:pPr>
        <w:pStyle w:val="1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ind w:firstLine="800" w:firstLineChars="250"/>
        <w:jc w:val="left"/>
        <w:rPr>
          <w:rFonts w:ascii="宋体" w:hAnsi="宋体" w:cs="宋体"/>
          <w:sz w:val="32"/>
          <w:szCs w:val="32"/>
        </w:rPr>
      </w:pPr>
      <w:r>
        <w:rPr>
          <w:rFonts w:hint="eastAsia" w:ascii="宋体" w:hAnsi="宋体" w:cs="宋体"/>
          <w:sz w:val="32"/>
          <w:szCs w:val="32"/>
        </w:rPr>
        <w:t>（一）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pPr>
        <w:ind w:firstLine="800" w:firstLineChars="250"/>
        <w:jc w:val="left"/>
        <w:rPr>
          <w:rFonts w:ascii="宋体" w:hAnsi="宋体" w:cs="宋体"/>
          <w:sz w:val="32"/>
          <w:szCs w:val="32"/>
        </w:rPr>
      </w:pPr>
      <w:r>
        <w:rPr>
          <w:rFonts w:hint="eastAsia" w:ascii="宋体" w:hAnsi="宋体" w:cs="宋体"/>
          <w:sz w:val="32"/>
          <w:szCs w:val="32"/>
        </w:rPr>
        <w:t>（二）制定并组织实施村镇建设规划，部署重点工程建设，地方道路建设及公共设施，水利设施的管理，负责土地、林木、水等自然资源和生态环境的保护，做好护林防火工作。</w:t>
      </w:r>
    </w:p>
    <w:p>
      <w:pPr>
        <w:ind w:firstLine="800" w:firstLineChars="250"/>
        <w:jc w:val="left"/>
        <w:rPr>
          <w:rFonts w:ascii="宋体" w:hAnsi="宋体" w:cs="宋体"/>
          <w:sz w:val="32"/>
          <w:szCs w:val="32"/>
        </w:rPr>
      </w:pPr>
      <w:r>
        <w:rPr>
          <w:rFonts w:hint="eastAsia" w:ascii="宋体" w:hAnsi="宋体" w:cs="宋体"/>
          <w:sz w:val="32"/>
          <w:szCs w:val="32"/>
        </w:rPr>
        <w:t>（三）负责本行政区域内的民政、计划生育、文化教育、卫生、体育等社会公益事业的综合性工作，维护一切经济单位和个人的正当经济权益，取缔非法经济活动，调解和处理民事纠纷，打击刑事犯罪维护社会稳定。</w:t>
      </w:r>
    </w:p>
    <w:p>
      <w:pPr>
        <w:ind w:firstLine="800" w:firstLineChars="250"/>
        <w:jc w:val="left"/>
        <w:rPr>
          <w:rFonts w:ascii="宋体" w:hAnsi="宋体" w:cs="宋体"/>
          <w:sz w:val="32"/>
          <w:szCs w:val="32"/>
        </w:rPr>
      </w:pPr>
      <w:r>
        <w:rPr>
          <w:rFonts w:hint="eastAsia" w:ascii="宋体" w:hAnsi="宋体" w:cs="宋体"/>
          <w:sz w:val="32"/>
          <w:szCs w:val="32"/>
        </w:rPr>
        <w:t>（四）按计划组织本级财政收入和地方税的征收，完成国家财政计划，不断培植税源，管好财政资金，增强财政实力。</w:t>
      </w:r>
    </w:p>
    <w:p>
      <w:pPr>
        <w:ind w:firstLine="800" w:firstLineChars="250"/>
        <w:jc w:val="left"/>
        <w:rPr>
          <w:rFonts w:ascii="宋体" w:hAnsi="宋体" w:cs="宋体"/>
          <w:sz w:val="32"/>
          <w:szCs w:val="32"/>
        </w:rPr>
      </w:pPr>
      <w:r>
        <w:rPr>
          <w:rFonts w:hint="eastAsia" w:ascii="宋体" w:hAnsi="宋体" w:cs="宋体"/>
          <w:sz w:val="32"/>
          <w:szCs w:val="32"/>
        </w:rPr>
        <w:t>（五）抓好精神文明建设，丰富群众文化生活，提倡移风易俗，反对封建迷信，破除陈规陋习，树立社会主义新风尚。</w:t>
      </w:r>
    </w:p>
    <w:p>
      <w:pPr>
        <w:jc w:val="left"/>
        <w:rPr>
          <w:rFonts w:ascii="仿宋_GB2312" w:hAnsi="宋体" w:eastAsia="仿宋_GB2312" w:cs="Times New Roman"/>
          <w:sz w:val="28"/>
          <w:szCs w:val="28"/>
        </w:rPr>
      </w:pP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widowControl/>
        <w:spacing w:line="600" w:lineRule="exact"/>
        <w:ind w:firstLine="480" w:firstLineChars="150"/>
        <w:rPr>
          <w:rFonts w:ascii="宋体" w:hAnsi="宋体" w:cs="宋体"/>
          <w:sz w:val="32"/>
          <w:szCs w:val="32"/>
        </w:rPr>
      </w:pPr>
      <w:r>
        <w:rPr>
          <w:rFonts w:hint="eastAsia" w:ascii="宋体" w:hAnsi="宋体" w:cs="宋体"/>
          <w:kern w:val="0"/>
          <w:sz w:val="32"/>
          <w:szCs w:val="32"/>
        </w:rPr>
        <w:t>（一）内设机构设置。</w:t>
      </w:r>
      <w:r>
        <w:rPr>
          <w:rFonts w:hint="eastAsia" w:ascii="宋体" w:cs="宋体"/>
          <w:kern w:val="0"/>
          <w:sz w:val="32"/>
          <w:szCs w:val="32"/>
        </w:rPr>
        <w:t>锦石乡政府</w:t>
      </w:r>
      <w:r>
        <w:rPr>
          <w:rFonts w:hint="eastAsia" w:ascii="宋体" w:hAnsi="宋体" w:cs="宋体"/>
          <w:kern w:val="0"/>
          <w:sz w:val="32"/>
          <w:szCs w:val="32"/>
        </w:rPr>
        <w:t>内设机构包括：</w:t>
      </w:r>
      <w:r>
        <w:rPr>
          <w:rFonts w:hint="eastAsia" w:ascii="宋体" w:hAnsi="宋体" w:cs="宋体"/>
          <w:sz w:val="32"/>
          <w:szCs w:val="32"/>
        </w:rPr>
        <w:t>202</w:t>
      </w:r>
      <w:r>
        <w:rPr>
          <w:rFonts w:hint="eastAsia" w:ascii="宋体" w:hAnsi="宋体" w:cs="宋体"/>
          <w:sz w:val="32"/>
          <w:szCs w:val="32"/>
          <w:lang w:val="en-US" w:eastAsia="zh-CN"/>
        </w:rPr>
        <w:t>1</w:t>
      </w:r>
      <w:r>
        <w:rPr>
          <w:rFonts w:hint="eastAsia" w:ascii="宋体" w:hAnsi="宋体" w:cs="宋体"/>
          <w:sz w:val="32"/>
          <w:szCs w:val="32"/>
        </w:rPr>
        <w:t>年本乡共有机构数12个，其中党政机构6个，事业单位5个，财政所1个。行政编制36个，事业</w:t>
      </w:r>
      <w:r>
        <w:rPr>
          <w:rFonts w:hint="eastAsia" w:ascii="宋体" w:hAnsi="宋体" w:cs="宋体"/>
          <w:sz w:val="32"/>
          <w:szCs w:val="32"/>
          <w:lang w:eastAsia="zh-CN"/>
        </w:rPr>
        <w:t>编制</w:t>
      </w:r>
      <w:r>
        <w:rPr>
          <w:rFonts w:hint="eastAsia" w:ascii="宋体" w:hAnsi="宋体" w:cs="宋体"/>
          <w:sz w:val="32"/>
          <w:szCs w:val="32"/>
        </w:rPr>
        <w:t>50个，机关后勤服务全额拨款事业编制2名。实有人员91 人（含财政所8人，8个编制备案人员）。具体人员安排如下：党政综合办公室（5人）、党建工作办公室（3人）、财政所（8人）、经济发展办公室（农业农村和扶贫工作办公室）（3人）、社会事务办公室（卫生健康办公室）（3人）、自然资源和生态环境办公室（村镇建设管理办公室）（3人）、社会治安和应急管理办公室（3人）、社会事务综合服务中心（文化综合服务站）（12人）、农业综合服务中心（14人）、政务（便民）服务中心（6人）、退役军人服务站（3人）、乡综合行政执法大队（9人）、领导职务11人、编制备案人员8人。</w:t>
      </w:r>
    </w:p>
    <w:p>
      <w:pPr>
        <w:widowControl/>
        <w:spacing w:line="600" w:lineRule="exact"/>
        <w:ind w:firstLine="320" w:firstLineChars="100"/>
        <w:rPr>
          <w:rFonts w:ascii="宋体" w:cs="Times New Roman"/>
          <w:kern w:val="0"/>
          <w:sz w:val="32"/>
          <w:szCs w:val="32"/>
        </w:rPr>
      </w:pPr>
      <w:r>
        <w:rPr>
          <w:rFonts w:hint="eastAsia" w:ascii="宋体" w:hAnsi="宋体" w:cs="宋体"/>
          <w:kern w:val="0"/>
          <w:sz w:val="32"/>
          <w:szCs w:val="32"/>
        </w:rPr>
        <w:t>（二）决算单位构成。</w:t>
      </w:r>
      <w:r>
        <w:rPr>
          <w:rFonts w:hint="eastAsia" w:ascii="宋体" w:cs="宋体"/>
          <w:kern w:val="0"/>
          <w:sz w:val="32"/>
          <w:szCs w:val="32"/>
        </w:rPr>
        <w:t>锦石乡人民政府</w:t>
      </w:r>
      <w:r>
        <w:rPr>
          <w:rFonts w:ascii="宋体" w:hAnsi="宋体" w:cs="宋体"/>
          <w:kern w:val="0"/>
          <w:sz w:val="32"/>
          <w:szCs w:val="32"/>
        </w:rPr>
        <w:t>202</w:t>
      </w:r>
      <w:r>
        <w:rPr>
          <w:rFonts w:hint="eastAsia" w:ascii="宋体" w:hAnsi="宋体" w:cs="宋体"/>
          <w:kern w:val="0"/>
          <w:sz w:val="32"/>
          <w:szCs w:val="32"/>
          <w:lang w:val="en-US" w:eastAsia="zh-CN"/>
        </w:rPr>
        <w:t>1</w:t>
      </w:r>
      <w:r>
        <w:rPr>
          <w:rFonts w:hint="eastAsia" w:ascii="宋体" w:hAnsi="宋体" w:cs="宋体"/>
          <w:kern w:val="0"/>
          <w:sz w:val="32"/>
          <w:szCs w:val="32"/>
        </w:rPr>
        <w:t>年部门决算汇总公开单位构成包括：</w:t>
      </w:r>
      <w:r>
        <w:rPr>
          <w:rFonts w:hint="eastAsia" w:ascii="宋体" w:hAnsi="宋体" w:cs="宋体"/>
          <w:sz w:val="32"/>
          <w:szCs w:val="32"/>
        </w:rPr>
        <w:t>党政综合办公室、党建工作办公室、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hint="eastAsia" w:cs="宋体"/>
          <w:sz w:val="72"/>
          <w:szCs w:val="72"/>
        </w:rPr>
      </w:pPr>
    </w:p>
    <w:p>
      <w:pPr>
        <w:jc w:val="center"/>
        <w:rPr>
          <w:rFonts w:hint="eastAsia" w:cs="宋体"/>
          <w:sz w:val="72"/>
          <w:szCs w:val="72"/>
        </w:rPr>
      </w:pPr>
    </w:p>
    <w:p>
      <w:pPr>
        <w:jc w:val="center"/>
        <w:rPr>
          <w:rFonts w:hint="eastAsia" w:cs="宋体"/>
          <w:sz w:val="72"/>
          <w:szCs w:val="72"/>
        </w:rPr>
      </w:pPr>
    </w:p>
    <w:p>
      <w:pPr>
        <w:jc w:val="both"/>
        <w:rPr>
          <w:rFonts w:hint="eastAsia" w:cs="宋体"/>
          <w:sz w:val="72"/>
          <w:szCs w:val="72"/>
        </w:rPr>
      </w:pPr>
    </w:p>
    <w:p>
      <w:pPr>
        <w:jc w:val="center"/>
        <w:rPr>
          <w:rFonts w:hint="eastAsia"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宋体"/>
          <w:sz w:val="72"/>
          <w:szCs w:val="72"/>
        </w:rPr>
      </w:pPr>
      <w:r>
        <w:rPr>
          <w:rFonts w:hint="eastAsia" w:cs="宋体"/>
          <w:sz w:val="72"/>
          <w:szCs w:val="72"/>
        </w:rPr>
        <w:t>部门决算表</w:t>
      </w:r>
    </w:p>
    <w:p>
      <w:pPr>
        <w:jc w:val="center"/>
        <w:rPr>
          <w:rFonts w:cs="宋体"/>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7"/>
        <w:tblW w:w="14280" w:type="dxa"/>
        <w:tblInd w:w="-106" w:type="dxa"/>
        <w:tblLayout w:type="autofit"/>
        <w:tblCellMar>
          <w:top w:w="0" w:type="dxa"/>
          <w:left w:w="108" w:type="dxa"/>
          <w:bottom w:w="0" w:type="dxa"/>
          <w:right w:w="108" w:type="dxa"/>
        </w:tblCellMar>
      </w:tblPr>
      <w:tblGrid>
        <w:gridCol w:w="14280"/>
      </w:tblGrid>
      <w:tr>
        <w:tblPrEx>
          <w:tblCellMar>
            <w:top w:w="0" w:type="dxa"/>
            <w:left w:w="108" w:type="dxa"/>
            <w:bottom w:w="0" w:type="dxa"/>
            <w:right w:w="108" w:type="dxa"/>
          </w:tblCellMar>
        </w:tblPrEx>
        <w:trPr>
          <w:trHeight w:val="360" w:hRule="atLeast"/>
        </w:trPr>
        <w:tc>
          <w:tcPr>
            <w:tcW w:w="14280"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收入支出决算总表</w:t>
            </w:r>
          </w:p>
          <w:tbl>
            <w:tblPr>
              <w:tblStyle w:val="7"/>
              <w:tblW w:w="14064" w:type="dxa"/>
              <w:tblInd w:w="0" w:type="dxa"/>
              <w:tblLayout w:type="autofit"/>
              <w:tblCellMar>
                <w:top w:w="0" w:type="dxa"/>
                <w:left w:w="108" w:type="dxa"/>
                <w:bottom w:w="0" w:type="dxa"/>
                <w:right w:w="108" w:type="dxa"/>
              </w:tblCellMar>
            </w:tblPr>
            <w:tblGrid>
              <w:gridCol w:w="4203"/>
              <w:gridCol w:w="578"/>
              <w:gridCol w:w="2251"/>
              <w:gridCol w:w="4203"/>
              <w:gridCol w:w="578"/>
              <w:gridCol w:w="2251"/>
            </w:tblGrid>
            <w:tr>
              <w:tblPrEx>
                <w:tblCellMar>
                  <w:top w:w="0" w:type="dxa"/>
                  <w:left w:w="108" w:type="dxa"/>
                  <w:bottom w:w="0" w:type="dxa"/>
                  <w:right w:w="108" w:type="dxa"/>
                </w:tblCellMar>
              </w:tblPrEx>
              <w:trPr>
                <w:trHeight w:val="255" w:hRule="atLeast"/>
              </w:trPr>
              <w:tc>
                <w:tcPr>
                  <w:tcW w:w="42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7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42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7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公开01表</w:t>
                  </w:r>
                </w:p>
              </w:tc>
            </w:tr>
            <w:tr>
              <w:tblPrEx>
                <w:tblCellMar>
                  <w:top w:w="0" w:type="dxa"/>
                  <w:left w:w="108" w:type="dxa"/>
                  <w:bottom w:w="0" w:type="dxa"/>
                  <w:right w:w="108" w:type="dxa"/>
                </w:tblCellMar>
              </w:tblPrEx>
              <w:trPr>
                <w:trHeight w:val="255" w:hRule="atLeast"/>
              </w:trPr>
              <w:tc>
                <w:tcPr>
                  <w:tcW w:w="42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57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42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7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7032"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收入</w:t>
                  </w:r>
                </w:p>
              </w:tc>
              <w:tc>
                <w:tcPr>
                  <w:tcW w:w="7032" w:type="dxa"/>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支出</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行次</w:t>
                  </w:r>
                </w:p>
              </w:tc>
              <w:tc>
                <w:tcPr>
                  <w:tcW w:w="225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金额</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行次</w:t>
                  </w:r>
                </w:p>
              </w:tc>
              <w:tc>
                <w:tcPr>
                  <w:tcW w:w="225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金额</w:t>
                  </w:r>
                </w:p>
              </w:tc>
            </w:tr>
            <w:tr>
              <w:tblPrEx>
                <w:tblCellMar>
                  <w:top w:w="0" w:type="dxa"/>
                  <w:left w:w="108" w:type="dxa"/>
                  <w:bottom w:w="0" w:type="dxa"/>
                  <w:right w:w="108" w:type="dxa"/>
                </w:tblCellMar>
              </w:tblPrEx>
              <w:trPr>
                <w:trHeight w:val="90"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　</w:t>
                  </w:r>
                </w:p>
              </w:tc>
              <w:tc>
                <w:tcPr>
                  <w:tcW w:w="225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　</w:t>
                  </w:r>
                </w:p>
              </w:tc>
              <w:tc>
                <w:tcPr>
                  <w:tcW w:w="225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一、一般公共预算财政拨款收入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1830.74</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一、一般公共服务支出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1570.44</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二、政府性基金预算财政拨款收入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二、外交支出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三、国有资本经营预算财政拨款收入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三、国防支出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四、上级补助收入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四、公共安全支出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130.99</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五、事业收入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五、教育支出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六、经营收入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六、科学技术支出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七、附属单位上缴收入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七、文化旅游体育与传媒支出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八、其他收入</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1547.52</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八、社会保障和就业支出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127.25</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九、卫生健康支出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161.21</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十、节能环保支出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十一、城乡社区支出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81.56</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十二、农林水支出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1306.81</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十三、交通运输支出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十四、资源勘探工业信息等支出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十五、商业服务业等支出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十六、金融支出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十七、援助其他地区支出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十八、自然资源海洋气象等支出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十九、住房保障支出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二十、粮油物资储备支出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二十一、国有资本经营预算支出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二十二、灾害防治及应急管理支出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23</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二十三、其他支出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0"/>
                      <w:szCs w:val="20"/>
                    </w:rPr>
                  </w:pPr>
                  <w:r>
                    <w:rPr>
                      <w:rFonts w:hint="eastAsia" w:ascii="宋体" w:hAnsi="宋体" w:cs="Arial"/>
                      <w:b/>
                      <w:bCs/>
                      <w:color w:val="000000"/>
                      <w:kern w:val="0"/>
                      <w:sz w:val="20"/>
                      <w:szCs w:val="20"/>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rPr>
                  </w:pPr>
                  <w:r>
                    <w:rPr>
                      <w:rFonts w:hint="eastAsia" w:ascii="宋体" w:hAnsi="宋体" w:cs="Arial"/>
                      <w:color w:val="000000"/>
                      <w:kern w:val="0"/>
                      <w:sz w:val="20"/>
                      <w:szCs w:val="20"/>
                    </w:rPr>
                    <w:t>24</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二十四、债务还本支出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rPr>
                  </w:pPr>
                  <w:r>
                    <w:rPr>
                      <w:rFonts w:hint="eastAsia" w:ascii="宋体" w:hAnsi="宋体" w:cs="Arial"/>
                      <w:color w:val="000000"/>
                      <w:kern w:val="0"/>
                      <w:sz w:val="20"/>
                      <w:szCs w:val="20"/>
                    </w:rPr>
                    <w:t>25</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二十五、债务付息支出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rPr>
                  </w:pPr>
                  <w:r>
                    <w:rPr>
                      <w:rFonts w:hint="eastAsia" w:ascii="宋体" w:hAnsi="宋体" w:cs="Arial"/>
                      <w:color w:val="000000"/>
                      <w:kern w:val="0"/>
                      <w:sz w:val="20"/>
                      <w:szCs w:val="20"/>
                    </w:rPr>
                    <w:t>26</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二十六、抗疫特别国债安排的支出</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本年收入合计</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27</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3378.26</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本年支出合计</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3378.26</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使用非财政拨款结余</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28</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结余分配</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年初结转和结余</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29</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年末结转和结余</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30</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总计</w:t>
                  </w:r>
                </w:p>
              </w:tc>
              <w:tc>
                <w:tcPr>
                  <w:tcW w:w="578" w:type="dxa"/>
                  <w:tcBorders>
                    <w:top w:val="nil"/>
                    <w:left w:val="nil"/>
                    <w:bottom w:val="single" w:color="000000" w:sz="8"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31</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3378.26</w:t>
                  </w:r>
                </w:p>
              </w:tc>
              <w:tc>
                <w:tcPr>
                  <w:tcW w:w="42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总计</w:t>
                  </w:r>
                </w:p>
              </w:tc>
              <w:tc>
                <w:tcPr>
                  <w:tcW w:w="5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62</w:t>
                  </w:r>
                </w:p>
              </w:tc>
              <w:tc>
                <w:tcPr>
                  <w:tcW w:w="22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3378.26</w:t>
                  </w:r>
                </w:p>
              </w:tc>
            </w:tr>
            <w:tr>
              <w:tblPrEx>
                <w:tblCellMar>
                  <w:top w:w="0" w:type="dxa"/>
                  <w:left w:w="108" w:type="dxa"/>
                  <w:bottom w:w="0" w:type="dxa"/>
                  <w:right w:w="108" w:type="dxa"/>
                </w:tblCellMar>
              </w:tblPrEx>
              <w:trPr>
                <w:trHeight w:val="308" w:hRule="atLeast"/>
              </w:trPr>
              <w:tc>
                <w:tcPr>
                  <w:tcW w:w="14064" w:type="dxa"/>
                  <w:gridSpan w:val="6"/>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注：本表反映部门本年度的总收支和年末结转结余情况。</w:t>
                  </w:r>
                </w:p>
                <w:p>
                  <w:pPr>
                    <w:keepNext w:val="0"/>
                    <w:keepLines w:val="0"/>
                    <w:widowControl/>
                    <w:suppressLineNumbers w:val="0"/>
                    <w:spacing w:before="0" w:beforeAutospacing="0" w:after="0" w:afterAutospacing="0"/>
                    <w:ind w:left="0" w:right="0" w:firstLine="440" w:firstLineChars="200"/>
                    <w:jc w:val="left"/>
                    <w:rPr>
                      <w:rFonts w:hint="default" w:ascii="宋体" w:hAnsi="宋体" w:cs="Arial"/>
                      <w:color w:val="000000"/>
                      <w:kern w:val="0"/>
                      <w:sz w:val="22"/>
                    </w:rPr>
                  </w:pPr>
                  <w:r>
                    <w:rPr>
                      <w:rFonts w:hint="eastAsia" w:ascii="宋体" w:hAnsi="宋体" w:cs="Arial"/>
                      <w:color w:val="000000"/>
                      <w:kern w:val="0"/>
                      <w:sz w:val="22"/>
                      <w:szCs w:val="22"/>
                    </w:rPr>
                    <w:t>本套报表金额单位转换时可能存在尾数误差。</w:t>
                  </w:r>
                </w:p>
              </w:tc>
            </w:tr>
          </w:tbl>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sz w:val="32"/>
                <w:szCs w:val="32"/>
              </w:rPr>
            </w:pPr>
          </w:p>
        </w:tc>
      </w:tr>
    </w:tbl>
    <w:p>
      <w:pP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7"/>
        <w:tblW w:w="14796" w:type="dxa"/>
        <w:tblInd w:w="313" w:type="dxa"/>
        <w:tblLayout w:type="fixed"/>
        <w:tblCellMar>
          <w:top w:w="0" w:type="dxa"/>
          <w:left w:w="0" w:type="dxa"/>
          <w:bottom w:w="0" w:type="dxa"/>
          <w:right w:w="0" w:type="dxa"/>
        </w:tblCellMar>
      </w:tblPr>
      <w:tblGrid>
        <w:gridCol w:w="14796"/>
      </w:tblGrid>
      <w:tr>
        <w:tblPrEx>
          <w:tblCellMar>
            <w:top w:w="0" w:type="dxa"/>
            <w:left w:w="0" w:type="dxa"/>
            <w:bottom w:w="0" w:type="dxa"/>
            <w:right w:w="0" w:type="dxa"/>
          </w:tblCellMar>
        </w:tblPrEx>
        <w:trPr>
          <w:trHeight w:val="435" w:hRule="atLeast"/>
        </w:trPr>
        <w:tc>
          <w:tcPr>
            <w:tcW w:w="14796" w:type="dxa"/>
            <w:tcBorders>
              <w:top w:val="nil"/>
              <w:left w:val="nil"/>
              <w:bottom w:val="nil"/>
              <w:right w:val="nil"/>
            </w:tcBorders>
            <w:noWrap/>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ascii="华文中宋" w:hAnsi="华文中宋" w:eastAsia="华文中宋" w:cs="华文中宋"/>
                <w:color w:val="000000"/>
                <w:sz w:val="32"/>
                <w:szCs w:val="32"/>
              </w:rPr>
            </w:pPr>
            <w:r>
              <w:rPr>
                <w:rFonts w:hint="eastAsia" w:ascii="华文中宋" w:hAnsi="华文中宋" w:eastAsia="华文中宋" w:cs="华文中宋"/>
                <w:color w:val="000000"/>
                <w:sz w:val="32"/>
                <w:szCs w:val="32"/>
              </w:rPr>
              <w:t>收入决算表</w:t>
            </w:r>
          </w:p>
          <w:tbl>
            <w:tblPr>
              <w:tblStyle w:val="7"/>
              <w:tblW w:w="14571" w:type="dxa"/>
              <w:tblInd w:w="0" w:type="dxa"/>
              <w:tblLayout w:type="fixed"/>
              <w:tblCellMar>
                <w:top w:w="0" w:type="dxa"/>
                <w:left w:w="108" w:type="dxa"/>
                <w:bottom w:w="0" w:type="dxa"/>
                <w:right w:w="108" w:type="dxa"/>
              </w:tblCellMar>
            </w:tblPr>
            <w:tblGrid>
              <w:gridCol w:w="340"/>
              <w:gridCol w:w="340"/>
              <w:gridCol w:w="340"/>
              <w:gridCol w:w="2778"/>
              <w:gridCol w:w="1559"/>
              <w:gridCol w:w="1701"/>
              <w:gridCol w:w="993"/>
              <w:gridCol w:w="1275"/>
              <w:gridCol w:w="1134"/>
              <w:gridCol w:w="1276"/>
              <w:gridCol w:w="2835"/>
            </w:tblGrid>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77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99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27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134"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27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3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公开02表</w:t>
                  </w:r>
                </w:p>
              </w:tc>
            </w:tr>
            <w:tr>
              <w:tblPrEx>
                <w:tblCellMar>
                  <w:top w:w="0" w:type="dxa"/>
                  <w:left w:w="108" w:type="dxa"/>
                  <w:bottom w:w="0" w:type="dxa"/>
                  <w:right w:w="108" w:type="dxa"/>
                </w:tblCellMar>
              </w:tblPrEx>
              <w:trPr>
                <w:trHeight w:val="255" w:hRule="atLeast"/>
              </w:trPr>
              <w:tc>
                <w:tcPr>
                  <w:tcW w:w="3798" w:type="dxa"/>
                  <w:gridSpan w:val="4"/>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99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27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134"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27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3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3798"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本年收入合计</w:t>
                  </w:r>
                </w:p>
              </w:tc>
              <w:tc>
                <w:tcPr>
                  <w:tcW w:w="170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财政拨款收入</w:t>
                  </w:r>
                </w:p>
              </w:tc>
              <w:tc>
                <w:tcPr>
                  <w:tcW w:w="993"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上级补助收入</w:t>
                  </w:r>
                </w:p>
              </w:tc>
              <w:tc>
                <w:tcPr>
                  <w:tcW w:w="127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事业收入</w:t>
                  </w:r>
                </w:p>
              </w:tc>
              <w:tc>
                <w:tcPr>
                  <w:tcW w:w="1134"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经营收入</w:t>
                  </w:r>
                </w:p>
              </w:tc>
              <w:tc>
                <w:tcPr>
                  <w:tcW w:w="1276"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附属单位上缴收入</w:t>
                  </w:r>
                </w:p>
              </w:tc>
              <w:tc>
                <w:tcPr>
                  <w:tcW w:w="283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1690" w:rightChars="805"/>
                    <w:jc w:val="center"/>
                    <w:rPr>
                      <w:rFonts w:hint="default" w:ascii="宋体" w:hAnsi="宋体" w:cs="Arial"/>
                      <w:color w:val="000000"/>
                      <w:kern w:val="0"/>
                      <w:sz w:val="22"/>
                    </w:rPr>
                  </w:pPr>
                  <w:r>
                    <w:rPr>
                      <w:rFonts w:hint="eastAsia" w:ascii="宋体" w:hAnsi="宋体" w:cs="Arial"/>
                      <w:color w:val="000000"/>
                      <w:kern w:val="0"/>
                      <w:sz w:val="22"/>
                      <w:szCs w:val="22"/>
                    </w:rPr>
                    <w:t>其他收入</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功能分类科目编码</w:t>
                  </w:r>
                </w:p>
              </w:tc>
              <w:tc>
                <w:tcPr>
                  <w:tcW w:w="2778"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993"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3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778"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993"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3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778"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993"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35"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379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155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170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99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127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113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c>
                <w:tcPr>
                  <w:tcW w:w="127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w:t>
                  </w:r>
                </w:p>
              </w:tc>
              <w:tc>
                <w:tcPr>
                  <w:tcW w:w="283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7</w:t>
                  </w:r>
                </w:p>
              </w:tc>
            </w:tr>
            <w:tr>
              <w:tblPrEx>
                <w:tblCellMar>
                  <w:top w:w="0" w:type="dxa"/>
                  <w:left w:w="108" w:type="dxa"/>
                  <w:bottom w:w="0" w:type="dxa"/>
                  <w:right w:w="108" w:type="dxa"/>
                </w:tblCellMar>
              </w:tblPrEx>
              <w:trPr>
                <w:trHeight w:val="308" w:hRule="atLeast"/>
              </w:trPr>
              <w:tc>
                <w:tcPr>
                  <w:tcW w:w="379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3378.26</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1830.74</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1547.52</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一般公共服务支出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1570</w:t>
                  </w:r>
                  <w:r>
                    <w:rPr>
                      <w:rFonts w:hint="eastAsia" w:ascii="宋体" w:hAnsi="宋体" w:cs="Arial"/>
                      <w:color w:val="000000"/>
                      <w:kern w:val="0"/>
                      <w:sz w:val="22"/>
                      <w:szCs w:val="22"/>
                    </w:rPr>
                    <w:t>.44</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1210.98</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359.46</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政府办公厅（室）及相关机构事务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1469.15</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1120.16</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348.99</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1461.59</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1112.60</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348.99</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其他政府办公厅（室）及相关机构事务支出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7.56</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7.56</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发展与改革事务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52.93</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lang w:val="en-US" w:eastAsia="zh-CN"/>
                    </w:rPr>
                  </w:pPr>
                  <w:r>
                    <w:rPr>
                      <w:rFonts w:hint="eastAsia" w:ascii="宋体" w:hAnsi="宋体" w:cs="Arial"/>
                      <w:color w:val="000000"/>
                      <w:kern w:val="0"/>
                      <w:sz w:val="22"/>
                      <w:szCs w:val="22"/>
                    </w:rPr>
                    <w:t>42.4</w:t>
                  </w:r>
                  <w:r>
                    <w:rPr>
                      <w:rFonts w:hint="eastAsia" w:ascii="宋体" w:hAnsi="宋体" w:cs="Arial"/>
                      <w:color w:val="000000"/>
                      <w:kern w:val="0"/>
                      <w:sz w:val="22"/>
                      <w:szCs w:val="22"/>
                      <w:lang w:val="en-US" w:eastAsia="zh-CN"/>
                    </w:rPr>
                    <w:t>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10.47</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4"/>
                      <w:szCs w:val="22"/>
                      <w:lang w:val="en-US" w:eastAsia="zh-CN"/>
                    </w:rPr>
                  </w:pPr>
                  <w:r>
                    <w:rPr>
                      <w:rFonts w:hint="eastAsia" w:ascii="宋体" w:hAnsi="宋体" w:cs="Arial"/>
                      <w:color w:val="000000"/>
                      <w:kern w:val="0"/>
                      <w:sz w:val="22"/>
                      <w:szCs w:val="22"/>
                      <w:lang w:val="en-US" w:eastAsia="zh-CN"/>
                    </w:rPr>
                    <w:t>52.93</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lang w:eastAsia="zh-CN"/>
                    </w:rPr>
                  </w:pPr>
                  <w:r>
                    <w:rPr>
                      <w:rFonts w:hint="eastAsia" w:ascii="宋体" w:hAnsi="宋体" w:cs="Arial"/>
                      <w:color w:val="000000"/>
                      <w:kern w:val="0"/>
                      <w:sz w:val="22"/>
                      <w:szCs w:val="22"/>
                    </w:rPr>
                    <w:t>42.4</w:t>
                  </w:r>
                  <w:r>
                    <w:rPr>
                      <w:rFonts w:hint="eastAsia" w:ascii="宋体" w:hAnsi="宋体" w:cs="Arial"/>
                      <w:color w:val="000000"/>
                      <w:kern w:val="0"/>
                      <w:sz w:val="22"/>
                      <w:szCs w:val="22"/>
                      <w:lang w:val="en-US" w:eastAsia="zh-CN"/>
                    </w:rPr>
                    <w:t>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10.47</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财政事务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48.35</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48.35</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48.35</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48.35</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130.99</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lang w:val="en-US" w:eastAsia="zh-CN"/>
                    </w:rPr>
                    <w:t>86.79</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44.20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130.99</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86.79</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44.20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130.99</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86.79</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44.20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社会保障和就业支出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127.25</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61.58</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65.67</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人力资源和社会保障管理事务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73.68</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42.99</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30.69</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其他人力资源和社会保障管理事务支出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73.68</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42.99</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30.69</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退役军人管理事务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53.57</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18.59</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34.98</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其他退役军人事务管理支出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53.57</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18.59</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34.98</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161.21</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78.87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82.34</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161.21</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78.87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82.34</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其他卫生健康管理事务支出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161.21</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78.87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82.34</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81.56</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67.99</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13.57</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50.13</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36.56</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13.57</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2120104</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城管执法</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50.13</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36.56</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13.57</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31.43</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31.43</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lang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31.43</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31.43</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lang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1306.81</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324.53</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982.28</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农村综合改革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1004.72</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183.76</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820.96</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2130701</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对村级一事一议的补助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25</w:t>
                  </w:r>
                  <w:r>
                    <w:rPr>
                      <w:rFonts w:hint="eastAsia" w:ascii="宋体" w:hAnsi="宋体" w:cs="Arial"/>
                      <w:color w:val="000000"/>
                      <w:kern w:val="0"/>
                      <w:sz w:val="22"/>
                      <w:szCs w:val="22"/>
                    </w:rPr>
                    <w:t>.00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25</w:t>
                  </w:r>
                  <w:r>
                    <w:rPr>
                      <w:rFonts w:hint="eastAsia" w:ascii="宋体" w:hAnsi="宋体" w:cs="Arial"/>
                      <w:color w:val="000000"/>
                      <w:kern w:val="0"/>
                      <w:sz w:val="22"/>
                      <w:szCs w:val="22"/>
                    </w:rPr>
                    <w:t>.00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2130705</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对村民委员会和村党支部的补助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979.72</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183.76</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795.96</w:t>
                  </w:r>
                </w:p>
              </w:tc>
            </w:tr>
            <w:tr>
              <w:tblPrEx>
                <w:tblCellMar>
                  <w:top w:w="0" w:type="dxa"/>
                  <w:left w:w="108" w:type="dxa"/>
                  <w:bottom w:w="0" w:type="dxa"/>
                  <w:right w:w="108" w:type="dxa"/>
                </w:tblCellMar>
              </w:tblPrEx>
              <w:trPr>
                <w:trHeight w:val="90"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302.09</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140.77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161.32</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2139999</w:t>
                  </w:r>
                </w:p>
              </w:tc>
              <w:tc>
                <w:tcPr>
                  <w:tcW w:w="27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302.09</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140.77</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161.32</w:t>
                  </w:r>
                </w:p>
              </w:tc>
            </w:tr>
            <w:tr>
              <w:tblPrEx>
                <w:tblCellMar>
                  <w:top w:w="0" w:type="dxa"/>
                  <w:left w:w="108" w:type="dxa"/>
                  <w:bottom w:w="0" w:type="dxa"/>
                  <w:right w:w="108" w:type="dxa"/>
                </w:tblCellMar>
              </w:tblPrEx>
              <w:trPr>
                <w:trHeight w:val="308" w:hRule="atLeast"/>
              </w:trPr>
              <w:tc>
                <w:tcPr>
                  <w:tcW w:w="14571" w:type="dxa"/>
                  <w:gridSpan w:val="11"/>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注：本表反映部门本年度取得的各项收入情况。</w:t>
                  </w:r>
                </w:p>
              </w:tc>
            </w:tr>
          </w:tbl>
          <w:p>
            <w:pPr>
              <w:keepNext w:val="0"/>
              <w:keepLines w:val="0"/>
              <w:suppressLineNumbers w:val="0"/>
              <w:spacing w:before="0" w:beforeAutospacing="0" w:after="0" w:afterAutospacing="0"/>
              <w:ind w:left="0" w:right="0"/>
              <w:jc w:val="left"/>
              <w:rPr>
                <w:rFonts w:hint="default" w:ascii="华文中宋" w:hAnsi="华文中宋" w:eastAsia="华文中宋" w:cs="Times New Roman"/>
                <w:color w:val="000000"/>
                <w:sz w:val="32"/>
                <w:szCs w:val="32"/>
              </w:rPr>
            </w:pPr>
          </w:p>
        </w:tc>
      </w:tr>
    </w:tbl>
    <w:p>
      <w:pPr>
        <w:widowControl/>
        <w:rPr>
          <w:rFonts w:ascii="Times New Roman" w:hAnsi="Times New Roman" w:eastAsia="方正小标宋_GBK" w:cs="Times New Roman"/>
          <w:color w:val="000000"/>
          <w:kern w:val="0"/>
          <w:sz w:val="36"/>
          <w:szCs w:val="36"/>
        </w:rPr>
      </w:pPr>
    </w:p>
    <w:tbl>
      <w:tblPr>
        <w:tblStyle w:val="7"/>
        <w:tblW w:w="13363" w:type="dxa"/>
        <w:tblInd w:w="418" w:type="dxa"/>
        <w:tblLayout w:type="fixed"/>
        <w:tblCellMar>
          <w:top w:w="0" w:type="dxa"/>
          <w:left w:w="108" w:type="dxa"/>
          <w:bottom w:w="0" w:type="dxa"/>
          <w:right w:w="108" w:type="dxa"/>
        </w:tblCellMar>
      </w:tblPr>
      <w:tblGrid>
        <w:gridCol w:w="13363"/>
      </w:tblGrid>
      <w:tr>
        <w:tblPrEx>
          <w:tblCellMar>
            <w:top w:w="0" w:type="dxa"/>
            <w:left w:w="108" w:type="dxa"/>
            <w:bottom w:w="0" w:type="dxa"/>
            <w:right w:w="108" w:type="dxa"/>
          </w:tblCellMar>
        </w:tblPrEx>
        <w:trPr>
          <w:trHeight w:val="435" w:hRule="atLeast"/>
        </w:trPr>
        <w:tc>
          <w:tcPr>
            <w:tcW w:w="13363"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p>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p>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p>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p>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p>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p>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p>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支出决算表</w:t>
            </w:r>
          </w:p>
          <w:tbl>
            <w:tblPr>
              <w:tblStyle w:val="7"/>
              <w:tblW w:w="13190" w:type="dxa"/>
              <w:tblInd w:w="0" w:type="dxa"/>
              <w:tblLayout w:type="fixed"/>
              <w:tblCellMar>
                <w:top w:w="0" w:type="dxa"/>
                <w:left w:w="108" w:type="dxa"/>
                <w:bottom w:w="0" w:type="dxa"/>
                <w:right w:w="108" w:type="dxa"/>
              </w:tblCellMar>
            </w:tblPr>
            <w:tblGrid>
              <w:gridCol w:w="340"/>
              <w:gridCol w:w="340"/>
              <w:gridCol w:w="340"/>
              <w:gridCol w:w="2815"/>
              <w:gridCol w:w="1559"/>
              <w:gridCol w:w="1418"/>
              <w:gridCol w:w="1559"/>
              <w:gridCol w:w="1559"/>
              <w:gridCol w:w="1701"/>
              <w:gridCol w:w="1559"/>
            </w:tblGrid>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1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1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公开03表</w:t>
                  </w:r>
                </w:p>
              </w:tc>
            </w:tr>
            <w:tr>
              <w:tblPrEx>
                <w:tblCellMar>
                  <w:top w:w="0" w:type="dxa"/>
                  <w:left w:w="108" w:type="dxa"/>
                  <w:bottom w:w="0" w:type="dxa"/>
                  <w:right w:w="108" w:type="dxa"/>
                </w:tblCellMar>
              </w:tblPrEx>
              <w:trPr>
                <w:trHeight w:val="255" w:hRule="atLeast"/>
              </w:trPr>
              <w:tc>
                <w:tcPr>
                  <w:tcW w:w="3835" w:type="dxa"/>
                  <w:gridSpan w:val="4"/>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1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3835"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本年支出合计</w:t>
                  </w:r>
                </w:p>
              </w:tc>
              <w:tc>
                <w:tcPr>
                  <w:tcW w:w="141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基本支出</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项目支出</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上缴上级支出</w:t>
                  </w:r>
                </w:p>
              </w:tc>
              <w:tc>
                <w:tcPr>
                  <w:tcW w:w="170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经营支出</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对附属单位补助支出</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功能分类科目编码</w:t>
                  </w:r>
                </w:p>
              </w:tc>
              <w:tc>
                <w:tcPr>
                  <w:tcW w:w="2815"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18"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1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18"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1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18"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3835"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155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141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155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155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170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c>
                <w:tcPr>
                  <w:tcW w:w="155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8" w:hRule="atLeast"/>
              </w:trPr>
              <w:tc>
                <w:tcPr>
                  <w:tcW w:w="3835"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3378.26</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3378.26</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一般公共服务支出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1570</w:t>
                  </w:r>
                  <w:r>
                    <w:rPr>
                      <w:rFonts w:hint="eastAsia" w:ascii="宋体" w:hAnsi="宋体" w:cs="Arial"/>
                      <w:color w:val="000000"/>
                      <w:kern w:val="0"/>
                      <w:sz w:val="22"/>
                      <w:szCs w:val="22"/>
                    </w:rPr>
                    <w:t>.44</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1570</w:t>
                  </w:r>
                  <w:r>
                    <w:rPr>
                      <w:rFonts w:hint="eastAsia" w:ascii="宋体" w:hAnsi="宋体" w:cs="Arial"/>
                      <w:color w:val="000000"/>
                      <w:kern w:val="0"/>
                      <w:sz w:val="22"/>
                      <w:szCs w:val="22"/>
                    </w:rPr>
                    <w:t>.44</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政府办公厅（室）及相关机构事务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1469.15</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1469.15</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1461.59</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1461.59</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其他政府办公厅（室）及相关机构事务支出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7.56</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7.56</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发展与改革事务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52.93</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52.93</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52.93</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52.93</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财政事务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48.35</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48.35</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48.35</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48.35</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130.99</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130.99</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130.99</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130.99</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130.99</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130.99</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社会保障和就业支出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127.25</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127.25</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人力资源和社会保障管理事务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73.68</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73.68</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其他人力资源和社会保障管理事务支出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73.68</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73.68</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退役军人管理事务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53.57</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53.57</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其他退役军人事务管理支出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53.57</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53.57</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161.21</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161.21</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161.21</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161.21</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其他卫生健康管理事务支出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161.21</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161.21</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81.56</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81.56</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城乡社区管理事务</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50.13</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50.13</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2120104</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城管执法</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50.13</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50.13</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31.43</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31.43</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31.43</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31.43</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1306.81</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1306.81</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农村综合改革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1004.72</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1004.72</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2130701</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对村级一事一议的补助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25</w:t>
                  </w:r>
                  <w:r>
                    <w:rPr>
                      <w:rFonts w:hint="eastAsia" w:ascii="宋体" w:hAnsi="宋体" w:cs="Arial"/>
                      <w:color w:val="000000"/>
                      <w:kern w:val="0"/>
                      <w:sz w:val="22"/>
                      <w:szCs w:val="22"/>
                    </w:rPr>
                    <w:t>.00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25</w:t>
                  </w:r>
                  <w:r>
                    <w:rPr>
                      <w:rFonts w:hint="eastAsia" w:ascii="宋体" w:hAnsi="宋体" w:cs="Arial"/>
                      <w:color w:val="000000"/>
                      <w:kern w:val="0"/>
                      <w:sz w:val="22"/>
                      <w:szCs w:val="22"/>
                    </w:rPr>
                    <w:t>.00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2130705</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对村民委员会和村党支部的补助</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979.72</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979.72</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302.09</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302.09</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2139999</w:t>
                  </w:r>
                </w:p>
              </w:tc>
              <w:tc>
                <w:tcPr>
                  <w:tcW w:w="281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302.09</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302.09</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190" w:type="dxa"/>
                  <w:gridSpan w:val="10"/>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注：本表反映部门本年度各项支出情况。</w:t>
                  </w:r>
                </w:p>
              </w:tc>
            </w:tr>
          </w:tbl>
          <w:p>
            <w:pPr>
              <w:keepNext w:val="0"/>
              <w:keepLines w:val="0"/>
              <w:widowControl/>
              <w:suppressLineNumbers w:val="0"/>
              <w:spacing w:before="0" w:beforeAutospacing="0" w:after="0" w:afterAutospacing="0"/>
              <w:ind w:left="0" w:right="0"/>
              <w:jc w:val="left"/>
              <w:rPr>
                <w:rFonts w:hint="default" w:ascii="华文中宋" w:hAnsi="华文中宋" w:eastAsia="华文中宋" w:cs="Times New Roman"/>
                <w:color w:val="000000"/>
                <w:kern w:val="0"/>
                <w:sz w:val="32"/>
                <w:szCs w:val="32"/>
              </w:rPr>
            </w:pP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7"/>
        <w:tblW w:w="15720" w:type="dxa"/>
        <w:tblInd w:w="-106" w:type="dxa"/>
        <w:tblLayout w:type="autofit"/>
        <w:tblCellMar>
          <w:top w:w="0" w:type="dxa"/>
          <w:left w:w="108" w:type="dxa"/>
          <w:bottom w:w="0" w:type="dxa"/>
          <w:right w:w="108" w:type="dxa"/>
        </w:tblCellMar>
      </w:tblPr>
      <w:tblGrid>
        <w:gridCol w:w="3641"/>
        <w:gridCol w:w="442"/>
        <w:gridCol w:w="1594"/>
        <w:gridCol w:w="3592"/>
        <w:gridCol w:w="441"/>
        <w:gridCol w:w="1593"/>
        <w:gridCol w:w="1412"/>
        <w:gridCol w:w="1412"/>
        <w:gridCol w:w="1593"/>
      </w:tblGrid>
      <w:tr>
        <w:tblPrEx>
          <w:tblCellMar>
            <w:top w:w="0" w:type="dxa"/>
            <w:left w:w="108" w:type="dxa"/>
            <w:bottom w:w="0" w:type="dxa"/>
            <w:right w:w="108" w:type="dxa"/>
          </w:tblCellMar>
        </w:tblPrEx>
        <w:trPr>
          <w:trHeight w:val="285" w:hRule="atLeast"/>
        </w:trPr>
        <w:tc>
          <w:tcPr>
            <w:tcW w:w="3641"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黑体" w:hAnsi="黑体" w:eastAsia="黑体" w:cs="Times New Roman"/>
                <w:kern w:val="0"/>
                <w:sz w:val="24"/>
                <w:szCs w:val="24"/>
              </w:rPr>
            </w:pPr>
            <w:bookmarkStart w:id="0" w:name="RANGE_A1_I22"/>
            <w:bookmarkEnd w:id="0"/>
            <w:bookmarkStart w:id="1" w:name="RANGE_A1_F16"/>
          </w:p>
        </w:tc>
        <w:tc>
          <w:tcPr>
            <w:tcW w:w="442"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94"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3592"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441"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93"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412"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412"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c>
          <w:tcPr>
            <w:tcW w:w="1593" w:type="dxa"/>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right"/>
              <w:rPr>
                <w:rFonts w:hint="default"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720" w:type="dxa"/>
            <w:gridSpan w:val="9"/>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财政拨款收入支出决算总表</w:t>
            </w:r>
          </w:p>
          <w:tbl>
            <w:tblPr>
              <w:tblStyle w:val="7"/>
              <w:tblW w:w="15504" w:type="dxa"/>
              <w:tblInd w:w="0" w:type="dxa"/>
              <w:tblLayout w:type="autofit"/>
              <w:tblCellMar>
                <w:top w:w="0" w:type="dxa"/>
                <w:left w:w="108" w:type="dxa"/>
                <w:bottom w:w="0" w:type="dxa"/>
                <w:right w:w="108" w:type="dxa"/>
              </w:tblCellMar>
            </w:tblPr>
            <w:tblGrid>
              <w:gridCol w:w="3046"/>
              <w:gridCol w:w="552"/>
              <w:gridCol w:w="1569"/>
              <w:gridCol w:w="3398"/>
              <w:gridCol w:w="552"/>
              <w:gridCol w:w="1569"/>
              <w:gridCol w:w="1569"/>
              <w:gridCol w:w="1569"/>
              <w:gridCol w:w="1680"/>
            </w:tblGrid>
            <w:tr>
              <w:tblPrEx>
                <w:tblCellMar>
                  <w:top w:w="0" w:type="dxa"/>
                  <w:left w:w="108" w:type="dxa"/>
                  <w:bottom w:w="0" w:type="dxa"/>
                  <w:right w:w="108" w:type="dxa"/>
                </w:tblCellMar>
              </w:tblPrEx>
              <w:trPr>
                <w:trHeight w:val="255" w:hRule="atLeast"/>
              </w:trPr>
              <w:tc>
                <w:tcPr>
                  <w:tcW w:w="304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5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39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5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公开04表</w:t>
                  </w:r>
                </w:p>
              </w:tc>
            </w:tr>
            <w:tr>
              <w:tblPrEx>
                <w:tblCellMar>
                  <w:top w:w="0" w:type="dxa"/>
                  <w:left w:w="108" w:type="dxa"/>
                  <w:bottom w:w="0" w:type="dxa"/>
                  <w:right w:w="108" w:type="dxa"/>
                </w:tblCellMar>
              </w:tblPrEx>
              <w:trPr>
                <w:trHeight w:val="255" w:hRule="atLeast"/>
              </w:trPr>
              <w:tc>
                <w:tcPr>
                  <w:tcW w:w="304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55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39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55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167"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收     入</w:t>
                  </w:r>
                </w:p>
              </w:tc>
              <w:tc>
                <w:tcPr>
                  <w:tcW w:w="10337" w:type="dxa"/>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支     出</w:t>
                  </w:r>
                </w:p>
              </w:tc>
            </w:tr>
            <w:tr>
              <w:tblPrEx>
                <w:tblCellMar>
                  <w:top w:w="0" w:type="dxa"/>
                  <w:left w:w="108" w:type="dxa"/>
                  <w:bottom w:w="0" w:type="dxa"/>
                  <w:right w:w="108" w:type="dxa"/>
                </w:tblCellMar>
              </w:tblPrEx>
              <w:trPr>
                <w:trHeight w:val="312" w:hRule="atLeast"/>
              </w:trPr>
              <w:tc>
                <w:tcPr>
                  <w:tcW w:w="3046"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55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行次</w:t>
                  </w:r>
                </w:p>
              </w:tc>
              <w:tc>
                <w:tcPr>
                  <w:tcW w:w="1569"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金额</w:t>
                  </w:r>
                </w:p>
              </w:tc>
              <w:tc>
                <w:tcPr>
                  <w:tcW w:w="339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55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行次</w:t>
                  </w:r>
                </w:p>
              </w:tc>
              <w:tc>
                <w:tcPr>
                  <w:tcW w:w="1569"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1569"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一般公共预算财政拨款</w:t>
                  </w:r>
                </w:p>
              </w:tc>
              <w:tc>
                <w:tcPr>
                  <w:tcW w:w="1569"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政府性基金预算财政拨款</w:t>
                  </w:r>
                </w:p>
              </w:tc>
              <w:tc>
                <w:tcPr>
                  <w:tcW w:w="168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国有资本经营预算财政拨款</w:t>
                  </w:r>
                </w:p>
              </w:tc>
            </w:tr>
            <w:tr>
              <w:tblPrEx>
                <w:tblCellMar>
                  <w:top w:w="0" w:type="dxa"/>
                  <w:left w:w="108" w:type="dxa"/>
                  <w:bottom w:w="0" w:type="dxa"/>
                  <w:right w:w="108" w:type="dxa"/>
                </w:tblCellMar>
              </w:tblPrEx>
              <w:trPr>
                <w:trHeight w:val="615" w:hRule="atLeast"/>
              </w:trPr>
              <w:tc>
                <w:tcPr>
                  <w:tcW w:w="3046" w:type="dxa"/>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552"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3398"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552"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680"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156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156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168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一、一般公共预算财政拨款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830.74</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一、一般公共服务支出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1210.98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1210.98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二、政府性基金预算财政拨款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二、外交支出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三、国有资本经营财政拨款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三、国防支出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四、公共安全支出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86.79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86.79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五、教育支出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六、科学技术支出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七、文化旅游体育与传媒支出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八、社会保障和就业支出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61.58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61.58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九、卫生健康支出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78.87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78.87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十、节能环保支出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十一、城乡社区支出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67.99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67.99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十二、农林水支出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324.53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324.53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十三、交通运输支出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十四、资源勘探工业信息等支出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十五、商业服务业等支出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十六、金融支出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十七、援助其他地区支出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十八、自然资源海洋气象等支出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十九、住房保障支出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二十、粮油物资储备支出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二十一、国有资本经营预算支出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二十二、灾害防治及应急管理支出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二十三、其他支出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0"/>
                      <w:szCs w:val="20"/>
                    </w:rPr>
                  </w:pPr>
                  <w:r>
                    <w:rPr>
                      <w:rFonts w:hint="eastAsia" w:ascii="宋体" w:hAnsi="宋体" w:cs="Arial"/>
                      <w:b/>
                      <w:bCs/>
                      <w:color w:val="000000"/>
                      <w:kern w:val="0"/>
                      <w:sz w:val="20"/>
                      <w:szCs w:val="20"/>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二十四、债务还本支出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25</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二十五、债务付息支出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26</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二十六、抗疫特别国债安排的支出</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本年收入合计</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27</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830.74</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本年支出合计</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1830.74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1830.74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年初财政拨款结转和结余</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28</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年末财政拨款结转和结余</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一般公共预算财政拨款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29</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政府性基金预算财政拨款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30</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国有资本经营预算财政拨款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31</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63</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总计</w:t>
                  </w:r>
                </w:p>
              </w:tc>
              <w:tc>
                <w:tcPr>
                  <w:tcW w:w="552" w:type="dxa"/>
                  <w:tcBorders>
                    <w:top w:val="nil"/>
                    <w:left w:val="nil"/>
                    <w:bottom w:val="single" w:color="000000" w:sz="8"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32</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830.74</w:t>
                  </w:r>
                </w:p>
              </w:tc>
              <w:tc>
                <w:tcPr>
                  <w:tcW w:w="339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rPr>
                  </w:pPr>
                  <w:r>
                    <w:rPr>
                      <w:rFonts w:hint="eastAsia" w:ascii="宋体" w:hAnsi="宋体" w:cs="Arial"/>
                      <w:b/>
                      <w:bCs/>
                      <w:color w:val="000000"/>
                      <w:kern w:val="0"/>
                      <w:sz w:val="22"/>
                      <w:szCs w:val="22"/>
                    </w:rPr>
                    <w:t>总计</w:t>
                  </w:r>
                </w:p>
              </w:tc>
              <w:tc>
                <w:tcPr>
                  <w:tcW w:w="55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1830.74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1830.74</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824" w:type="dxa"/>
                  <w:gridSpan w:val="8"/>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注：本表反映部门本年度一般公共预算财政拨款、政府性基金预算财政拨款和国有资本经营预算财政拨款的总收支和年末结转结余情况。</w:t>
                  </w:r>
                </w:p>
              </w:tc>
              <w:tc>
                <w:tcPr>
                  <w:tcW w:w="16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p>
              </w:tc>
            </w:tr>
          </w:tbl>
          <w:p>
            <w:pPr>
              <w:keepNext w:val="0"/>
              <w:keepLines w:val="0"/>
              <w:widowControl/>
              <w:suppressLineNumbers w:val="0"/>
              <w:spacing w:before="0" w:beforeAutospacing="0" w:after="0" w:afterAutospacing="0"/>
              <w:ind w:left="0" w:right="0"/>
              <w:jc w:val="left"/>
              <w:rPr>
                <w:rFonts w:hint="default" w:ascii="华文中宋" w:hAnsi="华文中宋" w:eastAsia="华文中宋" w:cs="Times New Roman"/>
                <w:color w:val="000000"/>
                <w:kern w:val="0"/>
                <w:sz w:val="32"/>
                <w:szCs w:val="32"/>
              </w:rPr>
            </w:pP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方正小标宋_GBK"/>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tbl>
      <w:tblPr>
        <w:tblStyle w:val="7"/>
        <w:tblW w:w="14070" w:type="dxa"/>
        <w:tblInd w:w="93" w:type="dxa"/>
        <w:tblLayout w:type="autofit"/>
        <w:tblCellMar>
          <w:top w:w="0" w:type="dxa"/>
          <w:left w:w="108" w:type="dxa"/>
          <w:bottom w:w="0" w:type="dxa"/>
          <w:right w:w="108" w:type="dxa"/>
        </w:tblCellMar>
      </w:tblPr>
      <w:tblGrid>
        <w:gridCol w:w="340"/>
        <w:gridCol w:w="340"/>
        <w:gridCol w:w="340"/>
        <w:gridCol w:w="4665"/>
        <w:gridCol w:w="2645"/>
        <w:gridCol w:w="2937"/>
        <w:gridCol w:w="2803"/>
      </w:tblGrid>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466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64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937"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公开05表</w:t>
            </w:r>
          </w:p>
        </w:tc>
      </w:tr>
      <w:tr>
        <w:tblPrEx>
          <w:tblCellMar>
            <w:top w:w="0" w:type="dxa"/>
            <w:left w:w="108" w:type="dxa"/>
            <w:bottom w:w="0" w:type="dxa"/>
            <w:right w:w="108" w:type="dxa"/>
          </w:tblCellMar>
        </w:tblPrEx>
        <w:trPr>
          <w:trHeight w:val="255" w:hRule="atLeast"/>
        </w:trPr>
        <w:tc>
          <w:tcPr>
            <w:tcW w:w="5685" w:type="dxa"/>
            <w:gridSpan w:val="4"/>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264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937"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0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685"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w:t>
            </w:r>
          </w:p>
        </w:tc>
        <w:tc>
          <w:tcPr>
            <w:tcW w:w="8385" w:type="dxa"/>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本年支出</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功能分类科目编码</w:t>
            </w:r>
          </w:p>
        </w:tc>
        <w:tc>
          <w:tcPr>
            <w:tcW w:w="4665"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2645"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小计</w:t>
            </w:r>
          </w:p>
        </w:tc>
        <w:tc>
          <w:tcPr>
            <w:tcW w:w="2937"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248" w:rightChars="-118"/>
              <w:jc w:val="center"/>
              <w:rPr>
                <w:rFonts w:hint="default" w:ascii="宋体" w:hAnsi="宋体" w:cs="Arial"/>
                <w:color w:val="000000"/>
                <w:kern w:val="0"/>
                <w:sz w:val="22"/>
              </w:rPr>
            </w:pPr>
            <w:r>
              <w:rPr>
                <w:rFonts w:hint="eastAsia" w:ascii="宋体" w:hAnsi="宋体" w:cs="Arial"/>
                <w:color w:val="000000"/>
                <w:kern w:val="0"/>
                <w:sz w:val="22"/>
                <w:szCs w:val="22"/>
              </w:rPr>
              <w:t>基本支出</w:t>
            </w:r>
          </w:p>
        </w:tc>
        <w:tc>
          <w:tcPr>
            <w:tcW w:w="2803"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466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64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937"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03"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466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645"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937"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803"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5685"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栏次</w:t>
            </w:r>
          </w:p>
        </w:tc>
        <w:tc>
          <w:tcPr>
            <w:tcW w:w="264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293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280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r>
      <w:tr>
        <w:tblPrEx>
          <w:tblCellMar>
            <w:top w:w="0" w:type="dxa"/>
            <w:left w:w="108" w:type="dxa"/>
            <w:bottom w:w="0" w:type="dxa"/>
            <w:right w:w="108" w:type="dxa"/>
          </w:tblCellMar>
        </w:tblPrEx>
        <w:trPr>
          <w:trHeight w:val="308" w:hRule="atLeast"/>
        </w:trPr>
        <w:tc>
          <w:tcPr>
            <w:tcW w:w="5685"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b/>
                <w:bCs/>
                <w:color w:val="000000"/>
                <w:kern w:val="0"/>
                <w:sz w:val="22"/>
                <w:lang w:val="en-US" w:eastAsia="zh-CN"/>
              </w:rPr>
            </w:pPr>
            <w:r>
              <w:rPr>
                <w:rFonts w:hint="eastAsia" w:ascii="宋体" w:hAnsi="宋体" w:cs="Arial"/>
                <w:b/>
                <w:bCs/>
                <w:color w:val="000000"/>
                <w:kern w:val="0"/>
                <w:sz w:val="22"/>
                <w:szCs w:val="22"/>
                <w:lang w:val="en-US" w:eastAsia="zh-CN"/>
              </w:rPr>
              <w:t>1830.74</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lang w:val="en-US" w:eastAsia="zh-CN"/>
              </w:rPr>
              <w:t>1830.74</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b/>
                <w:bCs/>
                <w:color w:val="000000"/>
                <w:kern w:val="0"/>
                <w:sz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一般公共服务支出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1210.98</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1210.98</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政府办公厅（室）及相关机构事务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1120.16</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1120.16</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282"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1112.60</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1112.60</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2010399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其他政府办公厅（室）及相关机构事务支出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7.56</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7.56</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发展与改革事务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42.4</w:t>
            </w:r>
            <w:r>
              <w:rPr>
                <w:rFonts w:hint="eastAsia" w:ascii="宋体" w:hAnsi="宋体" w:cs="Arial"/>
                <w:color w:val="000000"/>
                <w:kern w:val="0"/>
                <w:sz w:val="22"/>
                <w:szCs w:val="22"/>
                <w:lang w:val="en-US" w:eastAsia="zh-CN"/>
              </w:rPr>
              <w:t>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42.4</w:t>
            </w:r>
            <w:r>
              <w:rPr>
                <w:rFonts w:hint="eastAsia" w:ascii="宋体" w:hAnsi="宋体" w:cs="Arial"/>
                <w:color w:val="000000"/>
                <w:kern w:val="0"/>
                <w:sz w:val="22"/>
                <w:szCs w:val="22"/>
                <w:lang w:val="en-US" w:eastAsia="zh-CN"/>
              </w:rPr>
              <w:t>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2010499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42.4</w:t>
            </w:r>
            <w:r>
              <w:rPr>
                <w:rFonts w:hint="eastAsia" w:ascii="宋体" w:hAnsi="宋体" w:cs="Arial"/>
                <w:color w:val="000000"/>
                <w:kern w:val="0"/>
                <w:sz w:val="22"/>
                <w:szCs w:val="22"/>
                <w:lang w:val="en-US" w:eastAsia="zh-CN"/>
              </w:rPr>
              <w:t>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42.4</w:t>
            </w:r>
            <w:r>
              <w:rPr>
                <w:rFonts w:hint="eastAsia" w:ascii="宋体" w:hAnsi="宋体" w:cs="Arial"/>
                <w:color w:val="000000"/>
                <w:kern w:val="0"/>
                <w:sz w:val="22"/>
                <w:szCs w:val="22"/>
                <w:lang w:val="en-US" w:eastAsia="zh-CN"/>
              </w:rPr>
              <w:t>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财政事务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48.35</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48.35</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2010601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行政运行</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48.35</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48.35</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公共安全支出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lang w:val="en-US" w:eastAsia="zh-CN"/>
              </w:rPr>
              <w:t>86.79</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lang w:val="en-US" w:eastAsia="zh-CN"/>
              </w:rPr>
              <w:t>86.79</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其他公共安全支出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86.79</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86.79</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2049901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其他公共安全支出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86.79</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86.79</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社会保障和就业支出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61.58</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61.58</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人力资源和社会保障管理事务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42.99</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42.99</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2080199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其他人力资源和社会保障管理事务支出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42.99</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42.99</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退役军人管理事务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18.59</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18.59</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2082899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其他退役军人事务管理支出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18.59</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18.59</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78.87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78.87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卫生健康管理事务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78.87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78.87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2100199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其他卫生健康管理事务支出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78.87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78.87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67.99</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67.99</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城乡社区管理事务</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36.56</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36.56</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2120104</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城管执法</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36.56</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36.56</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城乡社区环境卫生</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31.43</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31.43</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2120501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城乡社区环境卫生</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31.43</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31.43</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农林水支出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324.53</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324.53</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农村综合改革</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183.76</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183.76</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27"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2130701</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对村级一事一议的补助</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27"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2130705</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 xml:space="preserve">  对村民委员会和村党支部的补助</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183.76</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183.76</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27"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21399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其他农林水支出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140.77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140.77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27"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2139999</w:t>
            </w:r>
          </w:p>
        </w:tc>
        <w:tc>
          <w:tcPr>
            <w:tcW w:w="46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 xml:space="preserve">  其他农林水支出</w:t>
            </w:r>
          </w:p>
        </w:tc>
        <w:tc>
          <w:tcPr>
            <w:tcW w:w="264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140.77</w:t>
            </w:r>
          </w:p>
        </w:tc>
        <w:tc>
          <w:tcPr>
            <w:tcW w:w="293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lang w:val="en-US" w:eastAsia="zh-CN"/>
              </w:rPr>
              <w:t>140.77</w:t>
            </w:r>
          </w:p>
        </w:tc>
        <w:tc>
          <w:tcPr>
            <w:tcW w:w="28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szCs w:val="21"/>
                <w:lang w:val="en-US" w:eastAsia="zh-CN" w:bidi="ar-SA"/>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070" w:type="dxa"/>
            <w:gridSpan w:val="7"/>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注：本表反映部门本年度一般公共预算财政拨款支出情况。</w:t>
            </w:r>
          </w:p>
        </w:tc>
      </w:tr>
    </w:tbl>
    <w:p>
      <w:pPr>
        <w:widowControl/>
        <w:jc w:val="left"/>
        <w:rPr>
          <w:rFonts w:ascii="Times New Roman" w:hAnsi="Times New Roman" w:eastAsia="方正小标宋_GBK" w:cs="Times New Roman"/>
          <w:kern w:val="0"/>
          <w:sz w:val="36"/>
          <w:szCs w:val="36"/>
        </w:rPr>
      </w:pPr>
    </w:p>
    <w:p>
      <w:pPr>
        <w:widowControl/>
        <w:spacing w:beforeLines="50"/>
        <w:jc w:val="left"/>
        <w:rPr>
          <w:rFonts w:ascii="Times New Roman" w:hAnsi="Times New Roman" w:eastAsia="仿宋_GB2312" w:cs="Times New Roman"/>
          <w:kern w:val="0"/>
        </w:rPr>
      </w:pPr>
      <w:r>
        <w:rPr>
          <w:rFonts w:ascii="Times New Roman" w:hAnsi="Times New Roman" w:eastAsia="仿宋_GB2312" w:cs="Times New Roman"/>
          <w:color w:val="000000"/>
          <w:kern w:val="0"/>
        </w:rPr>
        <w:t xml:space="preserve">                                                                                                         </w:t>
      </w: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7"/>
        <w:tblW w:w="0" w:type="auto"/>
        <w:tblInd w:w="-106" w:type="dxa"/>
        <w:tblLayout w:type="autofit"/>
        <w:tblCellMar>
          <w:top w:w="0" w:type="dxa"/>
          <w:left w:w="108" w:type="dxa"/>
          <w:bottom w:w="0" w:type="dxa"/>
          <w:right w:w="108" w:type="dxa"/>
        </w:tblCellMar>
      </w:tblPr>
      <w:tblGrid>
        <w:gridCol w:w="15529"/>
      </w:tblGrid>
      <w:tr>
        <w:tblPrEx>
          <w:tblCellMar>
            <w:top w:w="0" w:type="dxa"/>
            <w:left w:w="108" w:type="dxa"/>
            <w:bottom w:w="0" w:type="dxa"/>
            <w:right w:w="108" w:type="dxa"/>
          </w:tblCellMar>
        </w:tblPrEx>
        <w:trPr>
          <w:trHeight w:val="113" w:hRule="atLeast"/>
        </w:trPr>
        <w:tc>
          <w:tcPr>
            <w:tcW w:w="0" w:type="auto"/>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tbl>
            <w:tblPr>
              <w:tblStyle w:val="7"/>
              <w:tblW w:w="15304" w:type="dxa"/>
              <w:tblInd w:w="0" w:type="dxa"/>
              <w:tblLayout w:type="autofit"/>
              <w:tblCellMar>
                <w:top w:w="0" w:type="dxa"/>
                <w:left w:w="108" w:type="dxa"/>
                <w:bottom w:w="0" w:type="dxa"/>
                <w:right w:w="108" w:type="dxa"/>
              </w:tblCellMar>
            </w:tblPr>
            <w:tblGrid>
              <w:gridCol w:w="935"/>
              <w:gridCol w:w="2573"/>
              <w:gridCol w:w="1442"/>
              <w:gridCol w:w="964"/>
              <w:gridCol w:w="2201"/>
              <w:gridCol w:w="1442"/>
              <w:gridCol w:w="766"/>
              <w:gridCol w:w="3548"/>
              <w:gridCol w:w="1442"/>
            </w:tblGrid>
            <w:tr>
              <w:tblPrEx>
                <w:tblCellMar>
                  <w:top w:w="0" w:type="dxa"/>
                  <w:left w:w="108" w:type="dxa"/>
                  <w:bottom w:w="0" w:type="dxa"/>
                  <w:right w:w="108" w:type="dxa"/>
                </w:tblCellMar>
              </w:tblPrEx>
              <w:trPr>
                <w:trHeight w:val="255" w:hRule="atLeast"/>
              </w:trPr>
              <w:tc>
                <w:tcPr>
                  <w:tcW w:w="935"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573"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964"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757"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54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18"/>
                      <w:szCs w:val="18"/>
                    </w:rPr>
                  </w:pPr>
                  <w:r>
                    <w:rPr>
                      <w:rFonts w:hint="eastAsia" w:ascii="宋体" w:hAnsi="宋体" w:cs="Arial"/>
                      <w:color w:val="000000"/>
                      <w:kern w:val="0"/>
                      <w:sz w:val="18"/>
                      <w:szCs w:val="18"/>
                    </w:rPr>
                    <w:t>公开06表</w:t>
                  </w:r>
                </w:p>
              </w:tc>
            </w:tr>
            <w:tr>
              <w:tblPrEx>
                <w:tblCellMar>
                  <w:top w:w="0" w:type="dxa"/>
                  <w:left w:w="108" w:type="dxa"/>
                  <w:bottom w:w="0" w:type="dxa"/>
                  <w:right w:w="108" w:type="dxa"/>
                </w:tblCellMar>
              </w:tblPrEx>
              <w:trPr>
                <w:trHeight w:val="255" w:hRule="atLeast"/>
              </w:trPr>
              <w:tc>
                <w:tcPr>
                  <w:tcW w:w="3508"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964"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201"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757"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3548"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18"/>
                      <w:szCs w:val="18"/>
                    </w:rPr>
                  </w:pPr>
                  <w:r>
                    <w:rPr>
                      <w:rFonts w:hint="eastAsia" w:ascii="宋体" w:hAnsi="宋体" w:cs="Arial"/>
                      <w:color w:val="000000"/>
                      <w:kern w:val="0"/>
                      <w:sz w:val="18"/>
                      <w:szCs w:val="18"/>
                    </w:rPr>
                    <w:t>金额单位：万元</w:t>
                  </w:r>
                </w:p>
              </w:tc>
            </w:tr>
            <w:tr>
              <w:tblPrEx>
                <w:tblCellMar>
                  <w:top w:w="0" w:type="dxa"/>
                  <w:left w:w="108" w:type="dxa"/>
                  <w:bottom w:w="0" w:type="dxa"/>
                  <w:right w:w="108" w:type="dxa"/>
                </w:tblCellMar>
              </w:tblPrEx>
              <w:trPr>
                <w:trHeight w:val="308" w:hRule="atLeast"/>
              </w:trPr>
              <w:tc>
                <w:tcPr>
                  <w:tcW w:w="4950"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人员经费</w:t>
                  </w:r>
                </w:p>
              </w:tc>
              <w:tc>
                <w:tcPr>
                  <w:tcW w:w="10354" w:type="dxa"/>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公用经费</w:t>
                  </w:r>
                </w:p>
              </w:tc>
            </w:tr>
            <w:tr>
              <w:tblPrEx>
                <w:tblCellMar>
                  <w:top w:w="0" w:type="dxa"/>
                  <w:left w:w="108" w:type="dxa"/>
                  <w:bottom w:w="0" w:type="dxa"/>
                  <w:right w:w="108" w:type="dxa"/>
                </w:tblCellMar>
              </w:tblPrEx>
              <w:trPr>
                <w:trHeight w:val="312" w:hRule="atLeast"/>
              </w:trPr>
              <w:tc>
                <w:tcPr>
                  <w:tcW w:w="935"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科目编码</w:t>
                  </w:r>
                </w:p>
              </w:tc>
              <w:tc>
                <w:tcPr>
                  <w:tcW w:w="2573"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44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决算数</w:t>
                  </w:r>
                </w:p>
              </w:tc>
              <w:tc>
                <w:tcPr>
                  <w:tcW w:w="96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科目编码</w:t>
                  </w:r>
                </w:p>
              </w:tc>
              <w:tc>
                <w:tcPr>
                  <w:tcW w:w="2201"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44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决算数</w:t>
                  </w:r>
                </w:p>
              </w:tc>
              <w:tc>
                <w:tcPr>
                  <w:tcW w:w="757"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科目编码</w:t>
                  </w:r>
                </w:p>
              </w:tc>
              <w:tc>
                <w:tcPr>
                  <w:tcW w:w="354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44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12" w:hRule="atLeast"/>
              </w:trPr>
              <w:tc>
                <w:tcPr>
                  <w:tcW w:w="935" w:type="dxa"/>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573"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42"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964"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201"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42"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757"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3548"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442"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工资福利支出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1055.20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商品和服务支出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553.33</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307</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债务利息及费用支出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46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30101</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基本工资</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309.23</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30201</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办公费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78.23</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30701</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国内债务付息</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30102</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津贴补贴</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129.38</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30202</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印刷费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79.70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30702</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国外债务付息</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30103</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奖金</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106.14</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30203</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咨询费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资本性支出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30106</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伙食补助费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45.45</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30204</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手续费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31001</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房屋建筑物购建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30107</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绩效工资</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134.03</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30205</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31002</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办公设备购置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30108</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机关事业单位基本养老保险缴费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93.53</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30206</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电费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11.90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31003</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专用设备购置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30109</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职业年金缴费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32.86</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30207</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邮电费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3.54</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31005</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基础设施建设</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30110</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职工基本医疗保险缴费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59.75</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30208</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取暖费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31006</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大型修缮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30111</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公务员医疗补助缴费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30209</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物业管理费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31007</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信息网络及软件购置更新</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30112</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其他社会保障缴费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3.49</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30211</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差旅费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22.29</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31008</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物资储备</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30113</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住房公积金</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96.74</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30212</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因公出国（境）费用</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31009</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土地补偿</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30114</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医疗费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30213</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维修（护）费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15.31</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31010</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安置补助</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30199</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其他工资福利支出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44.60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30214</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租赁费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31011</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地上附着物和青苗补偿</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对个人和家庭的补助</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222.21</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30215</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会议费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17.4</w:t>
                  </w:r>
                  <w:r>
                    <w:rPr>
                      <w:rFonts w:hint="eastAsia" w:ascii="宋体" w:hAnsi="宋体" w:cs="Arial"/>
                      <w:color w:val="000000"/>
                      <w:kern w:val="0"/>
                      <w:sz w:val="22"/>
                      <w:szCs w:val="22"/>
                    </w:rPr>
                    <w:t>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31012</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拆迁补偿</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90"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30301</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离休费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30216</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培训费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5.90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31013</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公务用车购置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30302</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退休费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30217</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公务接待费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31019</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其他交通工具购置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30303</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退职（役）费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30218</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专用材料费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31021</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文物和陈列品购置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30304</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抚恤金</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29</w:t>
                  </w:r>
                  <w:r>
                    <w:rPr>
                      <w:rFonts w:hint="eastAsia" w:ascii="宋体" w:hAnsi="宋体" w:cs="Arial"/>
                      <w:color w:val="000000"/>
                      <w:kern w:val="0"/>
                      <w:sz w:val="22"/>
                      <w:szCs w:val="22"/>
                    </w:rPr>
                    <w:t>.8</w:t>
                  </w:r>
                  <w:r>
                    <w:rPr>
                      <w:rFonts w:hint="eastAsia" w:ascii="宋体" w:hAnsi="宋体" w:cs="Arial"/>
                      <w:color w:val="000000"/>
                      <w:kern w:val="0"/>
                      <w:sz w:val="22"/>
                      <w:szCs w:val="22"/>
                      <w:lang w:val="en-US" w:eastAsia="zh-CN"/>
                    </w:rPr>
                    <w:t>8</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30224</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被装购置费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31022</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无形资产购置</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30305</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生活补助</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30225</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专用燃料费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31099</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其他资本性支出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30306</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救济费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4.42</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30226</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劳务费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109.68</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399</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其他支出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30307</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医疗费补助</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eastAsia" w:ascii="宋体" w:hAnsi="宋体" w:eastAsia="宋体" w:cs="Arial"/>
                      <w:color w:val="000000"/>
                      <w:kern w:val="0"/>
                      <w:sz w:val="22"/>
                      <w:lang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.0</w:t>
                  </w:r>
                  <w:r>
                    <w:rPr>
                      <w:rFonts w:hint="eastAsia" w:ascii="宋体" w:hAnsi="宋体" w:cs="Arial"/>
                      <w:color w:val="000000"/>
                      <w:kern w:val="0"/>
                      <w:sz w:val="22"/>
                      <w:szCs w:val="22"/>
                      <w:lang w:val="en-US" w:eastAsia="zh-CN"/>
                    </w:rPr>
                    <w:t>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30227</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委托业务费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164.55</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39906</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赠与</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30308</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助学金</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30228</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工会经费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39907</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国家赔偿费用支出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30309</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奖励金</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4.15</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30229</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福利费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39908</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对民间非营利组织和群众性自治组织补贴</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30310</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个人农业生产补贴</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183.76</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30231</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公务用车运行维护费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39999</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30311</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代缴社会保险费</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30239</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其他交通费用</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26.73</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30399</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其他对个人和家庭的补助</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0.00</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30240</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税金及附加费用</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25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c>
                <w:tcPr>
                  <w:tcW w:w="96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30299</w:t>
                  </w:r>
                </w:p>
              </w:tc>
              <w:tc>
                <w:tcPr>
                  <w:tcW w:w="220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xml:space="preserve">  其他商品和服务支出</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18.10</w:t>
                  </w:r>
                </w:p>
              </w:tc>
              <w:tc>
                <w:tcPr>
                  <w:tcW w:w="75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354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508" w:type="dxa"/>
                  <w:gridSpan w:val="2"/>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人员经费合计</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rPr>
                    <w:t>1,2</w:t>
                  </w:r>
                  <w:r>
                    <w:rPr>
                      <w:rFonts w:hint="eastAsia" w:ascii="宋体" w:hAnsi="宋体" w:cs="Arial"/>
                      <w:color w:val="000000"/>
                      <w:kern w:val="0"/>
                      <w:sz w:val="22"/>
                      <w:szCs w:val="22"/>
                      <w:lang w:val="en-US" w:eastAsia="zh-CN"/>
                    </w:rPr>
                    <w:t>77</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41</w:t>
                  </w:r>
                </w:p>
              </w:tc>
              <w:tc>
                <w:tcPr>
                  <w:tcW w:w="8912" w:type="dxa"/>
                  <w:gridSpan w:val="5"/>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公用经费合计</w:t>
                  </w:r>
                </w:p>
              </w:tc>
              <w:tc>
                <w:tcPr>
                  <w:tcW w:w="144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553.33</w:t>
                  </w:r>
                </w:p>
              </w:tc>
            </w:tr>
            <w:tr>
              <w:tblPrEx>
                <w:tblCellMar>
                  <w:top w:w="0" w:type="dxa"/>
                  <w:left w:w="108" w:type="dxa"/>
                  <w:bottom w:w="0" w:type="dxa"/>
                  <w:right w:w="108" w:type="dxa"/>
                </w:tblCellMar>
              </w:tblPrEx>
              <w:trPr>
                <w:trHeight w:val="308" w:hRule="atLeast"/>
              </w:trPr>
              <w:tc>
                <w:tcPr>
                  <w:tcW w:w="15304" w:type="dxa"/>
                  <w:gridSpan w:val="9"/>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注：本表反映部门本年度一般公共预算财政拨款基本支出明细情况。</w:t>
                  </w:r>
                </w:p>
              </w:tc>
            </w:tr>
          </w:tbl>
          <w:p>
            <w:pPr>
              <w:keepNext w:val="0"/>
              <w:keepLines w:val="0"/>
              <w:widowControl/>
              <w:suppressLineNumbers w:val="0"/>
              <w:spacing w:before="0" w:beforeAutospacing="0" w:after="0" w:afterAutospacing="0"/>
              <w:ind w:left="0" w:right="0"/>
              <w:jc w:val="left"/>
              <w:rPr>
                <w:rFonts w:hint="default" w:ascii="华文中宋" w:hAnsi="华文中宋" w:eastAsia="华文中宋" w:cs="Times New Roman"/>
                <w:color w:val="000000"/>
                <w:kern w:val="0"/>
              </w:rPr>
            </w:pPr>
          </w:p>
          <w:p>
            <w:pPr>
              <w:keepNext w:val="0"/>
              <w:keepLines w:val="0"/>
              <w:widowControl/>
              <w:suppressLineNumbers w:val="0"/>
              <w:wordWrap w:val="0"/>
              <w:spacing w:before="0" w:beforeAutospacing="0" w:after="0" w:afterAutospacing="0"/>
              <w:ind w:left="0" w:right="0"/>
              <w:jc w:val="right"/>
              <w:rPr>
                <w:rFonts w:hint="default" w:ascii="华文中宋" w:hAnsi="华文中宋" w:eastAsia="华文中宋" w:cs="Times New Roman"/>
                <w:color w:val="000000"/>
                <w:kern w:val="0"/>
              </w:rPr>
            </w:pPr>
          </w:p>
        </w:tc>
      </w:tr>
    </w:tbl>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tbl>
      <w:tblPr>
        <w:tblStyle w:val="7"/>
        <w:tblW w:w="15806" w:type="dxa"/>
        <w:tblInd w:w="93" w:type="dxa"/>
        <w:tblLayout w:type="autofit"/>
        <w:tblCellMar>
          <w:top w:w="0" w:type="dxa"/>
          <w:left w:w="108" w:type="dxa"/>
          <w:bottom w:w="0" w:type="dxa"/>
          <w:right w:w="108" w:type="dxa"/>
        </w:tblCellMar>
      </w:tblPr>
      <w:tblGrid>
        <w:gridCol w:w="1291"/>
        <w:gridCol w:w="129"/>
        <w:gridCol w:w="1147"/>
        <w:gridCol w:w="273"/>
        <w:gridCol w:w="1003"/>
        <w:gridCol w:w="417"/>
        <w:gridCol w:w="858"/>
        <w:gridCol w:w="562"/>
        <w:gridCol w:w="714"/>
        <w:gridCol w:w="706"/>
        <w:gridCol w:w="286"/>
        <w:gridCol w:w="1560"/>
        <w:gridCol w:w="994"/>
        <w:gridCol w:w="281"/>
        <w:gridCol w:w="993"/>
        <w:gridCol w:w="146"/>
        <w:gridCol w:w="1271"/>
        <w:gridCol w:w="149"/>
        <w:gridCol w:w="702"/>
        <w:gridCol w:w="425"/>
        <w:gridCol w:w="1417"/>
        <w:gridCol w:w="482"/>
      </w:tblGrid>
      <w:tr>
        <w:tblPrEx>
          <w:tblCellMar>
            <w:top w:w="0" w:type="dxa"/>
            <w:left w:w="108" w:type="dxa"/>
            <w:bottom w:w="0" w:type="dxa"/>
            <w:right w:w="108" w:type="dxa"/>
          </w:tblCellMar>
        </w:tblPrEx>
        <w:trPr>
          <w:trHeight w:val="255" w:hRule="atLeast"/>
        </w:trPr>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554"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3"/>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702"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324" w:type="dxa"/>
            <w:gridSpan w:val="3"/>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420"/>
              <w:jc w:val="right"/>
              <w:rPr>
                <w:rFonts w:hint="default" w:ascii="Times New Roman" w:hAnsi="Times New Roman" w:eastAsia="仿宋_GB2312" w:cs="Times New Roman"/>
                <w:color w:val="000000"/>
                <w:kern w:val="0"/>
              </w:rPr>
            </w:pPr>
          </w:p>
        </w:tc>
      </w:tr>
      <w:tr>
        <w:tblPrEx>
          <w:tblCellMar>
            <w:top w:w="0" w:type="dxa"/>
            <w:left w:w="108" w:type="dxa"/>
            <w:bottom w:w="0" w:type="dxa"/>
            <w:right w:w="108" w:type="dxa"/>
          </w:tblCellMar>
        </w:tblPrEx>
        <w:trPr>
          <w:gridAfter w:val="1"/>
          <w:wAfter w:w="482" w:type="dxa"/>
          <w:trHeight w:val="255" w:hRule="atLeast"/>
        </w:trPr>
        <w:tc>
          <w:tcPr>
            <w:tcW w:w="2840" w:type="dxa"/>
            <w:gridSpan w:val="4"/>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86"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2554"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3"/>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127" w:type="dxa"/>
            <w:gridSpan w:val="2"/>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p>
        </w:tc>
        <w:tc>
          <w:tcPr>
            <w:tcW w:w="1417" w:type="dxa"/>
            <w:tcBorders>
              <w:top w:val="nil"/>
              <w:left w:val="nil"/>
              <w:bottom w:val="nil"/>
              <w:right w:val="nil"/>
            </w:tcBorders>
            <w:shd w:val="clear" w:color="auto" w:fill="auto"/>
            <w:noWrap/>
            <w:vAlign w:val="bottom"/>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kern w:val="0"/>
              </w:rPr>
            </w:pPr>
            <w:r>
              <w:rPr>
                <w:rFonts w:hint="eastAsia" w:ascii="Times New Roman" w:hAnsi="Times New Roman" w:eastAsia="仿宋_GB2312" w:cs="仿宋_GB2312"/>
                <w:color w:val="000000"/>
                <w:kern w:val="0"/>
              </w:rPr>
              <w:t>公开</w:t>
            </w:r>
            <w:r>
              <w:rPr>
                <w:rFonts w:hint="default"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308" w:hRule="atLeast"/>
        </w:trPr>
        <w:tc>
          <w:tcPr>
            <w:tcW w:w="7386" w:type="dxa"/>
            <w:gridSpan w:val="11"/>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预算数</w:t>
            </w:r>
          </w:p>
        </w:tc>
        <w:tc>
          <w:tcPr>
            <w:tcW w:w="8420" w:type="dxa"/>
            <w:gridSpan w:val="11"/>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08" w:hRule="atLeast"/>
        </w:trPr>
        <w:tc>
          <w:tcPr>
            <w:tcW w:w="1291"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1276"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因公出国（境）费</w:t>
            </w:r>
          </w:p>
        </w:tc>
        <w:tc>
          <w:tcPr>
            <w:tcW w:w="3827" w:type="dxa"/>
            <w:gridSpan w:val="6"/>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公务用车购置及运行费</w:t>
            </w:r>
          </w:p>
        </w:tc>
        <w:tc>
          <w:tcPr>
            <w:tcW w:w="992"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公务接待费</w:t>
            </w:r>
          </w:p>
        </w:tc>
        <w:tc>
          <w:tcPr>
            <w:tcW w:w="156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合计</w:t>
            </w:r>
          </w:p>
        </w:tc>
        <w:tc>
          <w:tcPr>
            <w:tcW w:w="1275"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因公出国（境）费</w:t>
            </w:r>
          </w:p>
        </w:tc>
        <w:tc>
          <w:tcPr>
            <w:tcW w:w="3686" w:type="dxa"/>
            <w:gridSpan w:val="6"/>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公务用车购置及运行费</w:t>
            </w:r>
          </w:p>
        </w:tc>
        <w:tc>
          <w:tcPr>
            <w:tcW w:w="1899"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公务接待费</w:t>
            </w:r>
          </w:p>
        </w:tc>
      </w:tr>
      <w:tr>
        <w:tblPrEx>
          <w:tblCellMar>
            <w:top w:w="0" w:type="dxa"/>
            <w:left w:w="108" w:type="dxa"/>
            <w:bottom w:w="0" w:type="dxa"/>
            <w:right w:w="108" w:type="dxa"/>
          </w:tblCellMar>
        </w:tblPrEx>
        <w:trPr>
          <w:trHeight w:val="615" w:hRule="atLeast"/>
        </w:trPr>
        <w:tc>
          <w:tcPr>
            <w:tcW w:w="1291" w:type="dxa"/>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6" w:type="dxa"/>
            <w:gridSpan w:val="2"/>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6"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小计</w:t>
            </w:r>
          </w:p>
        </w:tc>
        <w:tc>
          <w:tcPr>
            <w:tcW w:w="1275"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公务用车购置费</w:t>
            </w:r>
          </w:p>
        </w:tc>
        <w:tc>
          <w:tcPr>
            <w:tcW w:w="1276"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公务用车运行费</w:t>
            </w:r>
          </w:p>
        </w:tc>
        <w:tc>
          <w:tcPr>
            <w:tcW w:w="992" w:type="dxa"/>
            <w:gridSpan w:val="2"/>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560" w:type="dxa"/>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1275" w:type="dxa"/>
            <w:gridSpan w:val="2"/>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99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小计</w:t>
            </w:r>
          </w:p>
        </w:tc>
        <w:tc>
          <w:tcPr>
            <w:tcW w:w="1417"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公务用车购置费</w:t>
            </w:r>
          </w:p>
        </w:tc>
        <w:tc>
          <w:tcPr>
            <w:tcW w:w="1276" w:type="dxa"/>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公务用车运行费</w:t>
            </w:r>
          </w:p>
        </w:tc>
        <w:tc>
          <w:tcPr>
            <w:tcW w:w="1899" w:type="dxa"/>
            <w:gridSpan w:val="2"/>
            <w:vMerge w:val="continue"/>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1291"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w:t>
            </w:r>
          </w:p>
        </w:tc>
        <w:tc>
          <w:tcPr>
            <w:tcW w:w="1276"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2</w:t>
            </w:r>
          </w:p>
        </w:tc>
        <w:tc>
          <w:tcPr>
            <w:tcW w:w="1276"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3</w:t>
            </w:r>
          </w:p>
        </w:tc>
        <w:tc>
          <w:tcPr>
            <w:tcW w:w="1275"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4</w:t>
            </w:r>
          </w:p>
        </w:tc>
        <w:tc>
          <w:tcPr>
            <w:tcW w:w="1276"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5</w:t>
            </w:r>
          </w:p>
        </w:tc>
        <w:tc>
          <w:tcPr>
            <w:tcW w:w="992"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6</w:t>
            </w:r>
          </w:p>
        </w:tc>
        <w:tc>
          <w:tcPr>
            <w:tcW w:w="156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7</w:t>
            </w:r>
          </w:p>
        </w:tc>
        <w:tc>
          <w:tcPr>
            <w:tcW w:w="1275"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8</w:t>
            </w:r>
          </w:p>
        </w:tc>
        <w:tc>
          <w:tcPr>
            <w:tcW w:w="99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9</w:t>
            </w:r>
          </w:p>
        </w:tc>
        <w:tc>
          <w:tcPr>
            <w:tcW w:w="1417"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10</w:t>
            </w:r>
          </w:p>
        </w:tc>
        <w:tc>
          <w:tcPr>
            <w:tcW w:w="1276" w:type="dxa"/>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11</w:t>
            </w:r>
          </w:p>
        </w:tc>
        <w:tc>
          <w:tcPr>
            <w:tcW w:w="1899"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12</w:t>
            </w:r>
          </w:p>
        </w:tc>
      </w:tr>
      <w:tr>
        <w:tblPrEx>
          <w:tblCellMar>
            <w:top w:w="0" w:type="dxa"/>
            <w:left w:w="108" w:type="dxa"/>
            <w:bottom w:w="0" w:type="dxa"/>
            <w:right w:w="108" w:type="dxa"/>
          </w:tblCellMar>
        </w:tblPrEx>
        <w:trPr>
          <w:trHeight w:val="308" w:hRule="atLeast"/>
        </w:trPr>
        <w:tc>
          <w:tcPr>
            <w:tcW w:w="129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0</w:t>
            </w:r>
          </w:p>
        </w:tc>
        <w:tc>
          <w:tcPr>
            <w:tcW w:w="127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9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0</w:t>
            </w:r>
          </w:p>
        </w:tc>
        <w:tc>
          <w:tcPr>
            <w:tcW w:w="15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c>
          <w:tcPr>
            <w:tcW w:w="127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99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417"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27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rPr>
            </w:pPr>
            <w:r>
              <w:rPr>
                <w:rFonts w:hint="eastAsia" w:ascii="宋体" w:hAnsi="宋体" w:cs="Arial"/>
                <w:color w:val="000000"/>
                <w:kern w:val="0"/>
                <w:sz w:val="22"/>
                <w:szCs w:val="22"/>
              </w:rPr>
              <w:t>0.00</w:t>
            </w:r>
          </w:p>
        </w:tc>
        <w:tc>
          <w:tcPr>
            <w:tcW w:w="1899"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lang w:val="en-US" w:eastAsia="zh-CN"/>
              </w:rPr>
            </w:pPr>
            <w:r>
              <w:rPr>
                <w:rFonts w:hint="eastAsia" w:ascii="宋体" w:hAnsi="宋体" w:cs="Arial"/>
                <w:color w:val="000000"/>
                <w:kern w:val="0"/>
                <w:sz w:val="22"/>
                <w:szCs w:val="22"/>
                <w:lang w:val="en-US" w:eastAsia="zh-CN"/>
              </w:rPr>
              <w:t>0</w:t>
            </w:r>
            <w:r>
              <w:rPr>
                <w:rFonts w:hint="eastAsia" w:ascii="宋体" w:hAnsi="宋体" w:cs="Arial"/>
                <w:color w:val="000000"/>
                <w:kern w:val="0"/>
                <w:sz w:val="22"/>
                <w:szCs w:val="22"/>
              </w:rPr>
              <w:t>.</w:t>
            </w:r>
            <w:r>
              <w:rPr>
                <w:rFonts w:hint="eastAsia" w:ascii="宋体" w:hAnsi="宋体" w:cs="Arial"/>
                <w:color w:val="000000"/>
                <w:kern w:val="0"/>
                <w:sz w:val="22"/>
                <w:szCs w:val="22"/>
                <w:lang w:val="en-US" w:eastAsia="zh-CN"/>
              </w:rPr>
              <w:t>00</w:t>
            </w:r>
          </w:p>
        </w:tc>
      </w:tr>
      <w:tr>
        <w:tblPrEx>
          <w:tblCellMar>
            <w:top w:w="0" w:type="dxa"/>
            <w:left w:w="108" w:type="dxa"/>
            <w:bottom w:w="0" w:type="dxa"/>
            <w:right w:w="108" w:type="dxa"/>
          </w:tblCellMar>
        </w:tblPrEx>
        <w:trPr>
          <w:trHeight w:val="615" w:hRule="atLeast"/>
        </w:trPr>
        <w:tc>
          <w:tcPr>
            <w:tcW w:w="15806" w:type="dxa"/>
            <w:gridSpan w:val="22"/>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r>
              <w:rPr>
                <w:rFonts w:hint="eastAsia" w:ascii="宋体" w:hAnsi="宋体" w:cs="Arial"/>
                <w:color w:val="000000"/>
                <w:kern w:val="0"/>
                <w:sz w:val="22"/>
                <w:szCs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left"/>
        <w:rPr>
          <w:rFonts w:ascii="宋体" w:cs="Times New Roman"/>
          <w:kern w:val="0"/>
          <w:sz w:val="24"/>
          <w:szCs w:val="24"/>
        </w:rPr>
      </w:pP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720"/>
        <w:gridCol w:w="16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840" w:type="dxa"/>
            <w:gridSpan w:val="2"/>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w:t>
            </w:r>
            <w:r>
              <w:rPr>
                <w:rFonts w:hint="default" w:ascii="宋体" w:hAnsi="宋体" w:cs="Arial"/>
                <w:color w:val="000000"/>
                <w:kern w:val="0"/>
                <w:sz w:val="22"/>
                <w:szCs w:val="22"/>
              </w:rPr>
              <w:t xml:space="preserve">    </w:t>
            </w:r>
            <w:r>
              <w:rPr>
                <w:rFonts w:hint="eastAsia" w:ascii="宋体" w:hAnsi="宋体" w:cs="Arial"/>
                <w:color w:val="000000"/>
                <w:kern w:val="0"/>
                <w:sz w:val="22"/>
                <w:szCs w:val="22"/>
              </w:rPr>
              <w:t>目</w:t>
            </w:r>
          </w:p>
        </w:tc>
        <w:tc>
          <w:tcPr>
            <w:tcW w:w="16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年初结转和结余</w:t>
            </w:r>
          </w:p>
        </w:tc>
        <w:tc>
          <w:tcPr>
            <w:tcW w:w="20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本年收入</w:t>
            </w:r>
          </w:p>
        </w:tc>
        <w:tc>
          <w:tcPr>
            <w:tcW w:w="6000" w:type="dxa"/>
            <w:gridSpan w:val="3"/>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本年支出</w:t>
            </w:r>
          </w:p>
        </w:tc>
        <w:tc>
          <w:tcPr>
            <w:tcW w:w="20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b/>
                <w:bCs/>
                <w:kern w:val="0"/>
              </w:rPr>
            </w:pPr>
            <w:r>
              <w:rPr>
                <w:rFonts w:hint="eastAsia" w:ascii="宋体" w:hAnsi="宋体" w:cs="Arial"/>
                <w:color w:val="000000"/>
                <w:kern w:val="0"/>
                <w:sz w:val="22"/>
                <w:szCs w:val="22"/>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功能分类科目编码</w:t>
            </w:r>
          </w:p>
        </w:tc>
        <w:tc>
          <w:tcPr>
            <w:tcW w:w="172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科目名称</w:t>
            </w:r>
          </w:p>
        </w:tc>
        <w:tc>
          <w:tcPr>
            <w:tcW w:w="16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rPr>
            </w:pPr>
          </w:p>
        </w:tc>
        <w:tc>
          <w:tcPr>
            <w:tcW w:w="20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小计</w:t>
            </w:r>
          </w:p>
        </w:tc>
        <w:tc>
          <w:tcPr>
            <w:tcW w:w="20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基本支出</w:t>
            </w:r>
            <w:r>
              <w:rPr>
                <w:rFonts w:hint="default" w:ascii="宋体" w:hAnsi="宋体" w:cs="Arial"/>
                <w:color w:val="000000"/>
                <w:kern w:val="0"/>
                <w:sz w:val="22"/>
                <w:szCs w:val="22"/>
              </w:rPr>
              <w:t xml:space="preserve">  </w:t>
            </w:r>
          </w:p>
        </w:tc>
        <w:tc>
          <w:tcPr>
            <w:tcW w:w="2000" w:type="dxa"/>
            <w:vMerge w:val="restart"/>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rPr>
            </w:pPr>
            <w:r>
              <w:rPr>
                <w:rFonts w:hint="eastAsia" w:ascii="宋体" w:hAnsi="宋体" w:cs="Arial"/>
                <w:color w:val="000000"/>
                <w:kern w:val="0"/>
                <w:sz w:val="22"/>
                <w:szCs w:val="22"/>
              </w:rPr>
              <w:t>项目支出</w:t>
            </w: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72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6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72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16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840" w:type="dxa"/>
            <w:gridSpan w:val="2"/>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栏次</w:t>
            </w:r>
          </w:p>
        </w:tc>
        <w:tc>
          <w:tcPr>
            <w:tcW w:w="16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2</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3</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4</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5</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840" w:type="dxa"/>
            <w:gridSpan w:val="2"/>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合计</w:t>
            </w:r>
          </w:p>
        </w:tc>
        <w:tc>
          <w:tcPr>
            <w:tcW w:w="16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7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6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7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6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7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6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7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6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7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6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172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宋体" w:hAnsi="宋体" w:eastAsia="宋体" w:cs="Arial"/>
                <w:b/>
                <w:bCs/>
                <w:color w:val="000000"/>
                <w:kern w:val="0"/>
                <w:sz w:val="22"/>
              </w:rPr>
              <w:t>本表无数据</w:t>
            </w:r>
          </w:p>
        </w:tc>
        <w:tc>
          <w:tcPr>
            <w:tcW w:w="16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宋体" w:hAnsi="宋体" w:eastAsia="宋体" w:cs="Arial"/>
                <w:b/>
                <w:bCs/>
                <w:color w:val="000000"/>
                <w:kern w:val="0"/>
                <w:sz w:val="22"/>
              </w:rPr>
              <w:t>本表无数据</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说明：</w:t>
      </w:r>
      <w:r>
        <w:rPr>
          <w:rFonts w:hint="eastAsia" w:ascii="Times New Roman" w:hAnsi="Times New Roman" w:eastAsia="仿宋_GB2312" w:cs="Times New Roman"/>
          <w:kern w:val="0"/>
        </w:rPr>
        <w:t>锦石乡人民政府</w:t>
      </w:r>
      <w:r>
        <w:rPr>
          <w:rFonts w:hint="eastAsia" w:ascii="Times New Roman" w:hAnsi="Times New Roman" w:eastAsia="仿宋_GB2312" w:cs="仿宋_GB2312"/>
          <w:kern w:val="0"/>
        </w:rPr>
        <w:t>没有政府性基金收入，也没有使用政府性基金安排的支出，故本表无数据</w:t>
      </w:r>
      <w:r>
        <w:rPr>
          <w:rFonts w:hint="eastAsia" w:ascii="Times New Roman" w:hAnsi="Times New Roman" w:eastAsia="仿宋_GB2312" w:cs="Times New Roman"/>
          <w:kern w:val="0"/>
        </w:rPr>
        <w:t>。</w:t>
      </w:r>
    </w:p>
    <w:p>
      <w:pPr>
        <w:widowControl/>
        <w:jc w:val="left"/>
        <w:rPr>
          <w:rFonts w:ascii="黑体" w:hAnsi="黑体" w:eastAsia="黑体" w:cs="Times New Roman"/>
        </w:rPr>
      </w:pPr>
      <w:r>
        <w:rPr>
          <w:rFonts w:ascii="黑体" w:hAnsi="黑体" w:eastAsia="黑体" w:cs="Times New Roman"/>
        </w:rPr>
        <w:br w:type="page"/>
      </w:r>
    </w:p>
    <w:tbl>
      <w:tblPr>
        <w:tblStyle w:val="7"/>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公开</w:t>
            </w:r>
            <w:r>
              <w:rPr>
                <w:rFonts w:hint="default"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left"/>
              <w:rPr>
                <w:rFonts w:hint="default" w:ascii="宋体" w:cs="Times New Roman"/>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keepNext w:val="0"/>
              <w:keepLines w:val="0"/>
              <w:widowControl/>
              <w:suppressLineNumbers w:val="0"/>
              <w:spacing w:before="0" w:beforeAutospacing="0" w:after="0" w:afterAutospacing="0"/>
              <w:ind w:left="0" w:right="0"/>
              <w:jc w:val="right"/>
              <w:rPr>
                <w:rFonts w:hint="default"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w:t>
            </w:r>
            <w:r>
              <w:rPr>
                <w:rFonts w:hint="default" w:ascii="宋体" w:hAnsi="宋体" w:cs="宋体"/>
                <w:kern w:val="0"/>
                <w:sz w:val="24"/>
                <w:szCs w:val="24"/>
              </w:rPr>
              <w:t xml:space="preserve"> </w:t>
            </w:r>
            <w:r>
              <w:rPr>
                <w:rFonts w:hint="default"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基本支出</w:t>
            </w:r>
            <w:r>
              <w:rPr>
                <w:rFonts w:hint="default"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default"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r>
              <w:rPr>
                <w:rFonts w:hint="eastAsia" w:ascii="宋体" w:hAnsi="宋体" w:eastAsia="宋体" w:cs="Arial"/>
                <w:b/>
                <w:bCs/>
                <w:color w:val="000000"/>
                <w:kern w:val="0"/>
                <w:sz w:val="22"/>
              </w:rPr>
              <w:t>本表无数据</w:t>
            </w:r>
          </w:p>
        </w:tc>
        <w:tc>
          <w:tcPr>
            <w:tcW w:w="2551"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r>
              <w:rPr>
                <w:rFonts w:hint="eastAsia" w:ascii="宋体" w:hAnsi="宋体" w:eastAsia="宋体" w:cs="Arial"/>
                <w:b/>
                <w:bCs/>
                <w:color w:val="000000"/>
                <w:kern w:val="0"/>
                <w:sz w:val="22"/>
              </w:rPr>
              <w:t>本表无数据</w:t>
            </w:r>
          </w:p>
        </w:tc>
        <w:tc>
          <w:tcPr>
            <w:tcW w:w="2977" w:type="dxa"/>
            <w:gridSpan w:val="2"/>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2"/>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2"/>
        <w:ind w:firstLine="2520" w:firstLineChars="350"/>
        <w:rPr>
          <w:rFonts w:cs="Times New Roman"/>
          <w:sz w:val="72"/>
          <w:szCs w:val="72"/>
        </w:rPr>
      </w:pPr>
    </w:p>
    <w:p>
      <w:pPr>
        <w:pStyle w:val="2"/>
        <w:ind w:firstLine="2520" w:firstLineChars="350"/>
        <w:rPr>
          <w:rFonts w:cs="Times New Roman"/>
          <w:sz w:val="72"/>
          <w:szCs w:val="72"/>
        </w:rPr>
      </w:pPr>
    </w:p>
    <w:p>
      <w:pPr>
        <w:pStyle w:val="2"/>
        <w:ind w:firstLine="2520" w:firstLineChars="350"/>
        <w:rPr>
          <w:rFonts w:cs="Times New Roman"/>
          <w:sz w:val="72"/>
          <w:szCs w:val="72"/>
        </w:rPr>
      </w:pPr>
    </w:p>
    <w:p>
      <w:pPr>
        <w:pStyle w:val="2"/>
        <w:ind w:firstLine="2520" w:firstLineChars="350"/>
        <w:rPr>
          <w:rFonts w:cs="Times New Roman"/>
          <w:sz w:val="72"/>
          <w:szCs w:val="72"/>
        </w:rPr>
      </w:pPr>
    </w:p>
    <w:p>
      <w:pPr>
        <w:pStyle w:val="2"/>
        <w:ind w:firstLine="2520" w:firstLineChars="350"/>
        <w:rPr>
          <w:rFonts w:ascii="宋体" w:hAnsi="宋体" w:eastAsia="宋体" w:cs="宋体"/>
          <w:sz w:val="72"/>
          <w:szCs w:val="72"/>
        </w:rPr>
      </w:pPr>
    </w:p>
    <w:p>
      <w:pPr>
        <w:pStyle w:val="2"/>
        <w:ind w:firstLine="3240" w:firstLineChars="450"/>
        <w:rPr>
          <w:rFonts w:ascii="宋体" w:hAnsi="宋体" w:eastAsia="宋体" w:cs="宋体"/>
          <w:sz w:val="72"/>
          <w:szCs w:val="72"/>
        </w:rPr>
      </w:pPr>
      <w:r>
        <w:rPr>
          <w:rFonts w:hint="eastAsia" w:ascii="宋体" w:hAnsi="宋体" w:eastAsia="宋体" w:cs="宋体"/>
          <w:sz w:val="72"/>
          <w:szCs w:val="72"/>
        </w:rPr>
        <w:t>第三部分</w:t>
      </w:r>
    </w:p>
    <w:p>
      <w:pPr>
        <w:pStyle w:val="2"/>
        <w:jc w:val="center"/>
        <w:rPr>
          <w:rFonts w:ascii="宋体" w:hAnsi="宋体" w:eastAsia="宋体" w:cs="宋体"/>
          <w:sz w:val="72"/>
          <w:szCs w:val="72"/>
        </w:rPr>
      </w:pPr>
    </w:p>
    <w:p>
      <w:pPr>
        <w:pStyle w:val="2"/>
        <w:jc w:val="center"/>
        <w:rPr>
          <w:rFonts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1</w:t>
      </w:r>
      <w:r>
        <w:rPr>
          <w:rFonts w:hint="eastAsia" w:ascii="宋体" w:hAnsi="宋体" w:eastAsia="宋体" w:cs="宋体"/>
          <w:sz w:val="72"/>
          <w:szCs w:val="72"/>
        </w:rPr>
        <w:t>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2"/>
        <w:rPr>
          <w:rFonts w:hAnsi="黑体" w:cs="Times New Roman"/>
          <w:b/>
          <w:bCs/>
          <w:sz w:val="32"/>
          <w:szCs w:val="32"/>
        </w:rPr>
      </w:pPr>
      <w:r>
        <w:rPr>
          <w:rFonts w:hint="eastAsia" w:hAnsi="黑体"/>
          <w:b/>
          <w:bCs/>
          <w:sz w:val="32"/>
          <w:szCs w:val="32"/>
        </w:rPr>
        <w:t>一、收入支出决算总体情况说明</w:t>
      </w:r>
    </w:p>
    <w:p>
      <w:pPr>
        <w:pStyle w:val="2"/>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3378.26</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950.09</w:t>
      </w:r>
      <w:r>
        <w:rPr>
          <w:rFonts w:hint="eastAsia" w:ascii="宋体" w:hAnsi="宋体" w:eastAsia="宋体" w:cs="宋体"/>
          <w:sz w:val="32"/>
          <w:szCs w:val="32"/>
        </w:rPr>
        <w:t>万元，减少</w:t>
      </w:r>
      <w:r>
        <w:rPr>
          <w:rFonts w:hint="eastAsia" w:ascii="宋体" w:hAnsi="宋体" w:eastAsia="宋体" w:cs="宋体"/>
          <w:sz w:val="32"/>
          <w:szCs w:val="32"/>
          <w:lang w:val="en-US" w:eastAsia="zh-CN"/>
        </w:rPr>
        <w:t>28</w:t>
      </w:r>
      <w:r>
        <w:rPr>
          <w:rFonts w:ascii="宋体" w:hAnsi="宋体" w:eastAsia="宋体" w:cs="宋体"/>
          <w:sz w:val="32"/>
          <w:szCs w:val="32"/>
        </w:rPr>
        <w:t>%</w:t>
      </w:r>
      <w:r>
        <w:rPr>
          <w:rFonts w:hint="eastAsia" w:ascii="宋体" w:hAnsi="宋体" w:eastAsia="宋体" w:cs="宋体"/>
          <w:sz w:val="32"/>
          <w:szCs w:val="32"/>
        </w:rPr>
        <w:t>，主要是因为经费预算从紧，且严格控制各项非必要性开支。</w:t>
      </w:r>
    </w:p>
    <w:p>
      <w:pPr>
        <w:pStyle w:val="2"/>
        <w:rPr>
          <w:rFonts w:hAnsi="黑体" w:cs="Times New Roman"/>
          <w:b/>
          <w:bCs/>
          <w:sz w:val="32"/>
          <w:szCs w:val="32"/>
        </w:rPr>
      </w:pPr>
      <w:r>
        <w:rPr>
          <w:rFonts w:hint="eastAsia" w:hAnsi="黑体"/>
          <w:b/>
          <w:bCs/>
          <w:sz w:val="32"/>
          <w:szCs w:val="32"/>
        </w:rPr>
        <w:t>二、收入决算情况说明</w:t>
      </w:r>
    </w:p>
    <w:p>
      <w:pPr>
        <w:pStyle w:val="2"/>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3378.26</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1830.74</w:t>
      </w:r>
      <w:r>
        <w:rPr>
          <w:rFonts w:hint="eastAsia" w:ascii="宋体" w:hAnsi="宋体" w:eastAsia="宋体" w:cs="宋体"/>
          <w:sz w:val="32"/>
          <w:szCs w:val="32"/>
        </w:rPr>
        <w:t>万元，占</w:t>
      </w:r>
      <w:r>
        <w:rPr>
          <w:rFonts w:hint="eastAsia" w:ascii="宋体" w:hAnsi="宋体" w:eastAsia="宋体" w:cs="宋体"/>
          <w:sz w:val="32"/>
          <w:szCs w:val="32"/>
          <w:lang w:val="en-US" w:eastAsia="zh-CN"/>
        </w:rPr>
        <w:t>54.19</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1547.52</w:t>
      </w:r>
      <w:r>
        <w:rPr>
          <w:rFonts w:hint="eastAsia" w:ascii="宋体" w:hAnsi="宋体" w:eastAsia="宋体" w:cs="宋体"/>
          <w:sz w:val="32"/>
          <w:szCs w:val="32"/>
        </w:rPr>
        <w:t>万元，占</w:t>
      </w:r>
      <w:r>
        <w:rPr>
          <w:rFonts w:hint="eastAsia" w:ascii="宋体" w:hAnsi="宋体" w:eastAsia="宋体" w:cs="宋体"/>
          <w:sz w:val="32"/>
          <w:szCs w:val="32"/>
          <w:lang w:val="en-US" w:eastAsia="zh-CN"/>
        </w:rPr>
        <w:t>45.81</w:t>
      </w:r>
      <w:r>
        <w:rPr>
          <w:rFonts w:ascii="宋体" w:hAnsi="宋体" w:eastAsia="宋体" w:cs="宋体"/>
          <w:sz w:val="32"/>
          <w:szCs w:val="32"/>
        </w:rPr>
        <w:t>%</w:t>
      </w:r>
      <w:r>
        <w:rPr>
          <w:rFonts w:hint="eastAsia" w:ascii="宋体" w:hAnsi="宋体" w:eastAsia="宋体" w:cs="宋体"/>
          <w:sz w:val="32"/>
          <w:szCs w:val="32"/>
        </w:rPr>
        <w:t>。</w:t>
      </w:r>
    </w:p>
    <w:p>
      <w:pPr>
        <w:pStyle w:val="2"/>
        <w:rPr>
          <w:rFonts w:hAnsi="黑体" w:cs="Times New Roman"/>
          <w:b/>
          <w:bCs/>
          <w:sz w:val="32"/>
          <w:szCs w:val="32"/>
        </w:rPr>
      </w:pPr>
      <w:r>
        <w:rPr>
          <w:rFonts w:hint="eastAsia" w:hAnsi="黑体"/>
          <w:b/>
          <w:bCs/>
          <w:sz w:val="32"/>
          <w:szCs w:val="32"/>
        </w:rPr>
        <w:t>三、支出决算情况说明</w:t>
      </w:r>
    </w:p>
    <w:p>
      <w:pPr>
        <w:pStyle w:val="2"/>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3378.26</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3378.26</w:t>
      </w:r>
      <w:r>
        <w:rPr>
          <w:rFonts w:hint="eastAsia" w:ascii="宋体" w:hAnsi="宋体" w:eastAsia="宋体" w:cs="宋体"/>
          <w:sz w:val="32"/>
          <w:szCs w:val="32"/>
        </w:rPr>
        <w:t>万元，占100</w:t>
      </w:r>
      <w:r>
        <w:rPr>
          <w:rFonts w:ascii="宋体" w:hAnsi="宋体" w:eastAsia="宋体" w:cs="宋体"/>
          <w:sz w:val="32"/>
          <w:szCs w:val="32"/>
        </w:rPr>
        <w:t>%</w:t>
      </w:r>
      <w:r>
        <w:rPr>
          <w:rFonts w:hint="eastAsia" w:ascii="宋体" w:hAnsi="宋体" w:eastAsia="宋体" w:cs="宋体"/>
          <w:sz w:val="32"/>
          <w:szCs w:val="32"/>
        </w:rPr>
        <w:t>。</w:t>
      </w:r>
    </w:p>
    <w:p>
      <w:pPr>
        <w:pStyle w:val="2"/>
        <w:rPr>
          <w:rFonts w:hAnsi="黑体" w:cs="Times New Roman"/>
          <w:b/>
          <w:bCs/>
          <w:sz w:val="32"/>
          <w:szCs w:val="32"/>
        </w:rPr>
      </w:pPr>
      <w:r>
        <w:rPr>
          <w:rFonts w:hint="eastAsia" w:hAnsi="黑体"/>
          <w:b/>
          <w:bCs/>
          <w:sz w:val="32"/>
          <w:szCs w:val="32"/>
        </w:rPr>
        <w:t>四、财政拨款收入支出决算总体情况说明</w:t>
      </w:r>
    </w:p>
    <w:p>
      <w:pPr>
        <w:pStyle w:val="2"/>
        <w:rPr>
          <w:rFonts w:ascii="宋体" w:hAnsi="宋体" w:eastAsia="宋体" w:cs="Times New Roman"/>
          <w:sz w:val="32"/>
          <w:szCs w:val="32"/>
        </w:rPr>
      </w:pPr>
      <w:r>
        <w:rPr>
          <w:rFonts w:ascii="宋体" w:hAnsi="宋体" w:eastAsia="宋体" w:cs="宋体"/>
          <w:sz w:val="32"/>
          <w:szCs w:val="32"/>
        </w:rPr>
        <w:t xml:space="preserve">    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1830.74</w:t>
      </w:r>
      <w:r>
        <w:rPr>
          <w:rFonts w:hint="eastAsia" w:ascii="宋体" w:hAnsi="宋体" w:eastAsia="宋体" w:cs="宋体"/>
          <w:sz w:val="32"/>
          <w:szCs w:val="32"/>
        </w:rPr>
        <w:t>万元，与上年相比，增加</w:t>
      </w:r>
      <w:r>
        <w:rPr>
          <w:rFonts w:hint="eastAsia" w:ascii="宋体" w:hAnsi="宋体" w:eastAsia="宋体" w:cs="宋体"/>
          <w:sz w:val="32"/>
          <w:szCs w:val="32"/>
          <w:lang w:val="en-US" w:eastAsia="zh-CN"/>
        </w:rPr>
        <w:t>47.92</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增长</w:t>
      </w:r>
      <w:r>
        <w:rPr>
          <w:rFonts w:hint="eastAsia" w:ascii="宋体" w:hAnsi="宋体" w:eastAsia="宋体" w:cs="宋体"/>
          <w:sz w:val="32"/>
          <w:szCs w:val="32"/>
          <w:lang w:val="en-US" w:eastAsia="zh-CN"/>
        </w:rPr>
        <w:t>2.62</w:t>
      </w:r>
      <w:r>
        <w:rPr>
          <w:rFonts w:ascii="宋体" w:hAnsi="宋体" w:eastAsia="宋体" w:cs="宋体"/>
          <w:sz w:val="32"/>
          <w:szCs w:val="32"/>
        </w:rPr>
        <w:t>%</w:t>
      </w:r>
      <w:r>
        <w:rPr>
          <w:rFonts w:hint="eastAsia" w:ascii="宋体" w:hAnsi="宋体" w:eastAsia="宋体" w:cs="宋体"/>
          <w:sz w:val="32"/>
          <w:szCs w:val="32"/>
        </w:rPr>
        <w:t>，主要是因为体制基数调整，镇区基础设施投入加大。</w:t>
      </w:r>
    </w:p>
    <w:p>
      <w:pPr>
        <w:pStyle w:val="2"/>
        <w:rPr>
          <w:rFonts w:hAnsi="黑体" w:cs="Times New Roman"/>
          <w:b/>
          <w:bCs/>
          <w:sz w:val="32"/>
          <w:szCs w:val="32"/>
        </w:rPr>
      </w:pPr>
      <w:r>
        <w:rPr>
          <w:rFonts w:hint="eastAsia" w:hAnsi="黑体"/>
          <w:b/>
          <w:bCs/>
          <w:sz w:val="32"/>
          <w:szCs w:val="32"/>
        </w:rPr>
        <w:t>五、一般公共预算财政拨款支出决算情况说明</w:t>
      </w:r>
    </w:p>
    <w:p>
      <w:pPr>
        <w:pStyle w:val="2"/>
        <w:ind w:firstLine="643" w:firstLineChars="200"/>
        <w:rPr>
          <w:rFonts w:ascii="宋体" w:hAnsi="宋体" w:eastAsia="宋体" w:cs="Times New Roman"/>
          <w:b/>
          <w:bCs/>
          <w:color w:val="auto"/>
          <w:sz w:val="32"/>
          <w:szCs w:val="32"/>
        </w:rPr>
      </w:pPr>
      <w:r>
        <w:rPr>
          <w:rFonts w:hint="eastAsia" w:ascii="宋体" w:hAnsi="宋体" w:eastAsia="宋体" w:cs="宋体"/>
          <w:b/>
          <w:bCs/>
          <w:color w:val="auto"/>
          <w:sz w:val="32"/>
          <w:szCs w:val="32"/>
        </w:rPr>
        <w:t>（一）一般公共预算财政拨款支出决算总体情况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sz w:val="32"/>
          <w:szCs w:val="32"/>
        </w:rPr>
      </w:pPr>
      <w:r>
        <w:rPr>
          <w:rFonts w:hint="eastAsia" w:cs="宋体"/>
          <w:color w:val="auto"/>
          <w:sz w:val="32"/>
          <w:szCs w:val="32"/>
          <w:lang w:eastAsia="zh-CN"/>
        </w:rPr>
        <w:t>2021</w:t>
      </w:r>
      <w:r>
        <w:rPr>
          <w:rFonts w:hint="eastAsia" w:ascii="宋体" w:hAnsi="宋体" w:eastAsia="宋体" w:cs="宋体"/>
          <w:color w:val="auto"/>
          <w:sz w:val="32"/>
          <w:szCs w:val="32"/>
        </w:rPr>
        <w:t>年度一般公共预算财政拨款支出</w:t>
      </w:r>
      <w:r>
        <w:rPr>
          <w:rFonts w:hint="eastAsia" w:cs="宋体"/>
          <w:color w:val="auto"/>
          <w:sz w:val="32"/>
          <w:szCs w:val="32"/>
          <w:lang w:val="en-US" w:eastAsia="zh-CN"/>
        </w:rPr>
        <w:t>1830.74</w:t>
      </w:r>
      <w:r>
        <w:rPr>
          <w:rFonts w:hint="eastAsia" w:ascii="宋体" w:hAnsi="宋体" w:eastAsia="宋体" w:cs="宋体"/>
          <w:color w:val="auto"/>
          <w:sz w:val="32"/>
          <w:szCs w:val="32"/>
        </w:rPr>
        <w:t>万元，占本年支出合计的</w:t>
      </w:r>
      <w:r>
        <w:rPr>
          <w:rFonts w:hint="eastAsia" w:cs="宋体"/>
          <w:color w:val="auto"/>
          <w:sz w:val="32"/>
          <w:szCs w:val="32"/>
          <w:lang w:val="en-US" w:eastAsia="zh-CN"/>
        </w:rPr>
        <w:t>54.19</w:t>
      </w:r>
      <w:r>
        <w:rPr>
          <w:rFonts w:ascii="宋体" w:hAnsi="宋体" w:eastAsia="宋体" w:cs="宋体"/>
          <w:color w:val="auto"/>
          <w:sz w:val="32"/>
          <w:szCs w:val="32"/>
        </w:rPr>
        <w:t>%</w:t>
      </w:r>
      <w:r>
        <w:rPr>
          <w:rFonts w:hint="eastAsia" w:ascii="宋体" w:hAnsi="宋体" w:eastAsia="宋体" w:cs="宋体"/>
          <w:color w:val="auto"/>
          <w:sz w:val="32"/>
          <w:szCs w:val="32"/>
        </w:rPr>
        <w:t>，与上年相比，财政拨款支出</w:t>
      </w:r>
      <w:r>
        <w:rPr>
          <w:rFonts w:hint="eastAsia" w:ascii="宋体" w:hAnsi="宋体" w:eastAsia="宋体" w:cs="宋体"/>
          <w:sz w:val="32"/>
          <w:szCs w:val="32"/>
        </w:rPr>
        <w:t>增加</w:t>
      </w:r>
      <w:r>
        <w:rPr>
          <w:rFonts w:hint="eastAsia" w:ascii="宋体" w:hAnsi="宋体" w:eastAsia="宋体" w:cs="宋体"/>
          <w:sz w:val="32"/>
          <w:szCs w:val="32"/>
          <w:lang w:val="en-US" w:eastAsia="zh-CN"/>
        </w:rPr>
        <w:t>47.92</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增长</w:t>
      </w:r>
      <w:r>
        <w:rPr>
          <w:rFonts w:hint="eastAsia" w:ascii="宋体" w:hAnsi="宋体" w:eastAsia="宋体" w:cs="宋体"/>
          <w:sz w:val="32"/>
          <w:szCs w:val="32"/>
          <w:lang w:val="en-US" w:eastAsia="zh-CN"/>
        </w:rPr>
        <w:t>2.62</w:t>
      </w:r>
      <w:r>
        <w:rPr>
          <w:rFonts w:ascii="宋体" w:hAnsi="宋体" w:eastAsia="宋体" w:cs="宋体"/>
          <w:sz w:val="32"/>
          <w:szCs w:val="32"/>
        </w:rPr>
        <w:t>%</w:t>
      </w:r>
      <w:r>
        <w:rPr>
          <w:rFonts w:hint="eastAsia" w:ascii="宋体" w:hAnsi="宋体" w:eastAsia="宋体" w:cs="宋体"/>
          <w:sz w:val="32"/>
          <w:szCs w:val="32"/>
        </w:rPr>
        <w:t>，主要是因为体制基数调整，镇区基础设施投入加大。</w:t>
      </w:r>
    </w:p>
    <w:p>
      <w:pPr>
        <w:pStyle w:val="2"/>
        <w:ind w:firstLine="803" w:firstLineChars="25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pPr>
        <w:pStyle w:val="2"/>
        <w:ind w:firstLine="640" w:firstLineChars="200"/>
        <w:rPr>
          <w:rFonts w:ascii="宋体" w:hAnsi="宋体" w:eastAsia="宋体" w:cs="Times New Roman"/>
          <w:sz w:val="32"/>
          <w:szCs w:val="32"/>
        </w:rPr>
      </w:pPr>
      <w:r>
        <w:rPr>
          <w:rFonts w:hint="eastAsia" w:ascii="宋体" w:hAnsi="宋体" w:eastAsia="宋体" w:cs="宋体"/>
          <w:sz w:val="32"/>
          <w:szCs w:val="32"/>
          <w:lang w:eastAsia="zh-CN"/>
        </w:rPr>
        <w:t>2021</w:t>
      </w:r>
      <w:r>
        <w:rPr>
          <w:rFonts w:hint="eastAsia" w:ascii="宋体" w:hAnsi="宋体" w:eastAsia="宋体" w:cs="宋体"/>
          <w:sz w:val="32"/>
          <w:szCs w:val="32"/>
        </w:rPr>
        <w:t>年度一般公共预算财政拨款支出</w:t>
      </w:r>
      <w:r>
        <w:rPr>
          <w:rFonts w:hint="eastAsia" w:ascii="宋体" w:hAnsi="宋体" w:eastAsia="宋体" w:cs="宋体"/>
          <w:sz w:val="32"/>
          <w:szCs w:val="32"/>
          <w:lang w:val="en-US" w:eastAsia="zh-CN"/>
        </w:rPr>
        <w:t>1830.74</w:t>
      </w:r>
      <w:r>
        <w:rPr>
          <w:rFonts w:hint="eastAsia" w:ascii="宋体" w:hAnsi="宋体" w:eastAsia="宋体" w:cs="宋体"/>
          <w:sz w:val="32"/>
          <w:szCs w:val="32"/>
        </w:rPr>
        <w:t>万元，主要用于以下方面：一般公共服务（类）支出</w:t>
      </w:r>
      <w:r>
        <w:rPr>
          <w:rFonts w:hint="eastAsia" w:ascii="宋体" w:hAnsi="宋体" w:eastAsia="宋体" w:cs="宋体"/>
          <w:sz w:val="32"/>
          <w:szCs w:val="32"/>
          <w:lang w:val="en-US" w:eastAsia="zh-CN"/>
        </w:rPr>
        <w:t>1210.98</w:t>
      </w:r>
      <w:r>
        <w:rPr>
          <w:rFonts w:hint="eastAsia" w:ascii="宋体" w:hAnsi="宋体" w:eastAsia="宋体" w:cs="宋体"/>
          <w:sz w:val="32"/>
          <w:szCs w:val="32"/>
        </w:rPr>
        <w:t>万元，占</w:t>
      </w:r>
      <w:r>
        <w:rPr>
          <w:rFonts w:hint="eastAsia" w:ascii="宋体" w:hAnsi="宋体" w:eastAsia="宋体" w:cs="宋体"/>
          <w:sz w:val="32"/>
          <w:szCs w:val="32"/>
          <w:lang w:val="en-US" w:eastAsia="zh-CN"/>
        </w:rPr>
        <w:t>66.15</w:t>
      </w:r>
      <w:r>
        <w:rPr>
          <w:rFonts w:ascii="宋体" w:hAnsi="宋体" w:eastAsia="宋体" w:cs="宋体"/>
          <w:sz w:val="32"/>
          <w:szCs w:val="32"/>
        </w:rPr>
        <w:t>%</w:t>
      </w:r>
      <w:r>
        <w:rPr>
          <w:rFonts w:hint="eastAsia" w:ascii="宋体" w:hAnsi="宋体" w:eastAsia="宋体" w:cs="宋体"/>
          <w:sz w:val="32"/>
          <w:szCs w:val="32"/>
        </w:rPr>
        <w:t>；公共安全（类）支出</w:t>
      </w:r>
      <w:r>
        <w:rPr>
          <w:rFonts w:hint="eastAsia" w:ascii="宋体" w:hAnsi="宋体" w:eastAsia="宋体" w:cs="宋体"/>
          <w:sz w:val="32"/>
          <w:szCs w:val="32"/>
          <w:lang w:val="en-US" w:eastAsia="zh-CN"/>
        </w:rPr>
        <w:t>86.79</w:t>
      </w:r>
      <w:r>
        <w:rPr>
          <w:rFonts w:hint="eastAsia" w:ascii="宋体" w:hAnsi="宋体" w:eastAsia="宋体" w:cs="宋体"/>
          <w:sz w:val="32"/>
          <w:szCs w:val="32"/>
        </w:rPr>
        <w:t>万元，占</w:t>
      </w:r>
      <w:r>
        <w:rPr>
          <w:rFonts w:hint="eastAsia" w:ascii="宋体" w:hAnsi="宋体" w:eastAsia="宋体" w:cs="宋体"/>
          <w:sz w:val="32"/>
          <w:szCs w:val="32"/>
          <w:lang w:val="en-US" w:eastAsia="zh-CN"/>
        </w:rPr>
        <w:t>4.74</w:t>
      </w:r>
      <w:r>
        <w:rPr>
          <w:rFonts w:ascii="宋体" w:hAnsi="宋体" w:eastAsia="宋体" w:cs="宋体"/>
          <w:sz w:val="32"/>
          <w:szCs w:val="32"/>
        </w:rPr>
        <w:t>%;</w:t>
      </w:r>
      <w:r>
        <w:rPr>
          <w:rFonts w:hint="eastAsia" w:ascii="宋体" w:hAnsi="宋体" w:eastAsia="宋体" w:cs="宋体"/>
          <w:sz w:val="32"/>
          <w:szCs w:val="32"/>
        </w:rPr>
        <w:t>社会保障和就业（类）支出</w:t>
      </w:r>
      <w:r>
        <w:rPr>
          <w:rFonts w:hint="eastAsia" w:ascii="宋体" w:hAnsi="宋体" w:eastAsia="宋体" w:cs="宋体"/>
          <w:sz w:val="32"/>
          <w:szCs w:val="32"/>
          <w:lang w:val="en-US" w:eastAsia="zh-CN"/>
        </w:rPr>
        <w:t>61.58</w:t>
      </w:r>
      <w:r>
        <w:rPr>
          <w:rFonts w:hint="eastAsia" w:ascii="宋体" w:hAnsi="宋体" w:eastAsia="宋体" w:cs="宋体"/>
          <w:sz w:val="32"/>
          <w:szCs w:val="32"/>
        </w:rPr>
        <w:t>万元，占</w:t>
      </w:r>
      <w:r>
        <w:rPr>
          <w:rFonts w:hint="eastAsia" w:ascii="宋体" w:hAnsi="宋体" w:eastAsia="宋体" w:cs="宋体"/>
          <w:sz w:val="32"/>
          <w:szCs w:val="32"/>
          <w:lang w:val="en-US" w:eastAsia="zh-CN"/>
        </w:rPr>
        <w:t>3.36</w:t>
      </w:r>
      <w:r>
        <w:rPr>
          <w:rFonts w:ascii="宋体" w:hAnsi="宋体" w:eastAsia="宋体" w:cs="宋体"/>
          <w:sz w:val="32"/>
          <w:szCs w:val="32"/>
        </w:rPr>
        <w:t>%</w:t>
      </w:r>
      <w:r>
        <w:rPr>
          <w:rFonts w:hint="eastAsia" w:ascii="宋体" w:hAnsi="宋体" w:eastAsia="宋体" w:cs="宋体"/>
          <w:sz w:val="32"/>
          <w:szCs w:val="32"/>
        </w:rPr>
        <w:t>；卫生健康（类）支出</w:t>
      </w:r>
      <w:r>
        <w:rPr>
          <w:rFonts w:hint="eastAsia" w:ascii="宋体" w:hAnsi="宋体" w:eastAsia="宋体" w:cs="宋体"/>
          <w:sz w:val="32"/>
          <w:szCs w:val="32"/>
          <w:lang w:val="en-US" w:eastAsia="zh-CN"/>
        </w:rPr>
        <w:t>78.87</w:t>
      </w:r>
      <w:r>
        <w:rPr>
          <w:rFonts w:hint="eastAsia" w:ascii="宋体" w:hAnsi="宋体" w:eastAsia="宋体" w:cs="宋体"/>
          <w:sz w:val="32"/>
          <w:szCs w:val="32"/>
        </w:rPr>
        <w:t>万元，占</w:t>
      </w:r>
      <w:r>
        <w:rPr>
          <w:rFonts w:hint="eastAsia" w:ascii="宋体" w:hAnsi="宋体" w:eastAsia="宋体" w:cs="宋体"/>
          <w:sz w:val="32"/>
          <w:szCs w:val="32"/>
          <w:lang w:val="en-US" w:eastAsia="zh-CN"/>
        </w:rPr>
        <w:t>4.31</w:t>
      </w:r>
      <w:r>
        <w:rPr>
          <w:rFonts w:ascii="宋体" w:hAnsi="宋体" w:eastAsia="宋体" w:cs="宋体"/>
          <w:sz w:val="32"/>
          <w:szCs w:val="32"/>
        </w:rPr>
        <w:t>%</w:t>
      </w:r>
      <w:r>
        <w:rPr>
          <w:rFonts w:hint="eastAsia" w:ascii="宋体" w:hAnsi="宋体" w:eastAsia="宋体" w:cs="宋体"/>
          <w:sz w:val="32"/>
          <w:szCs w:val="32"/>
        </w:rPr>
        <w:t>；城乡社区（类）支出</w:t>
      </w:r>
      <w:r>
        <w:rPr>
          <w:rFonts w:hint="eastAsia" w:ascii="宋体" w:hAnsi="宋体" w:eastAsia="宋体" w:cs="宋体"/>
          <w:sz w:val="32"/>
          <w:szCs w:val="32"/>
          <w:lang w:val="en-US" w:eastAsia="zh-CN"/>
        </w:rPr>
        <w:t>67.99</w:t>
      </w:r>
      <w:r>
        <w:rPr>
          <w:rFonts w:hint="eastAsia" w:ascii="宋体" w:hAnsi="宋体" w:eastAsia="宋体" w:cs="宋体"/>
          <w:sz w:val="32"/>
          <w:szCs w:val="32"/>
        </w:rPr>
        <w:t>万元，占</w:t>
      </w:r>
      <w:r>
        <w:rPr>
          <w:rFonts w:hint="eastAsia" w:ascii="宋体" w:hAnsi="宋体" w:eastAsia="宋体" w:cs="宋体"/>
          <w:sz w:val="32"/>
          <w:szCs w:val="32"/>
          <w:lang w:val="en-US" w:eastAsia="zh-CN"/>
        </w:rPr>
        <w:t>3.71</w:t>
      </w:r>
      <w:r>
        <w:rPr>
          <w:rFonts w:ascii="宋体" w:hAnsi="宋体" w:eastAsia="宋体" w:cs="宋体"/>
          <w:sz w:val="32"/>
          <w:szCs w:val="32"/>
        </w:rPr>
        <w:t>%</w:t>
      </w:r>
      <w:r>
        <w:rPr>
          <w:rFonts w:hint="eastAsia" w:ascii="宋体" w:hAnsi="宋体" w:eastAsia="宋体" w:cs="宋体"/>
          <w:sz w:val="32"/>
          <w:szCs w:val="32"/>
        </w:rPr>
        <w:t>；农林水（类）支出</w:t>
      </w:r>
      <w:r>
        <w:rPr>
          <w:rFonts w:hint="eastAsia" w:ascii="宋体" w:hAnsi="宋体" w:eastAsia="宋体" w:cs="宋体"/>
          <w:sz w:val="32"/>
          <w:szCs w:val="32"/>
          <w:lang w:val="en-US" w:eastAsia="zh-CN"/>
        </w:rPr>
        <w:t>324.53</w:t>
      </w:r>
      <w:r>
        <w:rPr>
          <w:rFonts w:hint="eastAsia" w:ascii="宋体" w:hAnsi="宋体" w:eastAsia="宋体" w:cs="宋体"/>
          <w:sz w:val="32"/>
          <w:szCs w:val="32"/>
        </w:rPr>
        <w:t>万元，占</w:t>
      </w:r>
      <w:r>
        <w:rPr>
          <w:rFonts w:hint="eastAsia" w:ascii="宋体" w:hAnsi="宋体" w:eastAsia="宋体" w:cs="宋体"/>
          <w:sz w:val="32"/>
          <w:szCs w:val="32"/>
          <w:lang w:val="en-US" w:eastAsia="zh-CN"/>
        </w:rPr>
        <w:t>17.73</w:t>
      </w:r>
      <w:r>
        <w:rPr>
          <w:rFonts w:ascii="宋体" w:hAnsi="宋体" w:eastAsia="宋体" w:cs="宋体"/>
          <w:sz w:val="32"/>
          <w:szCs w:val="32"/>
        </w:rPr>
        <w:t>%</w:t>
      </w:r>
      <w:r>
        <w:rPr>
          <w:rFonts w:hint="eastAsia" w:ascii="宋体" w:hAnsi="宋体" w:eastAsia="宋体" w:cs="宋体"/>
          <w:sz w:val="32"/>
          <w:szCs w:val="32"/>
        </w:rPr>
        <w:t>。</w:t>
      </w:r>
    </w:p>
    <w:p>
      <w:pPr>
        <w:pStyle w:val="2"/>
        <w:ind w:firstLine="803" w:firstLineChars="25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pPr>
        <w:pStyle w:val="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lang w:eastAsia="zh-CN"/>
        </w:rPr>
        <w:t>2021年度一般公共预算财政拨款支出年初预算数为</w:t>
      </w:r>
      <w:r>
        <w:rPr>
          <w:rFonts w:hint="eastAsia" w:ascii="宋体" w:hAnsi="宋体" w:eastAsia="宋体" w:cs="宋体"/>
          <w:sz w:val="32"/>
          <w:szCs w:val="32"/>
          <w:lang w:val="en-US" w:eastAsia="zh-CN"/>
        </w:rPr>
        <w:t>1680.56</w:t>
      </w:r>
      <w:r>
        <w:rPr>
          <w:rFonts w:hint="eastAsia" w:ascii="宋体" w:hAnsi="宋体" w:eastAsia="宋体" w:cs="宋体"/>
          <w:sz w:val="32"/>
          <w:szCs w:val="32"/>
          <w:lang w:eastAsia="zh-CN"/>
        </w:rPr>
        <w:t>万元，支出决算数为</w:t>
      </w:r>
      <w:r>
        <w:rPr>
          <w:rFonts w:hint="eastAsia" w:ascii="宋体" w:hAnsi="宋体" w:eastAsia="宋体" w:cs="宋体"/>
          <w:sz w:val="32"/>
          <w:szCs w:val="32"/>
          <w:lang w:val="en-US" w:eastAsia="zh-CN"/>
        </w:rPr>
        <w:t>1830.74</w:t>
      </w:r>
      <w:r>
        <w:rPr>
          <w:rFonts w:hint="eastAsia" w:ascii="宋体" w:hAnsi="宋体" w:eastAsia="宋体" w:cs="宋体"/>
          <w:sz w:val="32"/>
          <w:szCs w:val="32"/>
          <w:lang w:eastAsia="zh-CN"/>
        </w:rPr>
        <w:t>万元，完成年初预算的</w:t>
      </w:r>
      <w:r>
        <w:rPr>
          <w:rFonts w:hint="eastAsia" w:ascii="宋体" w:hAnsi="宋体" w:eastAsia="宋体" w:cs="宋体"/>
          <w:sz w:val="32"/>
          <w:szCs w:val="32"/>
          <w:lang w:val="en-US" w:eastAsia="zh-CN"/>
        </w:rPr>
        <w:t>108.9</w:t>
      </w:r>
      <w:r>
        <w:rPr>
          <w:rFonts w:hint="eastAsia" w:ascii="宋体" w:hAnsi="宋体" w:eastAsia="宋体" w:cs="宋体"/>
          <w:sz w:val="32"/>
          <w:szCs w:val="32"/>
          <w:lang w:eastAsia="zh-CN"/>
        </w:rPr>
        <w:t>4%，其中：</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1、一般公共服务（类）政府办公厅及相关机构事务（款）行政运行（项）。</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1063.96</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1112.6</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105.28</w:t>
      </w:r>
      <w:r>
        <w:rPr>
          <w:rFonts w:hint="eastAsia" w:ascii="宋体" w:hAnsi="宋体" w:eastAsia="宋体" w:cs="宋体"/>
          <w:sz w:val="32"/>
          <w:szCs w:val="32"/>
          <w:highlight w:val="none"/>
          <w:lang w:eastAsia="zh-CN"/>
        </w:rPr>
        <w:t>%，决算数大于年初预算数的主要原因是：行政运行支出有所增多。</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lang w:eastAsia="zh-CN"/>
        </w:rPr>
        <w:t>一般公共服务（类）政府办公厅及相关机构事务（款）</w:t>
      </w:r>
      <w:r>
        <w:rPr>
          <w:rFonts w:hint="eastAsia" w:ascii="宋体" w:hAnsi="宋体" w:eastAsia="宋体" w:cs="宋体"/>
          <w:sz w:val="32"/>
          <w:szCs w:val="32"/>
          <w:highlight w:val="none"/>
          <w:lang w:val="en-US" w:eastAsia="zh-CN"/>
        </w:rPr>
        <w:t>其他政府办公厅（室）及相关机构事务支出</w:t>
      </w:r>
      <w:r>
        <w:rPr>
          <w:rFonts w:hint="eastAsia" w:ascii="宋体" w:hAnsi="宋体" w:eastAsia="宋体" w:cs="宋体"/>
          <w:sz w:val="32"/>
          <w:szCs w:val="32"/>
          <w:highlight w:val="none"/>
          <w:lang w:eastAsia="zh-CN"/>
        </w:rPr>
        <w:t>（项）。</w:t>
      </w:r>
    </w:p>
    <w:p>
      <w:pPr>
        <w:pStyle w:val="2"/>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7.56</w:t>
      </w:r>
      <w:r>
        <w:rPr>
          <w:rFonts w:hint="eastAsia" w:ascii="宋体" w:hAnsi="宋体" w:eastAsia="宋体" w:cs="宋体"/>
          <w:sz w:val="32"/>
          <w:szCs w:val="32"/>
          <w:highlight w:val="none"/>
          <w:lang w:eastAsia="zh-CN"/>
        </w:rPr>
        <w:t>万元，决算数大于年初预算数的主要原因是：</w:t>
      </w:r>
      <w:r>
        <w:rPr>
          <w:rFonts w:hint="eastAsia" w:ascii="宋体" w:hAnsi="宋体" w:eastAsia="宋体" w:cs="宋体"/>
          <w:sz w:val="32"/>
          <w:szCs w:val="32"/>
          <w:highlight w:val="none"/>
          <w:lang w:val="en-US" w:eastAsia="zh-CN"/>
        </w:rPr>
        <w:t>年初未单独预算，增加相关</w:t>
      </w:r>
      <w:r>
        <w:rPr>
          <w:rFonts w:hint="eastAsia" w:ascii="宋体" w:hAnsi="宋体" w:eastAsia="宋体" w:cs="宋体"/>
          <w:sz w:val="32"/>
          <w:szCs w:val="32"/>
          <w:highlight w:val="none"/>
          <w:lang w:eastAsia="zh-CN"/>
        </w:rPr>
        <w:t>支出。</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lang w:eastAsia="zh-CN"/>
        </w:rPr>
        <w:t>、一般公共服务（类）发展与改革事务（款）其他发展与改革事务支出（项）。</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29.28</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42.47</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145.04</w:t>
      </w:r>
      <w:r>
        <w:rPr>
          <w:rFonts w:hint="eastAsia" w:ascii="宋体" w:hAnsi="宋体" w:eastAsia="宋体" w:cs="宋体"/>
          <w:sz w:val="32"/>
          <w:szCs w:val="32"/>
          <w:highlight w:val="none"/>
          <w:lang w:eastAsia="zh-CN"/>
        </w:rPr>
        <w:t>%，决算数大于年初预算数的主要原因是：其他发展与改革事务支出有所增加。</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lang w:eastAsia="zh-CN"/>
        </w:rPr>
        <w:t>、一般公共服务（类）财政事务（款）行政运行（项）。</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39.04</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48.35</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123.85</w:t>
      </w:r>
      <w:r>
        <w:rPr>
          <w:rFonts w:hint="eastAsia" w:ascii="宋体" w:hAnsi="宋体" w:eastAsia="宋体" w:cs="宋体"/>
          <w:sz w:val="32"/>
          <w:szCs w:val="32"/>
          <w:highlight w:val="none"/>
          <w:lang w:eastAsia="zh-CN"/>
        </w:rPr>
        <w:t>%，决算数大于年初预算数的主要原因是：财政事务行政运行支出有所增加。</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lang w:eastAsia="zh-CN"/>
        </w:rPr>
        <w:t>、公共安全支出（类）其他公共安全支出（款）其他公共安全支出（项）。</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64.16</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86.79</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135.27</w:t>
      </w:r>
      <w:r>
        <w:rPr>
          <w:rFonts w:hint="eastAsia" w:ascii="宋体" w:hAnsi="宋体" w:eastAsia="宋体" w:cs="宋体"/>
          <w:sz w:val="32"/>
          <w:szCs w:val="32"/>
          <w:highlight w:val="none"/>
          <w:lang w:eastAsia="zh-CN"/>
        </w:rPr>
        <w:t>%，决算数大于年初预算数的主要原因是：综治维稳等其他公共安全支出有所增加。</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lang w:eastAsia="zh-CN"/>
        </w:rPr>
        <w:t>、文化旅游体育与传媒支出（类）其他文化旅游体育与传媒支出（款）其他文化旅游体育与传媒支出（项）。</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63.91</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78.87</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123.41</w:t>
      </w:r>
      <w:r>
        <w:rPr>
          <w:rFonts w:hint="eastAsia" w:ascii="宋体" w:hAnsi="宋体" w:eastAsia="宋体" w:cs="宋体"/>
          <w:sz w:val="32"/>
          <w:szCs w:val="32"/>
          <w:highlight w:val="none"/>
          <w:lang w:eastAsia="zh-CN"/>
        </w:rPr>
        <w:t>%，决算数大于年初预算数的主要原因是：文化旅游体育与传媒支出有所增加。</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7</w:t>
      </w:r>
      <w:r>
        <w:rPr>
          <w:rFonts w:hint="eastAsia" w:ascii="宋体" w:hAnsi="宋体" w:eastAsia="宋体" w:cs="宋体"/>
          <w:sz w:val="32"/>
          <w:szCs w:val="32"/>
          <w:highlight w:val="none"/>
          <w:lang w:eastAsia="zh-CN"/>
        </w:rPr>
        <w:t>、社会保障和就业支出（类）人力资源和社会保障管理事务（款）其他人力资源和社会保障管理事务支出（项）。</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48.8</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42.99</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88.09</w:t>
      </w:r>
      <w:r>
        <w:rPr>
          <w:rFonts w:hint="eastAsia" w:ascii="宋体" w:hAnsi="宋体" w:eastAsia="宋体" w:cs="宋体"/>
          <w:sz w:val="32"/>
          <w:szCs w:val="32"/>
          <w:highlight w:val="none"/>
          <w:lang w:eastAsia="zh-CN"/>
        </w:rPr>
        <w:t>%，决算数大于年初预算数的主要原因是：其他人力资源和社会保障管理事务支出有所减少。</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8、社会保障和就业支出（类）退役军人管理事务（款）其他退役军人事务管理支出（项）。</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4.88</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18.59</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380.94</w:t>
      </w:r>
      <w:r>
        <w:rPr>
          <w:rFonts w:hint="eastAsia" w:ascii="宋体" w:hAnsi="宋体" w:eastAsia="宋体" w:cs="宋体"/>
          <w:sz w:val="32"/>
          <w:szCs w:val="32"/>
          <w:highlight w:val="none"/>
          <w:lang w:eastAsia="zh-CN"/>
        </w:rPr>
        <w:t>%，决算数大于年初预算数的主要原因是：其他退役军人事务管理支出有所增加。</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9</w:t>
      </w:r>
      <w:r>
        <w:rPr>
          <w:rFonts w:hint="eastAsia" w:ascii="宋体" w:hAnsi="宋体" w:eastAsia="宋体" w:cs="宋体"/>
          <w:sz w:val="32"/>
          <w:szCs w:val="32"/>
          <w:highlight w:val="none"/>
          <w:lang w:eastAsia="zh-CN"/>
        </w:rPr>
        <w:t>、城乡社区支出（类）城乡社区管理事务（款）城管执法（项）。</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29.4</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36.56</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124.35</w:t>
      </w:r>
      <w:r>
        <w:rPr>
          <w:rFonts w:hint="eastAsia" w:ascii="宋体" w:hAnsi="宋体" w:eastAsia="宋体" w:cs="宋体"/>
          <w:sz w:val="32"/>
          <w:szCs w:val="32"/>
          <w:highlight w:val="none"/>
          <w:lang w:eastAsia="zh-CN"/>
        </w:rPr>
        <w:t>%，决算数大于年初预算数的主要原因是：城管执法支出增加。</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10、城乡社区支出（类）城乡社区管理事务（款）城乡社区环境卫生（项）。</w:t>
      </w:r>
    </w:p>
    <w:p>
      <w:pPr>
        <w:pStyle w:val="2"/>
        <w:ind w:firstLine="800" w:firstLineChars="250"/>
        <w:rPr>
          <w:rFonts w:hint="eastAsia" w:ascii="宋体" w:hAnsi="宋体" w:eastAsia="宋体" w:cs="宋体"/>
          <w:sz w:val="32"/>
          <w:szCs w:val="32"/>
          <w:highlight w:val="cyan"/>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14.64</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31.43</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214.69</w:t>
      </w:r>
      <w:r>
        <w:rPr>
          <w:rFonts w:hint="eastAsia" w:ascii="宋体" w:hAnsi="宋体" w:eastAsia="宋体" w:cs="宋体"/>
          <w:sz w:val="32"/>
          <w:szCs w:val="32"/>
          <w:highlight w:val="none"/>
          <w:lang w:eastAsia="zh-CN"/>
        </w:rPr>
        <w:t>%，决算数大于年初预算数的主要原因是：城乡社区环境卫生相关支出增加。</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1</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lang w:eastAsia="zh-CN"/>
        </w:rPr>
        <w:t>、农林水支出（类）农村综合改革（款）对村民委员会和村党支部的补助（项）。</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268.09</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183.76</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68.54</w:t>
      </w:r>
      <w:r>
        <w:rPr>
          <w:rFonts w:hint="eastAsia" w:ascii="宋体" w:hAnsi="宋体" w:eastAsia="宋体" w:cs="宋体"/>
          <w:sz w:val="32"/>
          <w:szCs w:val="32"/>
          <w:highlight w:val="none"/>
          <w:lang w:eastAsia="zh-CN"/>
        </w:rPr>
        <w:t>%，决算数小于年初预算数的主要原因是：对村民委员会和村党支部的补助有所减少。</w:t>
      </w:r>
    </w:p>
    <w:p>
      <w:pPr>
        <w:pStyle w:val="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1</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lang w:eastAsia="zh-CN"/>
        </w:rPr>
        <w:t>、农林水支出（类）农业农村（款）行政运行（项）。</w:t>
      </w:r>
    </w:p>
    <w:p>
      <w:pPr>
        <w:pStyle w:val="2"/>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lang w:eastAsia="zh-CN"/>
        </w:rPr>
        <w:t>年初预算为</w:t>
      </w:r>
      <w:r>
        <w:rPr>
          <w:rFonts w:hint="eastAsia" w:ascii="宋体" w:hAnsi="宋体" w:eastAsia="宋体" w:cs="宋体"/>
          <w:sz w:val="32"/>
          <w:szCs w:val="32"/>
          <w:highlight w:val="none"/>
          <w:lang w:val="en-US" w:eastAsia="zh-CN"/>
        </w:rPr>
        <w:t>54.4</w:t>
      </w:r>
      <w:r>
        <w:rPr>
          <w:rFonts w:hint="eastAsia" w:ascii="宋体" w:hAnsi="宋体" w:eastAsia="宋体" w:cs="宋体"/>
          <w:sz w:val="32"/>
          <w:szCs w:val="32"/>
          <w:highlight w:val="none"/>
          <w:lang w:eastAsia="zh-CN"/>
        </w:rPr>
        <w:t>万元，支出决算为</w:t>
      </w:r>
      <w:r>
        <w:rPr>
          <w:rFonts w:hint="eastAsia" w:ascii="宋体" w:hAnsi="宋体" w:eastAsia="宋体" w:cs="宋体"/>
          <w:sz w:val="32"/>
          <w:szCs w:val="32"/>
          <w:highlight w:val="none"/>
          <w:lang w:val="en-US" w:eastAsia="zh-CN"/>
        </w:rPr>
        <w:t>140.77</w:t>
      </w:r>
      <w:r>
        <w:rPr>
          <w:rFonts w:hint="eastAsia" w:ascii="宋体" w:hAnsi="宋体" w:eastAsia="宋体" w:cs="宋体"/>
          <w:sz w:val="32"/>
          <w:szCs w:val="32"/>
          <w:highlight w:val="none"/>
          <w:lang w:eastAsia="zh-CN"/>
        </w:rPr>
        <w:t>万元，完成年初预算的</w:t>
      </w:r>
      <w:r>
        <w:rPr>
          <w:rFonts w:hint="eastAsia" w:ascii="宋体" w:hAnsi="宋体" w:eastAsia="宋体" w:cs="宋体"/>
          <w:sz w:val="32"/>
          <w:szCs w:val="32"/>
          <w:highlight w:val="none"/>
          <w:lang w:val="en-US" w:eastAsia="zh-CN"/>
        </w:rPr>
        <w:t>258.77</w:t>
      </w:r>
      <w:r>
        <w:rPr>
          <w:rFonts w:hint="eastAsia" w:ascii="宋体" w:hAnsi="宋体" w:eastAsia="宋体" w:cs="宋体"/>
          <w:sz w:val="32"/>
          <w:szCs w:val="32"/>
          <w:highlight w:val="none"/>
          <w:lang w:eastAsia="zh-CN"/>
        </w:rPr>
        <w:t>%，决算数大于年初预算数的主要原因是：农林水支出大幅度增加。</w:t>
      </w:r>
    </w:p>
    <w:p>
      <w:pPr>
        <w:pStyle w:val="2"/>
        <w:rPr>
          <w:rFonts w:hAnsi="黑体" w:cs="Times New Roman"/>
          <w:b/>
          <w:bCs/>
          <w:sz w:val="32"/>
          <w:szCs w:val="32"/>
          <w:highlight w:val="none"/>
        </w:rPr>
      </w:pPr>
      <w:r>
        <w:rPr>
          <w:rFonts w:hint="eastAsia" w:hAnsi="黑体"/>
          <w:b/>
          <w:bCs/>
          <w:sz w:val="32"/>
          <w:szCs w:val="32"/>
          <w:highlight w:val="none"/>
        </w:rPr>
        <w:t>六、一般公共预算财政拨款基本支出决算情况说明</w:t>
      </w:r>
    </w:p>
    <w:p>
      <w:pPr>
        <w:pStyle w:val="2"/>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lang w:eastAsia="zh-CN"/>
        </w:rPr>
        <w:t>2021</w:t>
      </w:r>
      <w:r>
        <w:rPr>
          <w:rFonts w:hint="eastAsia" w:ascii="宋体" w:hAnsi="宋体" w:eastAsia="宋体" w:cs="宋体"/>
          <w:sz w:val="32"/>
          <w:szCs w:val="32"/>
          <w:highlight w:val="none"/>
        </w:rPr>
        <w:t>年度一般公共预算财政拨款基本支出</w:t>
      </w:r>
      <w:r>
        <w:rPr>
          <w:rFonts w:hint="eastAsia" w:ascii="宋体" w:hAnsi="宋体" w:eastAsia="宋体" w:cs="宋体"/>
          <w:sz w:val="32"/>
          <w:szCs w:val="32"/>
          <w:highlight w:val="none"/>
          <w:lang w:val="en-US" w:eastAsia="zh-CN"/>
        </w:rPr>
        <w:t>1830.74</w:t>
      </w:r>
      <w:r>
        <w:rPr>
          <w:rFonts w:hint="eastAsia" w:ascii="宋体" w:hAnsi="宋体" w:eastAsia="宋体" w:cs="宋体"/>
          <w:sz w:val="32"/>
          <w:szCs w:val="32"/>
          <w:highlight w:val="none"/>
        </w:rPr>
        <w:t>万元，其中：人员经费</w:t>
      </w:r>
      <w:r>
        <w:rPr>
          <w:rFonts w:hint="eastAsia" w:ascii="宋体" w:hAnsi="宋体" w:eastAsia="宋体" w:cs="宋体"/>
          <w:sz w:val="32"/>
          <w:szCs w:val="32"/>
          <w:highlight w:val="none"/>
          <w:lang w:val="en-US" w:eastAsia="zh-CN"/>
        </w:rPr>
        <w:t>1277.41</w:t>
      </w:r>
      <w:r>
        <w:rPr>
          <w:rFonts w:hint="eastAsia" w:ascii="宋体" w:hAnsi="宋体" w:eastAsia="宋体" w:cs="宋体"/>
          <w:sz w:val="32"/>
          <w:szCs w:val="32"/>
          <w:highlight w:val="none"/>
        </w:rPr>
        <w:t>万元，占基本支出的6</w:t>
      </w:r>
      <w:r>
        <w:rPr>
          <w:rFonts w:hint="eastAsia" w:ascii="宋体" w:hAnsi="宋体" w:eastAsia="宋体" w:cs="宋体"/>
          <w:sz w:val="32"/>
          <w:szCs w:val="32"/>
          <w:highlight w:val="none"/>
          <w:lang w:val="en-US" w:eastAsia="zh-CN"/>
        </w:rPr>
        <w:t>8.65</w:t>
      </w:r>
      <w:r>
        <w:rPr>
          <w:rFonts w:ascii="宋体" w:hAnsi="宋体" w:eastAsia="宋体" w:cs="宋体"/>
          <w:sz w:val="32"/>
          <w:szCs w:val="32"/>
          <w:highlight w:val="none"/>
        </w:rPr>
        <w:t>%,</w:t>
      </w:r>
      <w:r>
        <w:rPr>
          <w:rFonts w:hint="eastAsia" w:ascii="宋体" w:hAnsi="宋体" w:eastAsia="宋体" w:cs="宋体"/>
          <w:sz w:val="32"/>
          <w:szCs w:val="32"/>
          <w:highlight w:val="none"/>
        </w:rPr>
        <w:t>主要包括基本工资、津贴补贴、奖金、伙食补助费、绩效工资、机关事业单位基本养老保险缴费、职业年金缴费、职工基本医疗保险缴费、住房公积金、生活补助、救济费、奖励金、其他对个人和家庭的补助等；公用经费</w:t>
      </w:r>
      <w:r>
        <w:rPr>
          <w:rFonts w:hint="eastAsia" w:ascii="宋体" w:hAnsi="宋体" w:eastAsia="宋体" w:cs="宋体"/>
          <w:sz w:val="32"/>
          <w:szCs w:val="32"/>
          <w:highlight w:val="none"/>
          <w:lang w:val="en-US" w:eastAsia="zh-CN"/>
        </w:rPr>
        <w:t>553.33</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29.75</w:t>
      </w:r>
      <w:r>
        <w:rPr>
          <w:rFonts w:ascii="宋体" w:hAnsi="宋体" w:eastAsia="宋体" w:cs="宋体"/>
          <w:sz w:val="32"/>
          <w:szCs w:val="32"/>
          <w:highlight w:val="none"/>
        </w:rPr>
        <w:t>%</w:t>
      </w:r>
      <w:r>
        <w:rPr>
          <w:rFonts w:hint="eastAsia" w:ascii="宋体" w:hAnsi="宋体" w:eastAsia="宋体" w:cs="宋体"/>
          <w:sz w:val="32"/>
          <w:szCs w:val="32"/>
          <w:highlight w:val="none"/>
        </w:rPr>
        <w:t>，主要包括办公费、印刷费、咨询费、电费、邮电费、差旅费、维修（护）费、租赁费、会议费、培训费、公务接待费、专用材料费、福利费、其他交通费用、其他商品和服务支出等。</w:t>
      </w:r>
    </w:p>
    <w:p>
      <w:pPr>
        <w:pStyle w:val="2"/>
        <w:rPr>
          <w:rFonts w:hAnsi="黑体" w:cs="Times New Roman"/>
          <w:b/>
          <w:bCs/>
          <w:sz w:val="32"/>
          <w:szCs w:val="32"/>
          <w:highlight w:val="none"/>
        </w:rPr>
      </w:pPr>
      <w:r>
        <w:rPr>
          <w:rFonts w:hint="eastAsia" w:hAnsi="黑体"/>
          <w:b/>
          <w:bCs/>
          <w:sz w:val="32"/>
          <w:szCs w:val="32"/>
          <w:highlight w:val="none"/>
        </w:rPr>
        <w:t>七、一般公共预算财政拨款三公经费支出决算情况说明</w:t>
      </w:r>
    </w:p>
    <w:p>
      <w:pPr>
        <w:pStyle w:val="2"/>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（一）“三公”经费财政拨款支出决算总体情况说明</w:t>
      </w:r>
    </w:p>
    <w:p>
      <w:pPr>
        <w:pStyle w:val="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“三公”经费财政拨款支出预算为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万元，其中：</w:t>
      </w:r>
    </w:p>
    <w:p>
      <w:pPr>
        <w:pStyle w:val="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因公出国（境）费支出预算为0万元，支出决算为0万元。</w:t>
      </w:r>
    </w:p>
    <w:p>
      <w:pPr>
        <w:pStyle w:val="2"/>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公务接待费支出预算为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万元与上年相比减少</w:t>
      </w:r>
      <w:r>
        <w:rPr>
          <w:rFonts w:hint="eastAsia" w:ascii="宋体" w:hAnsi="宋体" w:eastAsia="宋体" w:cs="宋体"/>
          <w:sz w:val="32"/>
          <w:szCs w:val="32"/>
          <w:highlight w:val="none"/>
          <w:lang w:val="en-US" w:eastAsia="zh-CN"/>
        </w:rPr>
        <w:t>5.36</w:t>
      </w:r>
      <w:r>
        <w:rPr>
          <w:rFonts w:hint="eastAsia" w:ascii="宋体" w:hAnsi="宋体" w:eastAsia="宋体" w:cs="宋体"/>
          <w:sz w:val="32"/>
          <w:szCs w:val="32"/>
          <w:highlight w:val="none"/>
        </w:rPr>
        <w:t>万元，减少</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rPr>
        <w:t>减少的主要原因是进一步落实上级要求，严格压缩“三公”消费支出，并严格审批“三公”消费支出的申报，确定执行有效果。</w:t>
      </w:r>
    </w:p>
    <w:p>
      <w:pPr>
        <w:pStyle w:val="2"/>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公务用车购置费及运行维护费支出预算为0万元，支出决算为0万元。</w:t>
      </w:r>
    </w:p>
    <w:p>
      <w:pPr>
        <w:pStyle w:val="2"/>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（二）“三公”经费财政拨款支出决算具体情况说明</w:t>
      </w:r>
    </w:p>
    <w:p>
      <w:pPr>
        <w:pStyle w:val="2"/>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lang w:eastAsia="zh-CN"/>
        </w:rPr>
        <w:t>2021</w:t>
      </w:r>
      <w:r>
        <w:rPr>
          <w:rFonts w:hint="eastAsia" w:ascii="宋体" w:hAnsi="宋体" w:eastAsia="宋体" w:cs="宋体"/>
          <w:sz w:val="32"/>
          <w:szCs w:val="32"/>
          <w:highlight w:val="none"/>
        </w:rPr>
        <w:t>年度“三公”经费财政拨款支出决算中，公务接待费支出决算</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万元，因公出国（境）费支出决算0万元，公务用车购置费及运行维护费支出决算0万元。其中：</w:t>
      </w:r>
    </w:p>
    <w:p>
      <w:pPr>
        <w:pStyle w:val="2"/>
        <w:ind w:firstLine="640" w:firstLineChars="200"/>
        <w:rPr>
          <w:rFonts w:ascii="宋体" w:hAnsi="宋体" w:eastAsia="宋体" w:cs="Times New Roman"/>
          <w:sz w:val="32"/>
          <w:szCs w:val="32"/>
          <w:highlight w:val="none"/>
        </w:rPr>
      </w:pPr>
      <w:r>
        <w:rPr>
          <w:rFonts w:ascii="宋体" w:hAnsi="宋体" w:eastAsia="宋体" w:cs="宋体"/>
          <w:sz w:val="32"/>
          <w:szCs w:val="32"/>
          <w:highlight w:val="none"/>
        </w:rPr>
        <w:t>1</w:t>
      </w:r>
      <w:r>
        <w:rPr>
          <w:rFonts w:hint="eastAsia" w:ascii="宋体" w:hAnsi="宋体" w:eastAsia="宋体" w:cs="宋体"/>
          <w:sz w:val="32"/>
          <w:szCs w:val="32"/>
          <w:highlight w:val="none"/>
        </w:rPr>
        <w:t>、因公出国（境）费支出决算为0万元，全年安排因公出国（境）团组0个，累计0人次。</w:t>
      </w:r>
    </w:p>
    <w:p>
      <w:pPr>
        <w:pStyle w:val="2"/>
        <w:ind w:firstLine="800" w:firstLineChars="250"/>
        <w:rPr>
          <w:rFonts w:ascii="宋体" w:hAnsi="宋体" w:eastAsia="宋体" w:cs="Times New Roman"/>
          <w:color w:val="auto"/>
          <w:sz w:val="32"/>
          <w:szCs w:val="32"/>
          <w:highlight w:val="none"/>
        </w:rPr>
      </w:pPr>
      <w:r>
        <w:rPr>
          <w:rFonts w:ascii="宋体" w:hAnsi="宋体" w:eastAsia="宋体" w:cs="宋体"/>
          <w:color w:val="auto"/>
          <w:sz w:val="32"/>
          <w:szCs w:val="32"/>
          <w:highlight w:val="none"/>
        </w:rPr>
        <w:t>2</w:t>
      </w:r>
      <w:r>
        <w:rPr>
          <w:rFonts w:hint="eastAsia" w:ascii="宋体" w:hAnsi="宋体" w:eastAsia="宋体" w:cs="宋体"/>
          <w:color w:val="auto"/>
          <w:sz w:val="32"/>
          <w:szCs w:val="32"/>
          <w:highlight w:val="none"/>
        </w:rPr>
        <w:t>、公务接待费支出决算为</w:t>
      </w:r>
      <w:r>
        <w:rPr>
          <w:rFonts w:hint="eastAsia" w:ascii="宋体" w:hAnsi="宋体" w:eastAsia="宋体" w:cs="宋体"/>
          <w:color w:val="auto"/>
          <w:sz w:val="32"/>
          <w:szCs w:val="32"/>
          <w:highlight w:val="none"/>
          <w:lang w:val="en-US" w:eastAsia="zh-CN"/>
        </w:rPr>
        <w:t>0</w:t>
      </w:r>
      <w:r>
        <w:rPr>
          <w:rFonts w:hint="eastAsia" w:ascii="宋体" w:hAnsi="宋体" w:eastAsia="宋体" w:cs="宋体"/>
          <w:color w:val="auto"/>
          <w:sz w:val="32"/>
          <w:szCs w:val="32"/>
          <w:highlight w:val="none"/>
        </w:rPr>
        <w:t>万元，</w:t>
      </w:r>
      <w:r>
        <w:rPr>
          <w:rFonts w:hint="eastAsia" w:ascii="宋体" w:hAnsi="宋体" w:eastAsia="宋体" w:cs="宋体"/>
          <w:color w:val="auto"/>
          <w:sz w:val="32"/>
          <w:szCs w:val="32"/>
          <w:highlight w:val="none"/>
          <w:lang w:eastAsia="zh-CN"/>
        </w:rPr>
        <w:t>全年共接待来访团组</w:t>
      </w:r>
      <w:r>
        <w:rPr>
          <w:rFonts w:hint="eastAsia" w:ascii="宋体" w:hAnsi="宋体" w:eastAsia="宋体" w:cs="宋体"/>
          <w:color w:val="auto"/>
          <w:sz w:val="32"/>
          <w:szCs w:val="32"/>
          <w:highlight w:val="none"/>
          <w:lang w:val="en-US" w:eastAsia="zh-CN"/>
        </w:rPr>
        <w:t>0人，来宾0人次</w:t>
      </w:r>
      <w:r>
        <w:rPr>
          <w:rFonts w:hint="eastAsia" w:ascii="宋体" w:hAnsi="宋体" w:eastAsia="宋体" w:cs="宋体"/>
          <w:color w:val="auto"/>
          <w:sz w:val="32"/>
          <w:szCs w:val="32"/>
          <w:highlight w:val="none"/>
        </w:rPr>
        <w:t>。</w:t>
      </w:r>
    </w:p>
    <w:p>
      <w:pPr>
        <w:ind w:firstLine="800" w:firstLineChars="250"/>
        <w:rPr>
          <w:rFonts w:ascii="宋体" w:cs="Times New Roman"/>
          <w:color w:val="000000"/>
          <w:kern w:val="0"/>
          <w:sz w:val="32"/>
          <w:szCs w:val="32"/>
          <w:highlight w:val="none"/>
        </w:rPr>
      </w:pPr>
      <w:r>
        <w:rPr>
          <w:rFonts w:ascii="宋体" w:hAnsi="宋体" w:cs="宋体"/>
          <w:sz w:val="32"/>
          <w:szCs w:val="32"/>
          <w:highlight w:val="none"/>
        </w:rPr>
        <w:t>3</w:t>
      </w:r>
      <w:r>
        <w:rPr>
          <w:rFonts w:hint="eastAsia" w:ascii="宋体" w:hAnsi="宋体" w:cs="宋体"/>
          <w:sz w:val="32"/>
          <w:szCs w:val="32"/>
          <w:highlight w:val="none"/>
        </w:rPr>
        <w:t>、公务用车购置费及运行维护费支出决算为0万元，其中：公务用车购置费0万元。截止</w:t>
      </w:r>
      <w:r>
        <w:rPr>
          <w:rFonts w:hint="eastAsia" w:ascii="宋体" w:hAnsi="宋体" w:cs="宋体"/>
          <w:sz w:val="32"/>
          <w:szCs w:val="32"/>
          <w:highlight w:val="none"/>
          <w:lang w:eastAsia="zh-CN"/>
        </w:rPr>
        <w:t>2021</w:t>
      </w:r>
      <w:r>
        <w:rPr>
          <w:rFonts w:hint="eastAsia" w:ascii="宋体" w:hAnsi="宋体" w:cs="宋体"/>
          <w:sz w:val="32"/>
          <w:szCs w:val="32"/>
          <w:highlight w:val="none"/>
        </w:rPr>
        <w:t>年</w:t>
      </w:r>
      <w:r>
        <w:rPr>
          <w:rFonts w:ascii="宋体" w:hAnsi="宋体" w:cs="宋体"/>
          <w:sz w:val="32"/>
          <w:szCs w:val="32"/>
          <w:highlight w:val="none"/>
        </w:rPr>
        <w:t>12</w:t>
      </w:r>
      <w:r>
        <w:rPr>
          <w:rFonts w:hint="eastAsia" w:ascii="宋体" w:hAnsi="宋体" w:cs="宋体"/>
          <w:sz w:val="32"/>
          <w:szCs w:val="32"/>
          <w:highlight w:val="none"/>
        </w:rPr>
        <w:t>月</w:t>
      </w:r>
      <w:r>
        <w:rPr>
          <w:rFonts w:ascii="宋体" w:hAnsi="宋体" w:cs="宋体"/>
          <w:sz w:val="32"/>
          <w:szCs w:val="32"/>
          <w:highlight w:val="none"/>
        </w:rPr>
        <w:t>31</w:t>
      </w:r>
      <w:r>
        <w:rPr>
          <w:rFonts w:hint="eastAsia" w:ascii="宋体" w:hAnsi="宋体" w:cs="宋体"/>
          <w:sz w:val="32"/>
          <w:szCs w:val="32"/>
          <w:highlight w:val="none"/>
        </w:rPr>
        <w:t>日，我单位开支财政拨款的公务用车保有量为0辆。</w:t>
      </w:r>
    </w:p>
    <w:p>
      <w:pPr>
        <w:pStyle w:val="2"/>
        <w:rPr>
          <w:rFonts w:hAnsi="黑体" w:cs="Times New Roman"/>
          <w:b/>
          <w:bCs/>
          <w:sz w:val="32"/>
          <w:szCs w:val="32"/>
          <w:highlight w:val="none"/>
        </w:rPr>
      </w:pPr>
      <w:r>
        <w:rPr>
          <w:rFonts w:hint="eastAsia" w:hAnsi="黑体"/>
          <w:b/>
          <w:bCs/>
          <w:sz w:val="32"/>
          <w:szCs w:val="32"/>
          <w:highlight w:val="none"/>
        </w:rPr>
        <w:t>八、政府性基金预算收入支出决算情况</w:t>
      </w:r>
    </w:p>
    <w:p>
      <w:pPr>
        <w:pStyle w:val="2"/>
        <w:rPr>
          <w:rFonts w:ascii="宋体" w:hAnsi="宋体" w:eastAsia="宋体" w:cs="Times New Roman"/>
          <w:i/>
          <w:iCs/>
          <w:color w:val="FF0000"/>
          <w:sz w:val="32"/>
          <w:szCs w:val="32"/>
          <w:highlight w:val="cyan"/>
        </w:rPr>
      </w:pPr>
      <w:r>
        <w:rPr>
          <w:rFonts w:ascii="宋体" w:hAnsi="宋体" w:eastAsia="宋体" w:cs="宋体"/>
          <w:sz w:val="32"/>
          <w:szCs w:val="32"/>
          <w:highlight w:val="none"/>
        </w:rPr>
        <w:t xml:space="preserve">     </w:t>
      </w:r>
      <w:r>
        <w:rPr>
          <w:rFonts w:hint="eastAsia" w:ascii="宋体" w:hAnsi="宋体" w:eastAsia="宋体" w:cs="宋体"/>
          <w:sz w:val="32"/>
          <w:szCs w:val="32"/>
          <w:highlight w:val="none"/>
        </w:rPr>
        <w:t>本单位无政府性基金收支。</w:t>
      </w:r>
    </w:p>
    <w:p>
      <w:pPr>
        <w:pStyle w:val="2"/>
        <w:rPr>
          <w:rFonts w:hAnsi="黑体" w:cs="Times New Roman"/>
          <w:b/>
          <w:bCs/>
          <w:sz w:val="32"/>
          <w:szCs w:val="32"/>
          <w:highlight w:val="none"/>
        </w:rPr>
      </w:pPr>
      <w:r>
        <w:rPr>
          <w:rFonts w:hint="eastAsia" w:hAnsi="黑体"/>
          <w:b/>
          <w:bCs/>
          <w:sz w:val="32"/>
          <w:szCs w:val="32"/>
          <w:highlight w:val="none"/>
        </w:rPr>
        <w:t>九、关于机关运行经费支出说明</w:t>
      </w:r>
    </w:p>
    <w:p>
      <w:pPr>
        <w:pStyle w:val="2"/>
        <w:ind w:firstLine="640" w:firstLineChars="200"/>
        <w:rPr>
          <w:rFonts w:ascii="宋体" w:hAnsi="宋体" w:eastAsia="宋体" w:cs="宋体"/>
          <w:sz w:val="32"/>
          <w:szCs w:val="32"/>
          <w:highlight w:val="none"/>
        </w:rPr>
      </w:pPr>
      <w:r>
        <w:rPr>
          <w:rFonts w:hint="eastAsia" w:ascii="宋体" w:hAnsi="宋体" w:eastAsia="宋体" w:cs="宋体"/>
          <w:sz w:val="32"/>
          <w:szCs w:val="32"/>
          <w:highlight w:val="none"/>
        </w:rPr>
        <w:t>本部门</w:t>
      </w:r>
      <w:r>
        <w:rPr>
          <w:rFonts w:hint="eastAsia" w:ascii="宋体" w:hAnsi="宋体" w:eastAsia="宋体" w:cs="宋体"/>
          <w:sz w:val="32"/>
          <w:szCs w:val="32"/>
          <w:highlight w:val="none"/>
          <w:lang w:eastAsia="zh-CN"/>
        </w:rPr>
        <w:t>2021</w:t>
      </w:r>
      <w:r>
        <w:rPr>
          <w:rFonts w:hint="eastAsia" w:ascii="宋体" w:hAnsi="宋体" w:eastAsia="宋体" w:cs="宋体"/>
          <w:sz w:val="32"/>
          <w:szCs w:val="32"/>
          <w:highlight w:val="none"/>
        </w:rPr>
        <w:t>年度机关运行经费支出</w:t>
      </w:r>
      <w:r>
        <w:rPr>
          <w:rFonts w:hint="eastAsia" w:ascii="宋体" w:hAnsi="宋体" w:eastAsia="宋体" w:cs="宋体"/>
          <w:sz w:val="32"/>
          <w:szCs w:val="32"/>
          <w:highlight w:val="none"/>
          <w:lang w:val="en-US" w:eastAsia="zh-CN"/>
        </w:rPr>
        <w:t>553.33</w:t>
      </w:r>
      <w:r>
        <w:rPr>
          <w:rFonts w:hint="eastAsia" w:ascii="宋体" w:hAnsi="宋体" w:eastAsia="宋体" w:cs="宋体"/>
          <w:sz w:val="32"/>
          <w:szCs w:val="32"/>
          <w:highlight w:val="none"/>
        </w:rPr>
        <w:t>万元，比上年决算数</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8.7</w:t>
      </w:r>
      <w:r>
        <w:rPr>
          <w:rFonts w:hint="eastAsia" w:ascii="宋体" w:hAnsi="宋体" w:eastAsia="宋体" w:cs="宋体"/>
          <w:sz w:val="32"/>
          <w:szCs w:val="32"/>
          <w:highlight w:val="none"/>
        </w:rPr>
        <w:t>万元，降低</w:t>
      </w:r>
      <w:r>
        <w:rPr>
          <w:rFonts w:hint="eastAsia" w:ascii="宋体" w:hAnsi="宋体" w:eastAsia="宋体" w:cs="宋体"/>
          <w:sz w:val="32"/>
          <w:szCs w:val="32"/>
          <w:highlight w:val="none"/>
          <w:lang w:val="en-US" w:eastAsia="zh-CN"/>
        </w:rPr>
        <w:t>1.57</w:t>
      </w:r>
      <w:r>
        <w:rPr>
          <w:rFonts w:ascii="宋体" w:hAnsi="宋体" w:eastAsia="宋体" w:cs="宋体"/>
          <w:sz w:val="32"/>
          <w:szCs w:val="32"/>
          <w:highlight w:val="none"/>
        </w:rPr>
        <w:t>%</w:t>
      </w:r>
      <w:r>
        <w:rPr>
          <w:rFonts w:hint="eastAsia" w:ascii="宋体" w:hAnsi="宋体" w:eastAsia="宋体" w:cs="宋体"/>
          <w:sz w:val="32"/>
          <w:szCs w:val="32"/>
          <w:highlight w:val="none"/>
        </w:rPr>
        <w:t>。主要原因是：</w:t>
      </w:r>
      <w:r>
        <w:rPr>
          <w:rFonts w:hint="eastAsia" w:ascii="宋体" w:hAnsi="宋体" w:eastAsia="宋体" w:cs="宋体"/>
          <w:sz w:val="32"/>
          <w:szCs w:val="32"/>
          <w:highlight w:val="none"/>
          <w:lang w:eastAsia="zh-CN"/>
        </w:rPr>
        <w:t>略微浮动</w:t>
      </w:r>
      <w:r>
        <w:rPr>
          <w:rFonts w:hint="eastAsia" w:ascii="宋体" w:hAnsi="宋体" w:eastAsia="宋体" w:cs="宋体"/>
          <w:sz w:val="32"/>
          <w:szCs w:val="32"/>
          <w:highlight w:val="none"/>
        </w:rPr>
        <w:t>。</w:t>
      </w:r>
    </w:p>
    <w:p>
      <w:pPr>
        <w:pStyle w:val="2"/>
        <w:rPr>
          <w:rFonts w:hAnsi="黑体" w:cs="Times New Roman"/>
          <w:b/>
          <w:bCs/>
          <w:sz w:val="32"/>
          <w:szCs w:val="32"/>
          <w:highlight w:val="none"/>
        </w:rPr>
      </w:pPr>
      <w:r>
        <w:rPr>
          <w:rFonts w:hint="eastAsia" w:hAnsi="黑体"/>
          <w:b/>
          <w:bCs/>
          <w:sz w:val="32"/>
          <w:szCs w:val="32"/>
          <w:highlight w:val="none"/>
        </w:rPr>
        <w:t>十、一般性支出情况</w:t>
      </w:r>
    </w:p>
    <w:p>
      <w:pPr>
        <w:pStyle w:val="2"/>
        <w:ind w:firstLine="640" w:firstLineChars="200"/>
        <w:rPr>
          <w:rFonts w:ascii="宋体" w:hAnsi="宋体" w:eastAsia="宋体" w:cs="宋体"/>
          <w:color w:val="FF0000"/>
          <w:sz w:val="32"/>
          <w:szCs w:val="32"/>
          <w:highlight w:val="none"/>
        </w:rPr>
      </w:pPr>
      <w:r>
        <w:rPr>
          <w:rFonts w:hint="eastAsia" w:ascii="宋体" w:hAnsi="宋体" w:eastAsia="宋体" w:cs="宋体"/>
          <w:sz w:val="32"/>
          <w:szCs w:val="32"/>
          <w:highlight w:val="none"/>
          <w:lang w:eastAsia="zh-CN"/>
        </w:rPr>
        <w:t>2021</w:t>
      </w:r>
      <w:r>
        <w:rPr>
          <w:rFonts w:hint="eastAsia" w:ascii="宋体" w:hAnsi="宋体" w:eastAsia="宋体" w:cs="宋体"/>
          <w:sz w:val="32"/>
          <w:szCs w:val="32"/>
          <w:highlight w:val="none"/>
        </w:rPr>
        <w:t>年本部门开支会议费</w:t>
      </w:r>
      <w:r>
        <w:rPr>
          <w:rFonts w:hint="eastAsia" w:ascii="宋体" w:hAnsi="宋体" w:eastAsia="宋体" w:cs="宋体"/>
          <w:sz w:val="32"/>
          <w:szCs w:val="32"/>
          <w:highlight w:val="none"/>
          <w:lang w:val="en-US" w:eastAsia="zh-CN"/>
        </w:rPr>
        <w:t>17.40</w:t>
      </w:r>
      <w:r>
        <w:rPr>
          <w:rFonts w:hint="eastAsia" w:ascii="宋体" w:hAnsi="宋体" w:eastAsia="宋体" w:cs="宋体"/>
          <w:sz w:val="32"/>
          <w:szCs w:val="32"/>
          <w:highlight w:val="none"/>
        </w:rPr>
        <w:t>万元，用于召开村干部会议，人大会等。开支培训费</w:t>
      </w:r>
      <w:r>
        <w:rPr>
          <w:rFonts w:hint="eastAsia" w:ascii="宋体" w:hAnsi="宋体" w:eastAsia="宋体" w:cs="宋体"/>
          <w:sz w:val="32"/>
          <w:szCs w:val="32"/>
          <w:highlight w:val="none"/>
          <w:lang w:val="en-US" w:eastAsia="zh-CN"/>
        </w:rPr>
        <w:t>5.90</w:t>
      </w:r>
      <w:r>
        <w:rPr>
          <w:rFonts w:hint="eastAsia" w:ascii="宋体" w:hAnsi="宋体" w:eastAsia="宋体" w:cs="宋体"/>
          <w:sz w:val="32"/>
          <w:szCs w:val="32"/>
          <w:highlight w:val="none"/>
        </w:rPr>
        <w:t>万元，用于开展单位各类业务培训；</w:t>
      </w:r>
    </w:p>
    <w:p>
      <w:pPr>
        <w:pStyle w:val="2"/>
        <w:rPr>
          <w:rFonts w:hAnsi="黑体" w:cs="Times New Roman"/>
          <w:b/>
          <w:bCs/>
          <w:sz w:val="32"/>
          <w:szCs w:val="32"/>
          <w:highlight w:val="none"/>
        </w:rPr>
      </w:pPr>
      <w:r>
        <w:rPr>
          <w:rFonts w:hint="eastAsia" w:hAnsi="黑体"/>
          <w:b/>
          <w:bCs/>
          <w:sz w:val="32"/>
          <w:szCs w:val="32"/>
          <w:highlight w:val="none"/>
        </w:rPr>
        <w:t>十一、关于政府采购支出说明</w:t>
      </w:r>
    </w:p>
    <w:p>
      <w:pPr>
        <w:spacing w:line="600" w:lineRule="exact"/>
        <w:ind w:firstLine="640" w:firstLineChars="200"/>
        <w:rPr>
          <w:rFonts w:ascii="宋体" w:hAnsi="宋体" w:eastAsia="宋体" w:cs="Times New Roman"/>
          <w:color w:val="FF0000"/>
          <w:sz w:val="32"/>
          <w:szCs w:val="32"/>
          <w:highlight w:val="none"/>
        </w:rPr>
      </w:pPr>
      <w:r>
        <w:rPr>
          <w:rFonts w:hint="eastAsia" w:ascii="宋体" w:hAnsi="宋体" w:eastAsia="宋体" w:cs="宋体"/>
          <w:color w:val="000000"/>
          <w:kern w:val="0"/>
          <w:sz w:val="32"/>
          <w:szCs w:val="32"/>
          <w:highlight w:val="none"/>
          <w:lang w:val="en-US" w:eastAsia="zh-CN" w:bidi="ar-SA"/>
        </w:rPr>
        <w:t>本部门</w:t>
      </w:r>
      <w:r>
        <w:rPr>
          <w:rFonts w:hint="eastAsia" w:ascii="宋体" w:hAnsi="宋体" w:cs="宋体"/>
          <w:color w:val="000000"/>
          <w:kern w:val="0"/>
          <w:sz w:val="32"/>
          <w:szCs w:val="32"/>
          <w:highlight w:val="none"/>
          <w:lang w:val="en-US" w:eastAsia="zh-CN" w:bidi="ar-SA"/>
        </w:rPr>
        <w:t>2021</w:t>
      </w:r>
      <w:r>
        <w:rPr>
          <w:rFonts w:hint="eastAsia" w:ascii="宋体" w:hAnsi="宋体" w:eastAsia="宋体" w:cs="宋体"/>
          <w:color w:val="000000"/>
          <w:kern w:val="0"/>
          <w:sz w:val="32"/>
          <w:szCs w:val="32"/>
          <w:highlight w:val="none"/>
          <w:lang w:val="en-US" w:eastAsia="zh-CN" w:bidi="ar-SA"/>
        </w:rPr>
        <w:t>年度政府采购支出总额50万元，其中：政府采购货物支出36万元、政府采购服务支出14万元。授予中小企业合同金额10万元，占政府采购支出总额的20%</w:t>
      </w:r>
      <w:r>
        <w:rPr>
          <w:rFonts w:hint="eastAsia" w:ascii="宋体" w:hAnsi="宋体" w:cs="宋体"/>
          <w:color w:val="000000"/>
          <w:kern w:val="0"/>
          <w:sz w:val="32"/>
          <w:szCs w:val="32"/>
          <w:highlight w:val="none"/>
          <w:lang w:val="en-US" w:eastAsia="zh-CN" w:bidi="ar-SA"/>
        </w:rPr>
        <w:t>；</w:t>
      </w:r>
      <w:r>
        <w:rPr>
          <w:rFonts w:hint="eastAsia" w:ascii="宋体" w:hAnsi="宋体" w:eastAsia="宋体" w:cs="宋体"/>
          <w:color w:val="000000"/>
          <w:kern w:val="0"/>
          <w:sz w:val="32"/>
          <w:szCs w:val="32"/>
          <w:highlight w:val="none"/>
          <w:lang w:val="en-US" w:eastAsia="zh-CN" w:bidi="ar-SA"/>
        </w:rPr>
        <w:t>授予小微企业合同金额40万元，占政府采购支出总额的80%。（政府采购金额的计算口径为：本部门纳入</w:t>
      </w:r>
      <w:r>
        <w:rPr>
          <w:rFonts w:hint="eastAsia" w:ascii="宋体" w:hAnsi="宋体" w:cs="宋体"/>
          <w:color w:val="000000"/>
          <w:kern w:val="0"/>
          <w:sz w:val="32"/>
          <w:szCs w:val="32"/>
          <w:highlight w:val="none"/>
          <w:lang w:val="en-US" w:eastAsia="zh-CN" w:bidi="ar-SA"/>
        </w:rPr>
        <w:t>2021</w:t>
      </w:r>
      <w:r>
        <w:rPr>
          <w:rFonts w:hint="eastAsia" w:ascii="宋体" w:hAnsi="宋体" w:eastAsia="宋体" w:cs="宋体"/>
          <w:color w:val="000000"/>
          <w:kern w:val="0"/>
          <w:sz w:val="32"/>
          <w:szCs w:val="32"/>
          <w:highlight w:val="none"/>
          <w:lang w:val="en-US" w:eastAsia="zh-CN" w:bidi="ar-SA"/>
        </w:rPr>
        <w:t>年 度部门预算范围的各项政府采购支出金额之和，不包括涉密采购项目的支出金额）</w:t>
      </w:r>
    </w:p>
    <w:p>
      <w:pPr>
        <w:pStyle w:val="2"/>
        <w:rPr>
          <w:rFonts w:hAnsi="黑体" w:cs="Times New Roman"/>
          <w:b/>
          <w:bCs/>
          <w:sz w:val="32"/>
          <w:szCs w:val="32"/>
          <w:highlight w:val="none"/>
        </w:rPr>
      </w:pPr>
      <w:r>
        <w:rPr>
          <w:rFonts w:hint="eastAsia" w:hAnsi="黑体"/>
          <w:b/>
          <w:bCs/>
          <w:sz w:val="32"/>
          <w:szCs w:val="32"/>
          <w:highlight w:val="none"/>
        </w:rPr>
        <w:t>十二、关于国有资产占用情况说明</w:t>
      </w:r>
    </w:p>
    <w:p>
      <w:pPr>
        <w:pStyle w:val="2"/>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截至</w:t>
      </w:r>
      <w:r>
        <w:rPr>
          <w:rFonts w:hint="eastAsia" w:ascii="宋体" w:hAnsi="宋体" w:eastAsia="宋体" w:cs="宋体"/>
          <w:sz w:val="32"/>
          <w:szCs w:val="32"/>
          <w:highlight w:val="none"/>
          <w:lang w:eastAsia="zh-CN"/>
        </w:rPr>
        <w:t>2021</w:t>
      </w:r>
      <w:r>
        <w:rPr>
          <w:rFonts w:hint="eastAsia" w:ascii="宋体" w:hAnsi="宋体" w:eastAsia="宋体" w:cs="宋体"/>
          <w:sz w:val="32"/>
          <w:szCs w:val="32"/>
          <w:highlight w:val="none"/>
        </w:rPr>
        <w:t>年</w:t>
      </w:r>
      <w:r>
        <w:rPr>
          <w:rFonts w:ascii="宋体" w:hAnsi="宋体" w:eastAsia="宋体" w:cs="宋体"/>
          <w:sz w:val="32"/>
          <w:szCs w:val="32"/>
          <w:highlight w:val="none"/>
        </w:rPr>
        <w:t>12</w:t>
      </w:r>
      <w:r>
        <w:rPr>
          <w:rFonts w:hint="eastAsia" w:ascii="宋体" w:hAnsi="宋体" w:eastAsia="宋体" w:cs="宋体"/>
          <w:sz w:val="32"/>
          <w:szCs w:val="32"/>
          <w:highlight w:val="none"/>
        </w:rPr>
        <w:t>月</w:t>
      </w:r>
      <w:r>
        <w:rPr>
          <w:rFonts w:ascii="宋体" w:hAnsi="宋体" w:eastAsia="宋体" w:cs="宋体"/>
          <w:sz w:val="32"/>
          <w:szCs w:val="32"/>
          <w:highlight w:val="none"/>
        </w:rPr>
        <w:t>31</w:t>
      </w:r>
      <w:r>
        <w:rPr>
          <w:rFonts w:hint="eastAsia" w:ascii="宋体" w:hAnsi="宋体" w:eastAsia="宋体" w:cs="宋体"/>
          <w:sz w:val="32"/>
          <w:szCs w:val="32"/>
          <w:highlight w:val="none"/>
        </w:rPr>
        <w:t>日，本单位共有车辆</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辆，其中，执法执勤用车</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辆。单位价值</w:t>
      </w:r>
      <w:r>
        <w:rPr>
          <w:rFonts w:ascii="宋体" w:hAnsi="宋体" w:eastAsia="宋体" w:cs="宋体"/>
          <w:sz w:val="32"/>
          <w:szCs w:val="32"/>
          <w:highlight w:val="none"/>
        </w:rPr>
        <w:t>50</w:t>
      </w:r>
      <w:r>
        <w:rPr>
          <w:rFonts w:hint="eastAsia" w:ascii="宋体" w:hAnsi="宋体" w:eastAsia="宋体" w:cs="宋体"/>
          <w:sz w:val="32"/>
          <w:szCs w:val="32"/>
          <w:highlight w:val="none"/>
        </w:rPr>
        <w:t>万元以上通用设备0台（套）；单位价值</w:t>
      </w:r>
      <w:r>
        <w:rPr>
          <w:rFonts w:ascii="宋体" w:hAnsi="宋体" w:eastAsia="宋体" w:cs="宋体"/>
          <w:sz w:val="32"/>
          <w:szCs w:val="32"/>
          <w:highlight w:val="none"/>
        </w:rPr>
        <w:t>100</w:t>
      </w:r>
      <w:r>
        <w:rPr>
          <w:rFonts w:hint="eastAsia" w:ascii="宋体" w:hAnsi="宋体" w:eastAsia="宋体" w:cs="宋体"/>
          <w:sz w:val="32"/>
          <w:szCs w:val="32"/>
          <w:highlight w:val="none"/>
        </w:rPr>
        <w:t>万元以上专用设备0台（套）。</w:t>
      </w:r>
    </w:p>
    <w:p>
      <w:pPr>
        <w:pStyle w:val="2"/>
        <w:rPr>
          <w:rFonts w:hAnsi="黑体" w:cs="Times New Roman"/>
          <w:b/>
          <w:bCs/>
          <w:sz w:val="32"/>
          <w:szCs w:val="32"/>
          <w:highlight w:val="none"/>
        </w:rPr>
      </w:pPr>
      <w:r>
        <w:rPr>
          <w:rFonts w:hint="eastAsia" w:hAnsi="黑体"/>
          <w:b/>
          <w:bCs/>
          <w:sz w:val="32"/>
          <w:szCs w:val="32"/>
          <w:highlight w:val="none"/>
        </w:rPr>
        <w:t>十三、关于</w:t>
      </w:r>
      <w:r>
        <w:rPr>
          <w:rFonts w:hint="eastAsia" w:hAnsi="黑体"/>
          <w:b/>
          <w:bCs/>
          <w:sz w:val="32"/>
          <w:szCs w:val="32"/>
          <w:highlight w:val="none"/>
          <w:lang w:eastAsia="zh-CN"/>
        </w:rPr>
        <w:t>2021</w:t>
      </w:r>
      <w:r>
        <w:rPr>
          <w:rFonts w:hint="eastAsia" w:hAnsi="黑体"/>
          <w:b/>
          <w:bCs/>
          <w:sz w:val="32"/>
          <w:szCs w:val="32"/>
          <w:highlight w:val="none"/>
        </w:rPr>
        <w:t>年度预算绩效情况的说明</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FF0000"/>
          <w:spacing w:val="0"/>
          <w:sz w:val="24"/>
          <w:szCs w:val="24"/>
          <w:highlight w:val="none"/>
        </w:rPr>
      </w:pPr>
      <w:r>
        <w:rPr>
          <w:rFonts w:hint="eastAsia" w:ascii="宋体" w:hAnsi="宋体" w:eastAsia="宋体" w:cs="宋体"/>
          <w:sz w:val="32"/>
          <w:szCs w:val="32"/>
          <w:highlight w:val="none"/>
        </w:rPr>
        <w:t xml:space="preserve">  </w:t>
      </w:r>
      <w:r>
        <w:rPr>
          <w:rFonts w:hint="eastAsia" w:ascii="宋体" w:hAnsi="宋体" w:eastAsia="宋体" w:cs="宋体"/>
          <w:color w:val="000000"/>
          <w:kern w:val="0"/>
          <w:sz w:val="32"/>
          <w:szCs w:val="32"/>
          <w:highlight w:val="none"/>
          <w:lang w:val="en-US" w:eastAsia="zh-CN" w:bidi="ar-SA"/>
        </w:rPr>
        <w:t>本部门预算绩效管理开展情况于2021年6月份开始开展，其中绩效目标和绩效评价报告等严格按照上级业务部门要求进行相关业务处理，本部门预算绩效管理开展情况、绩效目标和绩效评价报告等按照财政绩效部门要求已公开。</w:t>
      </w:r>
    </w:p>
    <w:p>
      <w:pPr>
        <w:pStyle w:val="2"/>
        <w:ind w:right="-57" w:rightChars="-27"/>
        <w:rPr>
          <w:rFonts w:hint="eastAsia" w:ascii="宋体" w:hAnsi="宋体" w:eastAsia="宋体" w:cs="宋体"/>
          <w:sz w:val="32"/>
          <w:szCs w:val="32"/>
          <w:lang w:eastAsia="zh-CN"/>
        </w:rPr>
      </w:pPr>
    </w:p>
    <w:p>
      <w:pPr>
        <w:pStyle w:val="2"/>
        <w:jc w:val="center"/>
        <w:rPr>
          <w:rFonts w:cs="Times New Roman"/>
          <w:sz w:val="72"/>
          <w:szCs w:val="72"/>
        </w:rPr>
      </w:pPr>
    </w:p>
    <w:p>
      <w:pPr>
        <w:pStyle w:val="2"/>
        <w:jc w:val="center"/>
        <w:rPr>
          <w:rFonts w:cs="Times New Roman"/>
          <w:sz w:val="72"/>
          <w:szCs w:val="72"/>
        </w:rPr>
      </w:pPr>
    </w:p>
    <w:p>
      <w:pPr>
        <w:pStyle w:val="2"/>
        <w:jc w:val="center"/>
        <w:rPr>
          <w:rFonts w:cs="Times New Roman"/>
          <w:sz w:val="72"/>
          <w:szCs w:val="72"/>
        </w:rPr>
      </w:pPr>
    </w:p>
    <w:p>
      <w:pPr>
        <w:pStyle w:val="2"/>
        <w:jc w:val="center"/>
        <w:rPr>
          <w:rFonts w:cs="Times New Roman"/>
          <w:sz w:val="72"/>
          <w:szCs w:val="72"/>
        </w:rPr>
      </w:pPr>
    </w:p>
    <w:p>
      <w:pPr>
        <w:pStyle w:val="2"/>
        <w:jc w:val="center"/>
        <w:rPr>
          <w:rFonts w:cs="Times New Roman"/>
          <w:sz w:val="72"/>
          <w:szCs w:val="72"/>
        </w:rPr>
      </w:pPr>
    </w:p>
    <w:p>
      <w:pPr>
        <w:pStyle w:val="2"/>
        <w:jc w:val="center"/>
        <w:rPr>
          <w:rFonts w:cs="Times New Roman"/>
          <w:sz w:val="72"/>
          <w:szCs w:val="72"/>
        </w:rPr>
      </w:pPr>
    </w:p>
    <w:p>
      <w:pPr>
        <w:pStyle w:val="2"/>
        <w:jc w:val="center"/>
        <w:rPr>
          <w:rFonts w:cs="Times New Roman"/>
          <w:sz w:val="72"/>
          <w:szCs w:val="72"/>
        </w:rPr>
      </w:pPr>
    </w:p>
    <w:p>
      <w:pPr>
        <w:pStyle w:val="2"/>
        <w:jc w:val="center"/>
        <w:rPr>
          <w:rFonts w:cs="Times New Roman"/>
          <w:sz w:val="72"/>
          <w:szCs w:val="72"/>
        </w:rPr>
      </w:pPr>
    </w:p>
    <w:p>
      <w:pPr>
        <w:pStyle w:val="2"/>
        <w:jc w:val="center"/>
        <w:rPr>
          <w:rFonts w:cs="Times New Roman"/>
          <w:sz w:val="72"/>
          <w:szCs w:val="72"/>
        </w:rPr>
      </w:pPr>
    </w:p>
    <w:p>
      <w:pPr>
        <w:pStyle w:val="2"/>
        <w:jc w:val="both"/>
        <w:rPr>
          <w:rFonts w:cs="Times New Roman"/>
          <w:sz w:val="72"/>
          <w:szCs w:val="72"/>
        </w:rPr>
      </w:pPr>
    </w:p>
    <w:p>
      <w:pPr>
        <w:pStyle w:val="2"/>
        <w:jc w:val="both"/>
        <w:rPr>
          <w:rFonts w:cs="Times New Roman"/>
          <w:sz w:val="72"/>
          <w:szCs w:val="72"/>
        </w:rPr>
      </w:pPr>
    </w:p>
    <w:p>
      <w:pPr>
        <w:pStyle w:val="2"/>
        <w:jc w:val="center"/>
        <w:rPr>
          <w:rFonts w:cs="Times New Roman"/>
          <w:sz w:val="72"/>
          <w:szCs w:val="72"/>
        </w:rPr>
      </w:pPr>
    </w:p>
    <w:p>
      <w:pPr>
        <w:pStyle w:val="2"/>
        <w:jc w:val="center"/>
        <w:rPr>
          <w:rFonts w:ascii="宋体" w:hAnsi="宋体" w:eastAsia="宋体" w:cs="宋体"/>
          <w:sz w:val="72"/>
          <w:szCs w:val="72"/>
        </w:rPr>
      </w:pPr>
      <w:r>
        <w:rPr>
          <w:rFonts w:hint="eastAsia" w:ascii="宋体" w:hAnsi="宋体" w:eastAsia="宋体" w:cs="宋体"/>
          <w:sz w:val="72"/>
          <w:szCs w:val="72"/>
        </w:rPr>
        <w:t>第四部分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一、基本支出：指单位为保障机构正常运转、完成日常工作任务而发生的各项支出（包括基本工资、津贴补贴等）和公用支出（包括办公费、邮电费、差旅费及印刷费）。</w:t>
      </w:r>
    </w:p>
    <w:p>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二、项目支出：指单位为完成特定的行政工作任务或事业发展目标，在基本支出之外发生的各项支出。</w:t>
      </w:r>
    </w:p>
    <w:p>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三、“三公”经费：指因公出国（境）经费、公务用车购置及运行维护费、公务接待费。其中：因公出国（境）经费指公务出国（境）的住宿费、旅费、伙食补助费、杂费、培训费等支出；公务用车购置及运行费反映单位公务用车车辆购置支出（含车辆购置税）及租用费、燃料费、维修费、过桥过路费、保险费等支出；公务接待费反映单位按规定开支的各类公务接待支出。</w:t>
      </w:r>
    </w:p>
    <w:p>
      <w:pPr>
        <w:widowControl/>
        <w:ind w:firstLine="960" w:firstLineChars="300"/>
        <w:jc w:val="left"/>
        <w:rPr>
          <w:rFonts w:ascii="宋体" w:cs="Times New Roman"/>
          <w:color w:val="000000"/>
          <w:kern w:val="0"/>
          <w:sz w:val="32"/>
          <w:szCs w:val="32"/>
        </w:rPr>
      </w:pPr>
      <w:r>
        <w:rPr>
          <w:rFonts w:hint="eastAsia" w:ascii="宋体" w:hAnsi="宋体" w:cs="宋体"/>
          <w:color w:val="000000"/>
          <w:kern w:val="0"/>
          <w:sz w:val="32"/>
          <w:szCs w:val="32"/>
        </w:rPr>
        <w:t>四、机关运行经费：行政单位（包括参照公务员法管理的事业单位）一般公共预算财政拨款基本支出中的公用支出，包 括办公费、邮电费、差旅费及印刷费等。</w:t>
      </w:r>
    </w:p>
    <w:p>
      <w:pPr>
        <w:pStyle w:val="2"/>
        <w:jc w:val="center"/>
        <w:rPr>
          <w:rFonts w:cs="Times New Roman"/>
          <w:sz w:val="72"/>
          <w:szCs w:val="72"/>
        </w:rPr>
      </w:pPr>
    </w:p>
    <w:p>
      <w:pPr>
        <w:pStyle w:val="2"/>
        <w:jc w:val="center"/>
        <w:rPr>
          <w:rFonts w:cs="Times New Roman"/>
          <w:sz w:val="72"/>
          <w:szCs w:val="72"/>
        </w:rPr>
      </w:pPr>
    </w:p>
    <w:p>
      <w:pPr>
        <w:pStyle w:val="2"/>
        <w:jc w:val="center"/>
        <w:rPr>
          <w:rFonts w:cs="Times New Roman"/>
          <w:sz w:val="72"/>
          <w:szCs w:val="72"/>
        </w:rPr>
      </w:pPr>
    </w:p>
    <w:p>
      <w:pPr>
        <w:pStyle w:val="2"/>
        <w:jc w:val="center"/>
        <w:rPr>
          <w:rFonts w:cs="Times New Roman"/>
          <w:sz w:val="72"/>
          <w:szCs w:val="72"/>
        </w:rPr>
      </w:pPr>
    </w:p>
    <w:p>
      <w:pPr>
        <w:pStyle w:val="2"/>
        <w:ind w:firstLine="2880" w:firstLineChars="400"/>
        <w:rPr>
          <w:rFonts w:hint="eastAsia" w:ascii="宋体" w:hAnsi="宋体" w:eastAsia="宋体" w:cs="宋体"/>
          <w:sz w:val="72"/>
          <w:szCs w:val="72"/>
        </w:rPr>
      </w:pPr>
    </w:p>
    <w:p>
      <w:pPr>
        <w:pStyle w:val="2"/>
        <w:ind w:firstLine="2880" w:firstLineChars="400"/>
        <w:rPr>
          <w:rFonts w:hint="eastAsia" w:ascii="宋体" w:hAnsi="宋体" w:eastAsia="宋体" w:cs="宋体"/>
          <w:sz w:val="72"/>
          <w:szCs w:val="72"/>
        </w:rPr>
      </w:pPr>
    </w:p>
    <w:p>
      <w:pPr>
        <w:pStyle w:val="2"/>
        <w:ind w:firstLine="2880" w:firstLineChars="400"/>
        <w:rPr>
          <w:rFonts w:hint="eastAsia" w:ascii="宋体" w:hAnsi="宋体" w:eastAsia="宋体" w:cs="宋体"/>
          <w:sz w:val="72"/>
          <w:szCs w:val="72"/>
        </w:rPr>
      </w:pPr>
    </w:p>
    <w:p>
      <w:pPr>
        <w:pStyle w:val="2"/>
        <w:ind w:firstLine="2880" w:firstLineChars="400"/>
        <w:rPr>
          <w:rFonts w:ascii="宋体" w:hAnsi="宋体" w:eastAsia="宋体" w:cs="宋体"/>
          <w:sz w:val="72"/>
          <w:szCs w:val="72"/>
        </w:rPr>
      </w:pPr>
      <w:r>
        <w:rPr>
          <w:rFonts w:hint="eastAsia" w:ascii="宋体" w:hAnsi="宋体" w:eastAsia="宋体" w:cs="宋体"/>
          <w:sz w:val="72"/>
          <w:szCs w:val="72"/>
        </w:rPr>
        <w:t>第五部分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widowControl/>
        <w:ind w:firstLine="964" w:firstLineChars="300"/>
        <w:jc w:val="left"/>
        <w:rPr>
          <w:rFonts w:ascii="黑体" w:eastAsia="黑体" w:cs="Times New Roman"/>
          <w:color w:val="000000"/>
          <w:kern w:val="0"/>
          <w:sz w:val="70"/>
          <w:szCs w:val="70"/>
        </w:rPr>
      </w:pPr>
      <w:r>
        <w:rPr>
          <w:rFonts w:hint="eastAsia" w:ascii="宋体" w:hAnsi="宋体" w:cs="宋体"/>
          <w:b/>
          <w:bCs/>
          <w:color w:val="000000"/>
          <w:kern w:val="0"/>
          <w:sz w:val="32"/>
          <w:szCs w:val="32"/>
          <w:lang w:eastAsia="zh-CN"/>
        </w:rPr>
        <w:t>2021</w:t>
      </w:r>
      <w:r>
        <w:rPr>
          <w:rFonts w:hint="eastAsia" w:ascii="宋体" w:hAnsi="宋体" w:cs="宋体"/>
          <w:b/>
          <w:bCs/>
          <w:color w:val="000000"/>
          <w:kern w:val="0"/>
          <w:sz w:val="32"/>
          <w:szCs w:val="32"/>
        </w:rPr>
        <w:t>年度部门整体支出绩效评价报告</w:t>
      </w: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rPr>
          <w:rFonts w:ascii="宋体" w:hAnsi="宋体" w:cs="宋体"/>
          <w:b/>
          <w:color w:val="000000"/>
          <w:kern w:val="0"/>
          <w:sz w:val="32"/>
          <w:szCs w:val="32"/>
        </w:rPr>
      </w:pPr>
    </w:p>
    <w:p>
      <w:pPr>
        <w:spacing w:line="576" w:lineRule="exact"/>
        <w:jc w:val="center"/>
        <w:rPr>
          <w:rFonts w:hint="eastAsia" w:ascii="仿宋" w:hAnsi="仿宋" w:eastAsia="仿宋" w:cs="方正小标宋简体"/>
          <w:sz w:val="44"/>
          <w:szCs w:val="44"/>
        </w:rPr>
      </w:pPr>
      <w:r>
        <w:rPr>
          <w:rFonts w:hint="eastAsia" w:ascii="仿宋" w:hAnsi="仿宋" w:eastAsia="仿宋" w:cs="方正小标宋简体"/>
          <w:sz w:val="44"/>
          <w:szCs w:val="44"/>
        </w:rPr>
        <w:t>湘潭县锦石乡人民政府</w:t>
      </w:r>
    </w:p>
    <w:p>
      <w:pPr>
        <w:spacing w:line="576" w:lineRule="exact"/>
        <w:jc w:val="center"/>
        <w:rPr>
          <w:rFonts w:ascii="仿宋" w:hAnsi="仿宋" w:eastAsia="仿宋" w:cs="方正小标宋简体"/>
          <w:szCs w:val="32"/>
        </w:rPr>
      </w:pPr>
      <w:r>
        <w:rPr>
          <w:rFonts w:hint="eastAsia" w:ascii="仿宋" w:hAnsi="仿宋" w:eastAsia="仿宋" w:cs="方正小标宋简体"/>
          <w:bCs/>
          <w:sz w:val="44"/>
          <w:szCs w:val="44"/>
        </w:rPr>
        <w:t>部门整体支出绩效评价报告</w:t>
      </w:r>
    </w:p>
    <w:tbl>
      <w:tblPr>
        <w:tblStyle w:val="7"/>
        <w:tblW w:w="9452"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76"/>
        <w:gridCol w:w="7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09" w:type="dxa"/>
            <w:vMerge w:val="restart"/>
            <w:noWrap w:val="0"/>
            <w:vAlign w:val="top"/>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r>
              <w:rPr>
                <w:rFonts w:hint="eastAsia" w:ascii="仿宋_GB2312" w:hAnsi="仿宋" w:eastAsia="仿宋_GB2312" w:cs="方正小标宋简体"/>
                <w:sz w:val="24"/>
              </w:rPr>
              <w:t>部门概况</w:t>
            </w:r>
          </w:p>
        </w:tc>
        <w:tc>
          <w:tcPr>
            <w:tcW w:w="1276" w:type="dxa"/>
            <w:noWrap w:val="0"/>
            <w:vAlign w:val="center"/>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r>
              <w:rPr>
                <w:rFonts w:hint="eastAsia" w:ascii="仿宋_GB2312" w:hAnsi="仿宋" w:eastAsia="仿宋_GB2312" w:cs="方正小标宋简体"/>
                <w:sz w:val="24"/>
              </w:rPr>
              <w:t>单位名称</w:t>
            </w:r>
          </w:p>
        </w:tc>
        <w:tc>
          <w:tcPr>
            <w:tcW w:w="7467" w:type="dxa"/>
            <w:noWrap w:val="0"/>
            <w:vAlign w:val="center"/>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r>
              <w:rPr>
                <w:rFonts w:hint="eastAsia" w:ascii="仿宋_GB2312" w:eastAsia="仿宋_GB2312"/>
                <w:sz w:val="24"/>
              </w:rPr>
              <w:t xml:space="preserve">湘潭县锦石乡人民政府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09" w:type="dxa"/>
            <w:vMerge w:val="continue"/>
            <w:noWrap w:val="0"/>
            <w:vAlign w:val="top"/>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tc>
        <w:tc>
          <w:tcPr>
            <w:tcW w:w="1276" w:type="dxa"/>
            <w:noWrap w:val="0"/>
            <w:vAlign w:val="center"/>
          </w:tcPr>
          <w:p>
            <w:pPr>
              <w:keepNext w:val="0"/>
              <w:keepLines w:val="0"/>
              <w:suppressLineNumbers w:val="0"/>
              <w:autoSpaceDN w:val="0"/>
              <w:spacing w:before="0" w:beforeAutospacing="0" w:after="0" w:afterAutospacing="0" w:line="320" w:lineRule="exact"/>
              <w:ind w:left="0" w:right="0"/>
              <w:jc w:val="center"/>
              <w:textAlignment w:val="center"/>
              <w:rPr>
                <w:rFonts w:hint="eastAsia" w:ascii="仿宋_GB2312" w:hAnsi="仿宋" w:eastAsia="仿宋_GB2312" w:cs="方正小标宋简体"/>
                <w:sz w:val="24"/>
              </w:rPr>
            </w:pPr>
            <w:r>
              <w:rPr>
                <w:rFonts w:hint="eastAsia" w:ascii="仿宋_GB2312" w:hAnsi="仿宋_GB2312" w:eastAsia="仿宋_GB2312" w:cs="仿宋_GB2312"/>
                <w:color w:val="000000"/>
                <w:sz w:val="24"/>
              </w:rPr>
              <w:t>年度预算金额</w:t>
            </w:r>
          </w:p>
        </w:tc>
        <w:tc>
          <w:tcPr>
            <w:tcW w:w="7467" w:type="dxa"/>
            <w:noWrap w:val="0"/>
            <w:vAlign w:val="center"/>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r>
              <w:rPr>
                <w:rFonts w:hint="eastAsia" w:ascii="仿宋_GB2312" w:hAnsi="宋体" w:eastAsia="仿宋_GB2312"/>
                <w:sz w:val="28"/>
                <w:szCs w:val="28"/>
                <w:lang w:val="en-US" w:eastAsia="zh-CN"/>
              </w:rPr>
              <w:t>48,506,181.00</w:t>
            </w:r>
            <w:r>
              <w:rPr>
                <w:rFonts w:hint="eastAsia" w:ascii="仿宋_GB2312" w:eastAsia="仿宋_GB2312"/>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Merge w:val="continue"/>
            <w:noWrap w:val="0"/>
            <w:vAlign w:val="top"/>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tc>
        <w:tc>
          <w:tcPr>
            <w:tcW w:w="1276" w:type="dxa"/>
            <w:noWrap w:val="0"/>
            <w:vAlign w:val="center"/>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r>
              <w:rPr>
                <w:rFonts w:hint="eastAsia" w:ascii="仿宋_GB2312" w:hAnsi="仿宋" w:eastAsia="仿宋_GB2312" w:cs="方正小标宋简体"/>
                <w:sz w:val="24"/>
              </w:rPr>
              <w:t>主管部门</w:t>
            </w:r>
          </w:p>
        </w:tc>
        <w:tc>
          <w:tcPr>
            <w:tcW w:w="7467" w:type="dxa"/>
            <w:noWrap w:val="0"/>
            <w:vAlign w:val="center"/>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r>
              <w:rPr>
                <w:rFonts w:hint="eastAsia" w:ascii="仿宋_GB2312" w:hAnsi="仿宋" w:eastAsia="仿宋_GB2312" w:cs="方正小标宋简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trPr>
        <w:tc>
          <w:tcPr>
            <w:tcW w:w="709" w:type="dxa"/>
            <w:vMerge w:val="continue"/>
            <w:noWrap w:val="0"/>
            <w:vAlign w:val="top"/>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tc>
        <w:tc>
          <w:tcPr>
            <w:tcW w:w="1276" w:type="dxa"/>
            <w:noWrap w:val="0"/>
            <w:vAlign w:val="center"/>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r>
              <w:rPr>
                <w:rFonts w:hint="eastAsia" w:ascii="仿宋_GB2312" w:hAnsi="仿宋" w:eastAsia="仿宋_GB2312" w:cs="方正小标宋简体"/>
                <w:sz w:val="24"/>
              </w:rPr>
              <w:t>单位基本职能</w:t>
            </w:r>
          </w:p>
        </w:tc>
        <w:tc>
          <w:tcPr>
            <w:tcW w:w="7467" w:type="dxa"/>
            <w:noWrap w:val="0"/>
            <w:vAlign w:val="center"/>
          </w:tcPr>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1、在乡党委的领导下，贯彻执行党的路线、方针、政策和国家的各项法律、法规；负责乡辖区内的区性、群众性、公益性、社会性工作。</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2、负责精神文明建设工作，积极组织以提高民众素质为目的的活动，树立文明新风。</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3、按照职责范围，负责乡辖区内的建设和管理、环境卫生、环境保护等监督、管理、服务工作。</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4、负责乡辖区内的维护稳定及社会治安综合治理工作，依照有关规定做好出租屋和外来暂住人员的管理工作；负责民事调解，法律服务工作，维护居民的合法权益。</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5、负责村、居委会的建设和管理，积极开展乡区服务工作，大力兴办福利企业，发动和组织乡区成员开展各类公益活动；负责拥军优属、优抚安置、社会救济、社会福利、社区文化、科普、体育、教育等工作。</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6、发展乡区经济，为乡区经济组织提供人才、科技、信息和各类服务，以经济、法律和必要的行政手段推动乡区经济发展和维护市场经济秩序。</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7、负责计划生育、劳动就业、安全生产管理、初级卫生保健、民兵、兵役、侨务等工作。</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8、指导和帮助居民委员会搞好组织建设和制度建设，发挥居民委员会的群众自治组织作用。</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9、配合有关部门做好房屋拆迁、防汛、防风、防火、动物防疫、防震、防灾和抢险工作。</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10、向县人民政府反映居民群众的意见和要求，办理人民群众来信来访事项。</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11、负责辖区内普法教育工作，维护老人、妇女儿童的合法权益。</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12、负责辖区内安全生产和消防工作的指导、监督。</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13、会同有关部门做好辖区内的企业服务、在地统计工作。</w:t>
            </w:r>
          </w:p>
          <w:p>
            <w:pPr>
              <w:keepNext w:val="0"/>
              <w:keepLines w:val="0"/>
              <w:suppressLineNumbers w:val="0"/>
              <w:autoSpaceDN w:val="0"/>
              <w:spacing w:before="0" w:beforeAutospacing="0" w:after="0" w:afterAutospacing="0" w:line="320" w:lineRule="exact"/>
              <w:ind w:left="0" w:right="0"/>
              <w:jc w:val="left"/>
              <w:textAlignment w:val="center"/>
              <w:rPr>
                <w:rFonts w:hint="eastAsia" w:ascii="仿宋_GB2312" w:hAnsi="仿宋" w:eastAsia="仿宋_GB2312" w:cs="方正小标宋简体"/>
                <w:sz w:val="24"/>
              </w:rPr>
            </w:pPr>
            <w:r>
              <w:rPr>
                <w:rFonts w:hint="eastAsia" w:ascii="仿宋_GB2312" w:hAnsi="仿宋_GB2312" w:eastAsia="仿宋_GB2312" w:cs="仿宋_GB2312"/>
                <w:color w:val="000000"/>
                <w:sz w:val="24"/>
              </w:rPr>
              <w:t>14、承办乡党委和上级部门交办的其他事项。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709" w:type="dxa"/>
            <w:vMerge w:val="restart"/>
            <w:noWrap w:val="0"/>
            <w:vAlign w:val="top"/>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r>
              <w:rPr>
                <w:rFonts w:hint="eastAsia" w:ascii="仿宋_GB2312" w:hAnsi="仿宋" w:eastAsia="仿宋_GB2312" w:cs="方正小标宋简体"/>
                <w:sz w:val="24"/>
              </w:rPr>
              <w:t>绩效完成情况</w:t>
            </w:r>
          </w:p>
        </w:tc>
        <w:tc>
          <w:tcPr>
            <w:tcW w:w="1276" w:type="dxa"/>
            <w:noWrap w:val="0"/>
            <w:vAlign w:val="center"/>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r>
              <w:rPr>
                <w:rFonts w:hint="eastAsia" w:ascii="仿宋_GB2312" w:hAnsi="仿宋" w:eastAsia="仿宋_GB2312" w:cs="方正小标宋简体"/>
                <w:sz w:val="24"/>
              </w:rPr>
              <w:t>部门整体支出管理和使用基本情况</w:t>
            </w:r>
          </w:p>
        </w:tc>
        <w:tc>
          <w:tcPr>
            <w:tcW w:w="7467" w:type="dxa"/>
            <w:noWrap w:val="0"/>
            <w:vAlign w:val="center"/>
          </w:tcPr>
          <w:p>
            <w:pPr>
              <w:keepNext w:val="0"/>
              <w:keepLines w:val="0"/>
              <w:suppressLineNumbers w:val="0"/>
              <w:spacing w:before="0" w:beforeAutospacing="0" w:after="0" w:afterAutospacing="0"/>
              <w:ind w:left="0" w:right="0" w:firstLine="480" w:firstLineChars="200"/>
              <w:rPr>
                <w:rFonts w:hint="eastAsia" w:ascii="仿宋_GB2312" w:eastAsia="仿宋_GB2312"/>
                <w:sz w:val="24"/>
              </w:rPr>
            </w:pPr>
            <w:r>
              <w:rPr>
                <w:rFonts w:hint="eastAsia" w:ascii="仿宋_GB2312" w:hAnsi="仿宋_GB2312" w:eastAsia="仿宋_GB2312" w:cs="仿宋_GB2312"/>
                <w:color w:val="000000"/>
                <w:sz w:val="24"/>
              </w:rPr>
              <w:t>始终认真贯彻执行《</w:t>
            </w:r>
            <w:r>
              <w:rPr>
                <w:rFonts w:hint="eastAsia" w:ascii="仿宋_GB2312" w:hAnsi="仿宋_GB2312" w:eastAsia="仿宋_GB2312" w:cs="仿宋_GB2312"/>
                <w:color w:val="000000"/>
                <w:sz w:val="24"/>
                <w:lang w:eastAsia="zh-CN"/>
              </w:rPr>
              <w:t>中华人民共和国</w:t>
            </w:r>
            <w:r>
              <w:rPr>
                <w:rFonts w:hint="eastAsia" w:ascii="仿宋_GB2312" w:hAnsi="仿宋_GB2312" w:eastAsia="仿宋_GB2312" w:cs="仿宋_GB2312"/>
                <w:color w:val="000000"/>
                <w:sz w:val="24"/>
              </w:rPr>
              <w:t>会计法》、《</w:t>
            </w:r>
            <w:r>
              <w:rPr>
                <w:rFonts w:hint="eastAsia" w:ascii="仿宋_GB2312" w:hAnsi="仿宋_GB2312" w:eastAsia="仿宋_GB2312" w:cs="仿宋_GB2312"/>
                <w:color w:val="000000"/>
                <w:sz w:val="24"/>
                <w:lang w:eastAsia="zh-CN"/>
              </w:rPr>
              <w:t>中华人民共和国</w:t>
            </w:r>
            <w:r>
              <w:rPr>
                <w:rFonts w:hint="eastAsia" w:ascii="仿宋_GB2312" w:hAnsi="仿宋_GB2312" w:eastAsia="仿宋_GB2312" w:cs="仿宋_GB2312"/>
                <w:color w:val="000000"/>
                <w:sz w:val="24"/>
              </w:rPr>
              <w:t>预算法》、《行政单位会计制度》等法律法规，各项经费支出严格按照政府采购、国库集中支付等有关规定执行。同时我镇先后制订了《湘潭县锦石乡预算管理制度》、《湘潭县锦石乡政府采购管理办法》、《湘潭县锦石乡财务管理制度》、《湘潭县锦石乡支出管理制度》、《湘潭县锦石乡固定资产管理办法》等相关制度，明确了经费审批权限及程序，经费预算、核算管理、资产购置与处置、财务监督等。在“三公”经费管理方面，规范了公务接待的审批管理，较好地控制了行政运行成本。202</w:t>
            </w: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年部门整体支出</w:t>
            </w:r>
            <w:r>
              <w:rPr>
                <w:rFonts w:hint="eastAsia" w:ascii="仿宋_GB2312" w:hAnsi="仿宋_GB2312" w:eastAsia="仿宋_GB2312" w:cs="仿宋_GB2312"/>
                <w:color w:val="000000"/>
                <w:sz w:val="24"/>
                <w:lang w:val="en-US" w:eastAsia="zh-CN"/>
              </w:rPr>
              <w:t>3378.26</w:t>
            </w:r>
            <w:r>
              <w:rPr>
                <w:rFonts w:hint="eastAsia" w:ascii="仿宋_GB2312" w:hAnsi="仿宋_GB2312" w:eastAsia="仿宋_GB2312" w:cs="仿宋_GB2312"/>
                <w:color w:val="000000"/>
                <w:sz w:val="24"/>
              </w:rPr>
              <w:t>万元，支出按支出性质分类为：基本支出</w:t>
            </w:r>
            <w:r>
              <w:rPr>
                <w:rFonts w:hint="eastAsia" w:ascii="仿宋_GB2312" w:hAnsi="仿宋_GB2312" w:eastAsia="仿宋_GB2312" w:cs="仿宋_GB2312"/>
                <w:color w:val="000000"/>
                <w:sz w:val="24"/>
                <w:lang w:val="en-US" w:eastAsia="zh-CN"/>
              </w:rPr>
              <w:t>3378.26</w:t>
            </w:r>
            <w:r>
              <w:rPr>
                <w:rFonts w:hint="eastAsia" w:ascii="仿宋_GB2312" w:hAnsi="仿宋_GB2312" w:eastAsia="仿宋_GB2312" w:cs="仿宋_GB2312"/>
                <w:color w:val="000000"/>
                <w:sz w:val="24"/>
              </w:rPr>
              <w:t>万元（其中：人员经费</w:t>
            </w:r>
            <w:r>
              <w:rPr>
                <w:rFonts w:hint="eastAsia" w:ascii="仿宋_GB2312" w:hAnsi="仿宋_GB2312" w:eastAsia="仿宋_GB2312" w:cs="仿宋_GB2312"/>
                <w:color w:val="000000"/>
                <w:sz w:val="24"/>
                <w:lang w:val="en-US" w:eastAsia="zh-CN"/>
              </w:rPr>
              <w:t>1324.19</w:t>
            </w:r>
            <w:r>
              <w:rPr>
                <w:rFonts w:hint="eastAsia" w:ascii="仿宋_GB2312" w:hAnsi="仿宋_GB2312" w:eastAsia="仿宋_GB2312" w:cs="仿宋_GB2312"/>
                <w:color w:val="000000"/>
                <w:sz w:val="24"/>
              </w:rPr>
              <w:t>万元，日常公用经费</w:t>
            </w:r>
            <w:r>
              <w:rPr>
                <w:rFonts w:hint="eastAsia" w:ascii="仿宋_GB2312" w:hAnsi="仿宋_GB2312" w:eastAsia="仿宋_GB2312" w:cs="仿宋_GB2312"/>
                <w:color w:val="000000"/>
                <w:sz w:val="24"/>
                <w:lang w:val="en-US" w:eastAsia="zh-CN"/>
              </w:rPr>
              <w:t>2054.07</w:t>
            </w:r>
            <w:r>
              <w:rPr>
                <w:rFonts w:hint="eastAsia" w:ascii="仿宋_GB2312" w:hAnsi="仿宋_GB2312" w:eastAsia="仿宋_GB2312" w:cs="仿宋_GB2312"/>
                <w:color w:val="000000"/>
                <w:sz w:val="24"/>
              </w:rPr>
              <w:t>万元），无项目资金支出。支出按经济分类为：工资福利支出</w:t>
            </w:r>
            <w:r>
              <w:rPr>
                <w:rFonts w:hint="eastAsia" w:ascii="仿宋_GB2312" w:hAnsi="仿宋_GB2312" w:eastAsia="仿宋_GB2312" w:cs="仿宋_GB2312"/>
                <w:color w:val="000000"/>
                <w:sz w:val="24"/>
                <w:lang w:val="en-US" w:eastAsia="zh-CN"/>
              </w:rPr>
              <w:t>1055.20</w:t>
            </w:r>
            <w:r>
              <w:rPr>
                <w:rFonts w:hint="eastAsia" w:ascii="仿宋_GB2312" w:hAnsi="仿宋_GB2312" w:eastAsia="仿宋_GB2312" w:cs="仿宋_GB2312"/>
                <w:color w:val="000000"/>
                <w:sz w:val="24"/>
              </w:rPr>
              <w:t>万元，商品和服务支出</w:t>
            </w:r>
            <w:r>
              <w:rPr>
                <w:rFonts w:hint="eastAsia" w:ascii="仿宋_GB2312" w:hAnsi="仿宋_GB2312" w:eastAsia="仿宋_GB2312" w:cs="仿宋_GB2312"/>
                <w:color w:val="000000"/>
                <w:sz w:val="24"/>
                <w:lang w:val="en-US" w:eastAsia="zh-CN"/>
              </w:rPr>
              <w:t>2054.07</w:t>
            </w:r>
            <w:r>
              <w:rPr>
                <w:rFonts w:hint="eastAsia" w:ascii="仿宋_GB2312" w:hAnsi="仿宋_GB2312" w:eastAsia="仿宋_GB2312" w:cs="仿宋_GB2312"/>
                <w:color w:val="000000"/>
                <w:sz w:val="24"/>
              </w:rPr>
              <w:t>万元，对个人和家庭的补助</w:t>
            </w:r>
            <w:r>
              <w:rPr>
                <w:rFonts w:hint="eastAsia" w:ascii="仿宋_GB2312" w:hAnsi="仿宋_GB2312" w:eastAsia="仿宋_GB2312" w:cs="仿宋_GB2312"/>
                <w:color w:val="000000"/>
                <w:sz w:val="24"/>
                <w:lang w:val="en-US" w:eastAsia="zh-CN"/>
              </w:rPr>
              <w:t>268.99</w:t>
            </w:r>
            <w:r>
              <w:rPr>
                <w:rFonts w:hint="eastAsia" w:ascii="仿宋_GB2312" w:hAnsi="仿宋_GB2312" w:eastAsia="仿宋_GB2312" w:cs="仿宋_GB2312"/>
                <w:color w:val="000000"/>
                <w:sz w:val="24"/>
              </w:rPr>
              <w:t>万元，</w:t>
            </w:r>
            <w:r>
              <w:rPr>
                <w:rFonts w:hint="eastAsia" w:ascii="仿宋_GB2312" w:hAnsi="仿宋_GB2312" w:eastAsia="仿宋_GB2312" w:cs="仿宋_GB2312"/>
                <w:color w:val="000000"/>
                <w:sz w:val="24"/>
                <w:lang w:val="en-US" w:eastAsia="zh-CN"/>
              </w:rPr>
              <w:t>无</w:t>
            </w:r>
            <w:r>
              <w:rPr>
                <w:rFonts w:hint="eastAsia" w:ascii="仿宋_GB2312" w:hAnsi="仿宋_GB2312" w:eastAsia="仿宋_GB2312" w:cs="仿宋_GB2312"/>
                <w:color w:val="000000"/>
                <w:sz w:val="24"/>
              </w:rPr>
              <w:t>资本性支出</w:t>
            </w:r>
            <w:r>
              <w:rPr>
                <w:rFonts w:hint="eastAsia" w:ascii="仿宋_GB2312" w:hAnsi="仿宋_GB2312" w:eastAsia="仿宋_GB2312" w:cs="仿宋_GB2312"/>
                <w:color w:val="000000"/>
                <w:sz w:val="24"/>
                <w:lang w:val="en-US" w:eastAsia="zh-CN"/>
              </w:rPr>
              <w:t>,</w:t>
            </w: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年“三公”经费</w:t>
            </w:r>
            <w:r>
              <w:rPr>
                <w:rFonts w:hint="eastAsia" w:ascii="仿宋_GB2312" w:hAnsi="仿宋_GB2312" w:eastAsia="仿宋_GB2312" w:cs="仿宋_GB2312"/>
                <w:color w:val="000000"/>
                <w:sz w:val="24"/>
                <w:lang w:eastAsia="zh-CN"/>
              </w:rPr>
              <w:t>支出无</w:t>
            </w: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709" w:type="dxa"/>
            <w:vMerge w:val="continue"/>
            <w:noWrap w:val="0"/>
            <w:vAlign w:val="top"/>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tc>
        <w:tc>
          <w:tcPr>
            <w:tcW w:w="1276" w:type="dxa"/>
            <w:noWrap w:val="0"/>
            <w:vAlign w:val="center"/>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r>
              <w:rPr>
                <w:rFonts w:hint="eastAsia" w:ascii="仿宋_GB2312" w:hAnsi="仿宋" w:eastAsia="仿宋_GB2312" w:cs="方正小标宋简体"/>
                <w:sz w:val="24"/>
              </w:rPr>
              <w:t>绩效目标完成情况</w:t>
            </w:r>
          </w:p>
        </w:tc>
        <w:tc>
          <w:tcPr>
            <w:tcW w:w="7467" w:type="dxa"/>
            <w:noWrap w:val="0"/>
            <w:vAlign w:val="center"/>
          </w:tcPr>
          <w:p>
            <w:pPr>
              <w:keepNext w:val="0"/>
              <w:keepLines w:val="0"/>
              <w:suppressLineNumbers w:val="0"/>
              <w:spacing w:before="0" w:beforeAutospacing="0" w:after="0" w:afterAutospacing="0"/>
              <w:ind w:left="0" w:right="0"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2021年在县委、县政府的正确领导下，在新时代中国特色社会主义思想的引领下，乡党委、政府抢抓“乡村振兴”战略机遇，以碧泉潭现代农业示范园为核心，重点突出“抓建设，强基础，谋发展，改民生，保稳定”，努力开创全面建成小康社会的新局面，加快推进乡域经济高质量发展。</w:t>
            </w:r>
          </w:p>
          <w:p>
            <w:pPr>
              <w:keepNext w:val="0"/>
              <w:keepLines w:val="0"/>
              <w:suppressLineNumbers w:val="0"/>
              <w:spacing w:before="0" w:beforeAutospacing="0" w:after="0" w:afterAutospacing="0"/>
              <w:ind w:left="0" w:right="0"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1.强抓政治建设，提高履职能力。乡党委始终坚持把政治建设摆在首位，深入学习</w:t>
            </w:r>
            <w:r>
              <w:rPr>
                <w:rFonts w:hint="eastAsia" w:ascii="仿宋_GB2312" w:hAnsi="仿宋_GB2312" w:eastAsia="仿宋_GB2312" w:cs="仿宋_GB2312"/>
                <w:color w:val="000000"/>
                <w:sz w:val="24"/>
                <w:lang w:eastAsia="zh-CN"/>
              </w:rPr>
              <w:t>贯彻</w:t>
            </w:r>
            <w:r>
              <w:rPr>
                <w:rFonts w:hint="eastAsia" w:ascii="仿宋_GB2312" w:hAnsi="仿宋_GB2312" w:eastAsia="仿宋_GB2312" w:cs="仿宋_GB2312"/>
                <w:color w:val="000000"/>
                <w:sz w:val="24"/>
              </w:rPr>
              <w:t>党的十九大、十九届五中、六中全会精神及习近平总书记在庆祝中国共产党成立100周年大会上重要讲话精神、市第十三次党代会报告等重要讲话精神，组织党委理论</w:t>
            </w:r>
            <w:r>
              <w:rPr>
                <w:rFonts w:hint="eastAsia" w:ascii="仿宋_GB2312" w:hAnsi="仿宋_GB2312" w:eastAsia="仿宋_GB2312" w:cs="仿宋_GB2312"/>
                <w:color w:val="000000"/>
                <w:sz w:val="24"/>
                <w:lang w:eastAsia="zh-CN"/>
              </w:rPr>
              <w:t>学习</w:t>
            </w:r>
            <w:r>
              <w:rPr>
                <w:rFonts w:hint="eastAsia" w:ascii="仿宋_GB2312" w:hAnsi="仿宋_GB2312" w:eastAsia="仿宋_GB2312" w:cs="仿宋_GB2312"/>
                <w:color w:val="000000"/>
                <w:sz w:val="24"/>
              </w:rPr>
              <w:t>中心组</w:t>
            </w:r>
            <w:bookmarkStart w:id="3" w:name="_GoBack"/>
            <w:bookmarkEnd w:id="3"/>
            <w:r>
              <w:rPr>
                <w:rFonts w:hint="eastAsia" w:ascii="仿宋_GB2312" w:hAnsi="仿宋_GB2312" w:eastAsia="仿宋_GB2312" w:cs="仿宋_GB2312"/>
                <w:color w:val="000000"/>
                <w:sz w:val="24"/>
              </w:rPr>
              <w:t>学习（含扩大）12次，邀请党的理论政策宣讲员在各村进行了全覆盖理论政策宣讲，举办党组织书记、第一书记、党员代表等讲党课80余堂，大力开展“我为群众办实事”实践活动，解决群众急难盼愁问题50余件。</w:t>
            </w:r>
          </w:p>
          <w:p>
            <w:pPr>
              <w:keepNext w:val="0"/>
              <w:keepLines w:val="0"/>
              <w:suppressLineNumbers w:val="0"/>
              <w:spacing w:before="0" w:beforeAutospacing="0" w:after="0" w:afterAutospacing="0"/>
              <w:ind w:left="0" w:right="0"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夯实基础，凝聚乡村振兴合力。通过压实各村党组织书记责任和职能部门负责人责任，并选派33名优秀干部到11个村担任第一书记和乡村振兴工作队员，高位统筹推进工作，为全面推进乡村振兴战略提供坚强组织保证和干部人才支持。在今年的疫情防控、疫苗接种和防溺水工作中，驻村工作队和村干部齐心协力打赢了疫情防控阻击战，赢得人民群众的一致好评，新冠疫苗第一针接种工作在全县排在榜首，防溺水工作得到了市领导的充分肯定。</w:t>
            </w:r>
          </w:p>
          <w:p>
            <w:pPr>
              <w:keepNext w:val="0"/>
              <w:keepLines w:val="0"/>
              <w:suppressLineNumbers w:val="0"/>
              <w:spacing w:before="0" w:beforeAutospacing="0" w:after="0" w:afterAutospacing="0"/>
              <w:ind w:left="0" w:right="0"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稳步发展，村集体经济快速壮大。一是今年已完成固定资产投资2亿元；二是在现代农业示范园建设带动下，全乡发展水稻种植、龙虾养殖等27个专业合作社和39个家庭农场，成功申报省级示范家庭农场1家，市级专业示范合作社4家。三是充分利用唐家湖湿地优势，种植莲藕、荸荠等经济作物200余亩，总产值达100余万元。四是以农村集体产权制度改革为抓手，努力盘活现有村集资产，通过多种方式参与市场，不断增加村集体经济收入，到目前，全乡11个村均实现集体经济收破零。碧泉村通过与华绿公司、碧泉潭生态资源开发有限公司等企业合作，今年村集体经济年收入达50万元；文佳村、清塘村、金湖村村集体收入均突破10万。</w:t>
            </w:r>
          </w:p>
          <w:p>
            <w:pPr>
              <w:keepNext w:val="0"/>
              <w:keepLines w:val="0"/>
              <w:suppressLineNumbers w:val="0"/>
              <w:spacing w:before="0" w:beforeAutospacing="0" w:after="0" w:afterAutospacing="0"/>
              <w:ind w:left="0" w:right="0"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激活内动力，提升农村人居环境品质。一是“户分类、村收集、乡转运、县处理”垃圾处理模式已全覆盖，村垃圾治理付费制全面实施，专人定时上户收集转运。人民日报10月份到锦石乡进行了专访，通过头版头条在全国进行宣传。二是通过充分发动群众，自愿参与、自主规划、自主建设、自主管理、自主发展，建设了成片的美丽屋场，打造出“金湖模式”，并多次与周边乡镇、县交流学习。</w:t>
            </w:r>
          </w:p>
          <w:p>
            <w:pPr>
              <w:keepNext w:val="0"/>
              <w:keepLines w:val="0"/>
              <w:suppressLineNumbers w:val="0"/>
              <w:spacing w:before="0" w:beforeAutospacing="0" w:after="0" w:afterAutospacing="0"/>
              <w:ind w:left="0" w:right="0" w:firstLine="480" w:firstLineChars="200"/>
              <w:rPr>
                <w:rFonts w:hint="eastAsia" w:ascii="仿宋_GB2312" w:eastAsia="仿宋_GB2312"/>
                <w:sz w:val="24"/>
              </w:rPr>
            </w:pPr>
            <w:r>
              <w:rPr>
                <w:rFonts w:hint="eastAsia" w:ascii="仿宋_GB2312" w:hAnsi="仿宋_GB2312" w:eastAsia="仿宋_GB2312" w:cs="仿宋_GB2312"/>
                <w:color w:val="000000"/>
                <w:sz w:val="24"/>
              </w:rPr>
              <w:t>5.依法行政，法治政府建设突显成效。乡党委政府高度重视综合行政执法工作，强化执法队伍建设，配优配齐乡综合行政执法大队的力量，充分发挥其职能职责，加强执法人员培训，形成日常监督管理相关制度。乡综合行政执法大队的乡镇执法工作经验被湖南日报、市电视台报道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9" w:type="dxa"/>
            <w:vMerge w:val="restart"/>
            <w:noWrap w:val="0"/>
            <w:vAlign w:val="top"/>
          </w:tcPr>
          <w:p>
            <w:pPr>
              <w:keepNext w:val="0"/>
              <w:keepLines w:val="0"/>
              <w:suppressLineNumbers w:val="0"/>
              <w:spacing w:before="0" w:beforeAutospacing="0" w:after="0" w:afterAutospacing="0"/>
              <w:ind w:left="0" w:right="0"/>
              <w:jc w:val="left"/>
              <w:rPr>
                <w:rFonts w:hint="eastAsia" w:ascii="仿宋_GB2312" w:eastAsia="仿宋_GB2312"/>
                <w:sz w:val="24"/>
              </w:rPr>
            </w:pPr>
            <w:r>
              <w:rPr>
                <w:rFonts w:hint="eastAsia" w:ascii="仿宋_GB2312" w:eastAsia="仿宋_GB2312"/>
                <w:sz w:val="24"/>
              </w:rPr>
              <w:t>存在的问题分析及改进措施</w:t>
            </w:r>
          </w:p>
        </w:tc>
        <w:tc>
          <w:tcPr>
            <w:tcW w:w="1276" w:type="dxa"/>
            <w:noWrap w:val="0"/>
            <w:vAlign w:val="center"/>
          </w:tcPr>
          <w:p>
            <w:pPr>
              <w:keepNext w:val="0"/>
              <w:keepLines w:val="0"/>
              <w:suppressLineNumbers w:val="0"/>
              <w:spacing w:before="0" w:beforeAutospacing="0" w:after="0" w:afterAutospacing="0"/>
              <w:ind w:left="0" w:right="0" w:firstLine="33" w:firstLineChars="14"/>
              <w:jc w:val="center"/>
              <w:rPr>
                <w:rFonts w:hint="eastAsia" w:ascii="仿宋_GB2312" w:eastAsia="仿宋_GB2312"/>
                <w:sz w:val="24"/>
              </w:rPr>
            </w:pPr>
            <w:r>
              <w:rPr>
                <w:rFonts w:hint="eastAsia" w:ascii="仿宋_GB2312" w:eastAsia="仿宋_GB2312"/>
                <w:sz w:val="24"/>
              </w:rPr>
              <w:t>存在的</w:t>
            </w:r>
          </w:p>
          <w:p>
            <w:pPr>
              <w:keepNext w:val="0"/>
              <w:keepLines w:val="0"/>
              <w:suppressLineNumbers w:val="0"/>
              <w:spacing w:before="0" w:beforeAutospacing="0" w:after="0" w:afterAutospacing="0"/>
              <w:ind w:left="0" w:right="0" w:firstLine="33" w:firstLineChars="14"/>
              <w:jc w:val="center"/>
              <w:rPr>
                <w:rFonts w:hint="eastAsia" w:ascii="仿宋_GB2312" w:eastAsia="仿宋_GB2312"/>
                <w:sz w:val="24"/>
              </w:rPr>
            </w:pPr>
            <w:r>
              <w:rPr>
                <w:rFonts w:hint="eastAsia" w:ascii="仿宋_GB2312" w:eastAsia="仿宋_GB2312"/>
                <w:sz w:val="24"/>
              </w:rPr>
              <w:t>问题</w:t>
            </w:r>
          </w:p>
        </w:tc>
        <w:tc>
          <w:tcPr>
            <w:tcW w:w="7467" w:type="dxa"/>
            <w:noWrap w:val="0"/>
            <w:vAlign w:val="center"/>
          </w:tcPr>
          <w:p>
            <w:pPr>
              <w:pStyle w:val="15"/>
              <w:keepNext w:val="0"/>
              <w:keepLines w:val="0"/>
              <w:pageBreakBefore w:val="0"/>
              <w:widowControl w:val="0"/>
              <w:suppressLineNumbers w:val="0"/>
              <w:kinsoku/>
              <w:wordWrap/>
              <w:overflowPunct/>
              <w:topLinePunct w:val="0"/>
              <w:autoSpaceDE/>
              <w:autoSpaceDN/>
              <w:bidi w:val="0"/>
              <w:snapToGrid/>
              <w:spacing w:before="0" w:beforeAutospacing="0" w:after="0" w:afterAutospacing="0" w:line="300" w:lineRule="auto"/>
              <w:ind w:left="0" w:right="0"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存在问题</w:t>
            </w:r>
            <w:r>
              <w:rPr>
                <w:rFonts w:hint="eastAsia" w:ascii="仿宋_GB2312" w:hAnsi="仿宋_GB2312" w:eastAsia="仿宋_GB2312" w:cs="仿宋_GB2312"/>
                <w:color w:val="000000"/>
                <w:sz w:val="24"/>
              </w:rPr>
              <w:t>：</w:t>
            </w:r>
          </w:p>
          <w:p>
            <w:pPr>
              <w:pStyle w:val="15"/>
              <w:keepNext w:val="0"/>
              <w:keepLines w:val="0"/>
              <w:pageBreakBefore w:val="0"/>
              <w:widowControl w:val="0"/>
              <w:suppressLineNumbers w:val="0"/>
              <w:kinsoku/>
              <w:wordWrap/>
              <w:overflowPunct/>
              <w:topLinePunct w:val="0"/>
              <w:autoSpaceDE/>
              <w:autoSpaceDN/>
              <w:bidi w:val="0"/>
              <w:snapToGrid/>
              <w:spacing w:before="0" w:beforeAutospacing="0" w:after="0" w:afterAutospacing="0" w:line="300" w:lineRule="auto"/>
              <w:ind w:left="0" w:right="0"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乡域经济基础薄弱、经济总量不大、结构不优，整体发展不平衡；产业产值效益不高，特色产业总体还处在“小、散、弱”的阶段，抗风险能力不足；基础设施建设与乡村振兴要求差距大，部分村水源性缺水局面未得到根本性的扭转，公路主干线建设标准低等。对此，我们必须高度重视，切实加以解决。</w:t>
            </w:r>
          </w:p>
          <w:p>
            <w:pPr>
              <w:pStyle w:val="15"/>
              <w:keepNext w:val="0"/>
              <w:keepLines w:val="0"/>
              <w:pageBreakBefore w:val="0"/>
              <w:widowControl w:val="0"/>
              <w:suppressLineNumbers w:val="0"/>
              <w:kinsoku/>
              <w:wordWrap/>
              <w:overflowPunct/>
              <w:topLinePunct w:val="0"/>
              <w:autoSpaceDE/>
              <w:autoSpaceDN/>
              <w:bidi w:val="0"/>
              <w:snapToGrid/>
              <w:spacing w:before="0" w:beforeAutospacing="0" w:after="0" w:afterAutospacing="0" w:line="300" w:lineRule="auto"/>
              <w:ind w:left="0" w:right="0" w:firstLine="480" w:firstLineChars="200"/>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2、体制基数与财政总预算支出不匹配。乡镇专项资金难以预计，且难以估计来源渠道。</w:t>
            </w:r>
          </w:p>
          <w:p>
            <w:pPr>
              <w:keepNext w:val="0"/>
              <w:keepLines w:val="0"/>
              <w:suppressLineNumbers w:val="0"/>
              <w:spacing w:before="0" w:beforeAutospacing="0" w:after="0" w:afterAutospacing="0"/>
              <w:ind w:left="0" w:right="0" w:firstLine="480" w:firstLineChars="200"/>
              <w:jc w:val="lef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09" w:type="dxa"/>
            <w:vMerge w:val="continue"/>
            <w:noWrap w:val="0"/>
            <w:vAlign w:val="top"/>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tc>
        <w:tc>
          <w:tcPr>
            <w:tcW w:w="1276" w:type="dxa"/>
            <w:noWrap w:val="0"/>
            <w:vAlign w:val="center"/>
          </w:tcPr>
          <w:p>
            <w:pPr>
              <w:keepNext w:val="0"/>
              <w:keepLines w:val="0"/>
              <w:suppressLineNumbers w:val="0"/>
              <w:spacing w:before="0" w:beforeAutospacing="0" w:after="0" w:afterAutospacing="0"/>
              <w:ind w:left="0" w:right="0"/>
              <w:jc w:val="left"/>
              <w:rPr>
                <w:rFonts w:hint="eastAsia" w:ascii="仿宋_GB2312" w:eastAsia="仿宋_GB2312"/>
                <w:sz w:val="24"/>
              </w:rPr>
            </w:pPr>
            <w:r>
              <w:rPr>
                <w:rFonts w:hint="eastAsia" w:ascii="仿宋_GB2312" w:eastAsia="仿宋_GB2312"/>
                <w:sz w:val="24"/>
              </w:rPr>
              <w:t>改进措施</w:t>
            </w:r>
          </w:p>
        </w:tc>
        <w:tc>
          <w:tcPr>
            <w:tcW w:w="7467" w:type="dxa"/>
            <w:noWrap w:val="0"/>
            <w:vAlign w:val="center"/>
          </w:tcPr>
          <w:p>
            <w:pPr>
              <w:keepNext w:val="0"/>
              <w:keepLines w:val="0"/>
              <w:numPr>
                <w:ilvl w:val="0"/>
                <w:numId w:val="2"/>
              </w:numPr>
              <w:suppressLineNumbers w:val="0"/>
              <w:spacing w:before="0" w:beforeAutospacing="0" w:after="0" w:afterAutospacing="0" w:line="360" w:lineRule="auto"/>
              <w:ind w:left="0" w:right="0" w:firstLine="480" w:firstLineChars="200"/>
              <w:jc w:val="left"/>
              <w:rPr>
                <w:rFonts w:hint="eastAsia"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color w:val="000000"/>
                <w:kern w:val="2"/>
                <w:sz w:val="24"/>
                <w:szCs w:val="22"/>
                <w:lang w:val="en-US" w:eastAsia="zh-CN" w:bidi="ar-SA"/>
              </w:rPr>
              <w:t>本单位对上述问题高度重视，切实加以解决。优化产业结构，开源节流；以“一园、一湖、一库、一区”（碧泉潭园区、唐家湖湿地、东风水库、东风街镇区）为乡域经济社会发展主阵地，坚决在党的领导下，深入推进实施“乡村振兴”行动，逐步让农业成为有奔头的产业，让农民成为有吸引力的职业，让农村成为安居乐业的美丽家园。</w:t>
            </w:r>
          </w:p>
          <w:p>
            <w:pPr>
              <w:keepNext w:val="0"/>
              <w:keepLines w:val="0"/>
              <w:numPr>
                <w:ilvl w:val="0"/>
                <w:numId w:val="2"/>
              </w:numPr>
              <w:suppressLineNumbers w:val="0"/>
              <w:spacing w:before="0" w:beforeAutospacing="0" w:after="0" w:afterAutospacing="0" w:line="360" w:lineRule="auto"/>
              <w:ind w:left="0" w:right="0" w:firstLine="480" w:firstLineChars="200"/>
              <w:jc w:val="left"/>
              <w:rPr>
                <w:rFonts w:hint="eastAsia"/>
              </w:rPr>
            </w:pPr>
            <w:r>
              <w:rPr>
                <w:rFonts w:hint="eastAsia" w:ascii="仿宋_GB2312" w:hAnsi="仿宋_GB2312" w:eastAsia="仿宋_GB2312" w:cs="仿宋_GB2312"/>
                <w:color w:val="000000"/>
                <w:kern w:val="2"/>
                <w:sz w:val="24"/>
                <w:szCs w:val="22"/>
                <w:lang w:val="en-US" w:eastAsia="zh-CN" w:bidi="ar-SA"/>
              </w:rPr>
              <w:t>2、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本单位在部门预算编制环节，均采用“二上二下”的形式进行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709" w:type="dxa"/>
            <w:vMerge w:val="continue"/>
            <w:noWrap w:val="0"/>
            <w:vAlign w:val="top"/>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tc>
        <w:tc>
          <w:tcPr>
            <w:tcW w:w="1276" w:type="dxa"/>
            <w:noWrap w:val="0"/>
            <w:vAlign w:val="center"/>
          </w:tcPr>
          <w:p>
            <w:pPr>
              <w:keepNext w:val="0"/>
              <w:keepLines w:val="0"/>
              <w:suppressLineNumbers w:val="0"/>
              <w:spacing w:before="0" w:beforeAutospacing="0" w:after="0" w:afterAutospacing="0"/>
              <w:ind w:left="0" w:right="0"/>
              <w:jc w:val="center"/>
              <w:rPr>
                <w:rFonts w:hint="eastAsia" w:ascii="仿宋_GB2312" w:eastAsia="仿宋_GB2312"/>
                <w:sz w:val="24"/>
              </w:rPr>
            </w:pPr>
            <w:r>
              <w:rPr>
                <w:rFonts w:hint="eastAsia" w:ascii="仿宋_GB2312" w:eastAsia="仿宋_GB2312"/>
                <w:sz w:val="24"/>
              </w:rPr>
              <w:t>其他需要说明的</w:t>
            </w:r>
          </w:p>
          <w:p>
            <w:pPr>
              <w:keepNext w:val="0"/>
              <w:keepLines w:val="0"/>
              <w:suppressLineNumbers w:val="0"/>
              <w:spacing w:before="0" w:beforeAutospacing="0" w:after="0" w:afterAutospacing="0"/>
              <w:ind w:left="0" w:right="0"/>
              <w:jc w:val="center"/>
              <w:rPr>
                <w:rFonts w:hint="eastAsia" w:ascii="仿宋_GB2312" w:eastAsia="仿宋_GB2312"/>
                <w:sz w:val="24"/>
              </w:rPr>
            </w:pPr>
            <w:r>
              <w:rPr>
                <w:rFonts w:hint="eastAsia" w:ascii="仿宋_GB2312" w:eastAsia="仿宋_GB2312"/>
                <w:sz w:val="24"/>
              </w:rPr>
              <w:t>问题</w:t>
            </w:r>
          </w:p>
        </w:tc>
        <w:tc>
          <w:tcPr>
            <w:tcW w:w="7467" w:type="dxa"/>
            <w:noWrap w:val="0"/>
            <w:vAlign w:val="center"/>
          </w:tcPr>
          <w:p>
            <w:pPr>
              <w:keepNext w:val="0"/>
              <w:keepLines w:val="0"/>
              <w:suppressLineNumbers w:val="0"/>
              <w:spacing w:before="0" w:beforeAutospacing="0" w:after="0" w:afterAutospacing="0" w:line="576" w:lineRule="exact"/>
              <w:ind w:left="0" w:right="0"/>
              <w:jc w:val="left"/>
              <w:rPr>
                <w:rFonts w:hint="eastAsia" w:ascii="仿宋_GB2312" w:hAnsi="仿宋" w:eastAsia="仿宋_GB2312" w:cs="方正小标宋简体"/>
                <w:sz w:val="24"/>
                <w:lang w:eastAsia="zh-CN"/>
              </w:rPr>
            </w:pPr>
            <w:r>
              <w:rPr>
                <w:rFonts w:hint="eastAsia" w:ascii="仿宋_GB2312" w:hAnsi="仿宋" w:eastAsia="仿宋_GB2312" w:cs="方正小标宋简体"/>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709" w:type="dxa"/>
            <w:noWrap w:val="0"/>
            <w:vAlign w:val="top"/>
          </w:tcPr>
          <w:p>
            <w:pPr>
              <w:keepNext w:val="0"/>
              <w:keepLines w:val="0"/>
              <w:suppressLineNumbers w:val="0"/>
              <w:spacing w:before="0" w:beforeAutospacing="0" w:after="0" w:afterAutospacing="0" w:line="576" w:lineRule="exact"/>
              <w:ind w:left="0" w:right="0"/>
              <w:jc w:val="center"/>
              <w:rPr>
                <w:rFonts w:hint="eastAsia" w:ascii="仿宋_GB2312" w:hAnsi="仿宋" w:eastAsia="仿宋_GB2312" w:cs="方正小标宋简体"/>
                <w:sz w:val="24"/>
              </w:rPr>
            </w:pPr>
          </w:p>
        </w:tc>
        <w:tc>
          <w:tcPr>
            <w:tcW w:w="1276" w:type="dxa"/>
            <w:noWrap w:val="0"/>
            <w:vAlign w:val="center"/>
          </w:tcPr>
          <w:p>
            <w:pPr>
              <w:keepNext w:val="0"/>
              <w:keepLines w:val="0"/>
              <w:suppressLineNumbers w:val="0"/>
              <w:spacing w:before="0" w:beforeAutospacing="0" w:after="0" w:afterAutospacing="0"/>
              <w:ind w:left="0" w:right="0"/>
              <w:jc w:val="center"/>
              <w:rPr>
                <w:rFonts w:hint="eastAsia" w:ascii="仿宋_GB2312" w:eastAsia="仿宋_GB2312"/>
                <w:sz w:val="24"/>
              </w:rPr>
            </w:pPr>
          </w:p>
        </w:tc>
        <w:tc>
          <w:tcPr>
            <w:tcW w:w="7467" w:type="dxa"/>
            <w:noWrap w:val="0"/>
            <w:vAlign w:val="center"/>
          </w:tcPr>
          <w:p>
            <w:pPr>
              <w:keepNext w:val="0"/>
              <w:keepLines w:val="0"/>
              <w:suppressLineNumbers w:val="0"/>
              <w:spacing w:before="0" w:beforeAutospacing="0" w:after="0" w:afterAutospacing="0" w:line="576" w:lineRule="exact"/>
              <w:ind w:left="0" w:right="0"/>
              <w:jc w:val="left"/>
              <w:rPr>
                <w:rFonts w:hint="eastAsia" w:ascii="仿宋_GB2312" w:hAnsi="仿宋" w:eastAsia="仿宋_GB2312" w:cs="方正小标宋简体"/>
                <w:sz w:val="24"/>
              </w:rPr>
            </w:pPr>
          </w:p>
        </w:tc>
      </w:tr>
    </w:tbl>
    <w:p>
      <w:pPr>
        <w:ind w:firstLine="643" w:firstLineChars="200"/>
        <w:rPr>
          <w:rFonts w:ascii="宋体" w:hAnsi="宋体" w:cs="宋体"/>
          <w:b/>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A9FEB16D-A722-4E55-A6A0-4ABF420B73D9}"/>
  </w:font>
  <w:font w:name="黑体">
    <w:panose1 w:val="02010609060101010101"/>
    <w:charset w:val="86"/>
    <w:family w:val="auto"/>
    <w:pitch w:val="default"/>
    <w:sig w:usb0="800002BF" w:usb1="38CF7CFA" w:usb2="00000016" w:usb3="00000000" w:csb0="00040001" w:csb1="00000000"/>
    <w:embedRegular r:id="rId2" w:fontKey="{72399413-33E0-4ADF-B9BC-C758235D78D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F0923145-025F-46B9-837B-5B2D3E601633}"/>
  </w:font>
  <w:font w:name="华文新魏">
    <w:altName w:val="宋体"/>
    <w:panose1 w:val="0201080004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4" w:fontKey="{BA037556-7C41-46F1-83C5-16AC5D313AF4}"/>
  </w:font>
  <w:font w:name="华文中宋">
    <w:panose1 w:val="02010600040101010101"/>
    <w:charset w:val="86"/>
    <w:family w:val="auto"/>
    <w:pitch w:val="default"/>
    <w:sig w:usb0="00000287" w:usb1="080F0000" w:usb2="00000000" w:usb3="00000000" w:csb0="0004009F" w:csb1="DFD70000"/>
    <w:embedRegular r:id="rId5" w:fontKey="{21403BC0-647C-4E70-B5FF-1B8AC6122E7F}"/>
  </w:font>
  <w:font w:name="方正小标宋_GBK">
    <w:panose1 w:val="02000000000000000000"/>
    <w:charset w:val="86"/>
    <w:family w:val="script"/>
    <w:pitch w:val="default"/>
    <w:sig w:usb0="A00002BF" w:usb1="38CF7CFA" w:usb2="00082016" w:usb3="00000000" w:csb0="00040001" w:csb1="00000000"/>
    <w:embedRegular r:id="rId6" w:fontKey="{5FA9858A-64AA-44C5-9A01-835E2F2363BC}"/>
  </w:font>
  <w:font w:name="仿宋">
    <w:panose1 w:val="02010609060101010101"/>
    <w:charset w:val="86"/>
    <w:family w:val="auto"/>
    <w:pitch w:val="default"/>
    <w:sig w:usb0="800002BF" w:usb1="38CF7CFA" w:usb2="00000016" w:usb3="00000000" w:csb0="00040001" w:csb1="00000000"/>
    <w:embedRegular r:id="rId7" w:fontKey="{401EBE52-BA9E-4A43-A9B6-A1B4131EB352}"/>
  </w:font>
  <w:font w:name="方正小标宋简体">
    <w:panose1 w:val="02010601030101010101"/>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47D875"/>
    <w:multiLevelType w:val="singleLevel"/>
    <w:tmpl w:val="0E47D875"/>
    <w:lvl w:ilvl="0" w:tentative="0">
      <w:start w:val="1"/>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5ODc5MzUyMGFjYTI2N2VhOTAzMzgzMTAxNzc5OGYifQ=="/>
  </w:docVars>
  <w:rsids>
    <w:rsidRoot w:val="009C476E"/>
    <w:rsid w:val="000C71B8"/>
    <w:rsid w:val="00142816"/>
    <w:rsid w:val="001B2170"/>
    <w:rsid w:val="002C111D"/>
    <w:rsid w:val="002D726C"/>
    <w:rsid w:val="003E0245"/>
    <w:rsid w:val="003F56AE"/>
    <w:rsid w:val="00451386"/>
    <w:rsid w:val="005B14B1"/>
    <w:rsid w:val="006B4EEA"/>
    <w:rsid w:val="00726F3C"/>
    <w:rsid w:val="007733F1"/>
    <w:rsid w:val="00872F8C"/>
    <w:rsid w:val="00912799"/>
    <w:rsid w:val="00927DAB"/>
    <w:rsid w:val="009502E9"/>
    <w:rsid w:val="009C476E"/>
    <w:rsid w:val="00A573A9"/>
    <w:rsid w:val="00AA06EF"/>
    <w:rsid w:val="00AC3821"/>
    <w:rsid w:val="00C96B21"/>
    <w:rsid w:val="00CC1FEF"/>
    <w:rsid w:val="00E42AC0"/>
    <w:rsid w:val="00EB372A"/>
    <w:rsid w:val="00F6394E"/>
    <w:rsid w:val="050F2FB0"/>
    <w:rsid w:val="0A9A6DD0"/>
    <w:rsid w:val="0B270934"/>
    <w:rsid w:val="144C5AD6"/>
    <w:rsid w:val="15F2529F"/>
    <w:rsid w:val="27AE0B7D"/>
    <w:rsid w:val="2AC777FC"/>
    <w:rsid w:val="2B2833C7"/>
    <w:rsid w:val="3106021B"/>
    <w:rsid w:val="3F6A4B8E"/>
    <w:rsid w:val="54FC065D"/>
    <w:rsid w:val="561016B7"/>
    <w:rsid w:val="59E477BD"/>
    <w:rsid w:val="64D83F46"/>
    <w:rsid w:val="71376921"/>
    <w:rsid w:val="77777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3">
    <w:name w:val="Balloon Text"/>
    <w:basedOn w:val="1"/>
    <w:link w:val="9"/>
    <w:semiHidden/>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9">
    <w:name w:val="批注框文本 Char"/>
    <w:basedOn w:val="8"/>
    <w:link w:val="3"/>
    <w:semiHidden/>
    <w:qFormat/>
    <w:uiPriority w:val="99"/>
    <w:rPr>
      <w:rFonts w:ascii="Calibri" w:hAnsi="Calibri" w:eastAsia="宋体" w:cs="Calibri"/>
      <w:sz w:val="18"/>
      <w:szCs w:val="18"/>
    </w:rPr>
  </w:style>
  <w:style w:type="character" w:customStyle="1" w:styleId="10">
    <w:name w:val="页脚 Char"/>
    <w:basedOn w:val="8"/>
    <w:link w:val="4"/>
    <w:qFormat/>
    <w:uiPriority w:val="99"/>
    <w:rPr>
      <w:rFonts w:ascii="Calibri" w:hAnsi="Calibri" w:eastAsia="宋体" w:cs="Calibri"/>
      <w:sz w:val="18"/>
      <w:szCs w:val="18"/>
    </w:rPr>
  </w:style>
  <w:style w:type="character" w:customStyle="1" w:styleId="11">
    <w:name w:val="页眉 Char"/>
    <w:basedOn w:val="8"/>
    <w:link w:val="5"/>
    <w:qFormat/>
    <w:uiPriority w:val="99"/>
    <w:rPr>
      <w:rFonts w:ascii="Calibri" w:hAnsi="Calibri" w:eastAsia="宋体" w:cs="Calibri"/>
      <w:sz w:val="18"/>
      <w:szCs w:val="18"/>
    </w:rPr>
  </w:style>
  <w:style w:type="paragraph" w:styleId="12">
    <w:name w:val="List Paragraph"/>
    <w:basedOn w:val="1"/>
    <w:qFormat/>
    <w:uiPriority w:val="99"/>
    <w:pPr>
      <w:ind w:firstLine="420" w:firstLineChars="200"/>
    </w:pPr>
  </w:style>
  <w:style w:type="paragraph" w:customStyle="1" w:styleId="13">
    <w:name w:val="List Paragraph1"/>
    <w:basedOn w:val="1"/>
    <w:qFormat/>
    <w:uiPriority w:val="99"/>
    <w:pPr>
      <w:ind w:firstLine="420" w:firstLineChars="200"/>
    </w:pPr>
  </w:style>
  <w:style w:type="paragraph" w:styleId="14">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5">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36</Pages>
  <Words>11675</Words>
  <Characters>15773</Characters>
  <Lines>144</Lines>
  <Paragraphs>40</Paragraphs>
  <TotalTime>2</TotalTime>
  <ScaleCrop>false</ScaleCrop>
  <LinksUpToDate>false</LinksUpToDate>
  <CharactersWithSpaces>16478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2021-08-06T07:09:00Z</dcterms:created>
  <dc:creator>Administrator</dc:creator>
  <cp:lastModifiedBy>樱子妈  </cp:lastModifiedBy>
  <dcterms:modified xsi:type="dcterms:W3CDTF">2023-09-14T11:59:57Z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2F1FB41611144C409EFB39B7D8A769B8</vt:lpwstr>
  </property>
</Properties>
</file>