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C46" w:rsidRDefault="00C05AFC">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470C46" w:rsidRDefault="00C05AFC">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（湘潭县住房和城乡建设局）</w:t>
      </w:r>
    </w:p>
    <w:p w:rsidR="00470C46" w:rsidRDefault="00470C46">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697"/>
        <w:gridCol w:w="5958"/>
      </w:tblGrid>
      <w:tr w:rsidR="00470C46">
        <w:trPr>
          <w:trHeight w:val="675"/>
          <w:jc w:val="center"/>
        </w:trPr>
        <w:tc>
          <w:tcPr>
            <w:tcW w:w="1384" w:type="dxa"/>
            <w:vMerge w:val="restart"/>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70C46" w:rsidRDefault="00C05AFC">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湘潭县住房和城乡建设局</w:t>
            </w:r>
          </w:p>
        </w:tc>
      </w:tr>
      <w:tr w:rsidR="00470C46">
        <w:trPr>
          <w:trHeight w:val="675"/>
          <w:jc w:val="center"/>
        </w:trPr>
        <w:tc>
          <w:tcPr>
            <w:tcW w:w="1384" w:type="dxa"/>
            <w:vMerge/>
          </w:tcPr>
          <w:p w:rsidR="00470C46" w:rsidRDefault="00470C46">
            <w:pPr>
              <w:spacing w:line="576" w:lineRule="exact"/>
              <w:jc w:val="center"/>
              <w:rPr>
                <w:rFonts w:ascii="仿宋_GB2312" w:eastAsia="仿宋_GB2312" w:hAnsi="宋体" w:cs="宋体"/>
                <w:sz w:val="24"/>
              </w:rPr>
            </w:pP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70C46" w:rsidRDefault="00C05AFC">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7651.59万元</w:t>
            </w:r>
          </w:p>
        </w:tc>
      </w:tr>
      <w:tr w:rsidR="00470C46">
        <w:trPr>
          <w:trHeight w:val="675"/>
          <w:jc w:val="center"/>
        </w:trPr>
        <w:tc>
          <w:tcPr>
            <w:tcW w:w="1384" w:type="dxa"/>
            <w:vMerge/>
          </w:tcPr>
          <w:p w:rsidR="00470C46" w:rsidRDefault="00470C46">
            <w:pPr>
              <w:spacing w:line="576" w:lineRule="exact"/>
              <w:jc w:val="center"/>
              <w:rPr>
                <w:rFonts w:ascii="仿宋_GB2312" w:eastAsia="仿宋_GB2312" w:hAnsi="宋体" w:cs="宋体"/>
                <w:sz w:val="24"/>
              </w:rPr>
            </w:pP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70C46" w:rsidRDefault="00C05AFC">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470C46">
        <w:trPr>
          <w:trHeight w:val="675"/>
          <w:jc w:val="center"/>
        </w:trPr>
        <w:tc>
          <w:tcPr>
            <w:tcW w:w="1384" w:type="dxa"/>
            <w:vMerge/>
          </w:tcPr>
          <w:p w:rsidR="00470C46" w:rsidRDefault="00470C46">
            <w:pPr>
              <w:spacing w:line="576" w:lineRule="exact"/>
              <w:jc w:val="center"/>
              <w:rPr>
                <w:rFonts w:ascii="仿宋_GB2312" w:eastAsia="仿宋_GB2312" w:hAnsi="宋体" w:cs="宋体"/>
                <w:sz w:val="24"/>
              </w:rPr>
            </w:pP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470C46" w:rsidRDefault="00C05AFC">
            <w:pPr>
              <w:pStyle w:val="a6"/>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（一）职能职责（此项内容涉密，不作公开）</w:t>
            </w:r>
          </w:p>
          <w:p w:rsidR="00470C46" w:rsidRDefault="00C05AFC">
            <w:pPr>
              <w:pStyle w:val="a6"/>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（二）机构设置（此项内容涉密，不作公开）</w:t>
            </w:r>
          </w:p>
        </w:tc>
      </w:tr>
      <w:tr w:rsidR="00470C46">
        <w:trPr>
          <w:trHeight w:val="699"/>
          <w:jc w:val="center"/>
        </w:trPr>
        <w:tc>
          <w:tcPr>
            <w:tcW w:w="1384" w:type="dxa"/>
            <w:vMerge w:val="restart"/>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绩效完成情况</w:t>
            </w: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中华人民共和国会计法》、《中华人民共和国预算法》、《行政单位会计制度》等法律法规，各项经费支出严格按照政府采购、国库集中支付等有关规定执行。同时我单位制定了《湘潭县住房和城乡建设局财务管理制度》，在项目资金管理和使用上，严格按照《湘潭县财政专项资金管理暂行办法》、《湘潭县住房和城乡建设局财务管理制度》的规定，在资金使用上坚持专款专用的原则，严格按预算执行，项目资金建立专款专用、专项核算制度，由计划财务股进行资金监管，做到了支出合法、合规，无虚列、截留、超标准、超预算支出情况；我单位制定了资产管理制度，相关资产管理制度合法、合规、完整。</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制了行政运行成本。2022年部门整体支出8843.88万元，支出按支出性质分类为：基本支出4878.16万元（其中：人员经费4267.44万元，日常公用经费610.72</w:t>
            </w:r>
            <w:r>
              <w:rPr>
                <w:rFonts w:ascii="仿宋_GB2312" w:eastAsia="仿宋_GB2312" w:hAnsi="仿宋_GB2312" w:cs="仿宋_GB2312" w:hint="eastAsia"/>
                <w:sz w:val="24"/>
              </w:rPr>
              <w:lastRenderedPageBreak/>
              <w:t>万元），项目支出3965.72万元。2022年“三公”经费9.79万元，其中公务接待费1.36万元，车辆运维费8.43万元。</w:t>
            </w:r>
          </w:p>
        </w:tc>
      </w:tr>
      <w:tr w:rsidR="00470C46">
        <w:trPr>
          <w:trHeight w:val="1230"/>
          <w:jc w:val="center"/>
        </w:trPr>
        <w:tc>
          <w:tcPr>
            <w:tcW w:w="1384" w:type="dxa"/>
            <w:vMerge/>
          </w:tcPr>
          <w:p w:rsidR="00470C46" w:rsidRDefault="00470C46">
            <w:pPr>
              <w:spacing w:line="360" w:lineRule="auto"/>
              <w:jc w:val="center"/>
              <w:rPr>
                <w:rFonts w:ascii="仿宋_GB2312" w:eastAsia="仿宋_GB2312" w:hAnsi="宋体" w:cs="宋体"/>
                <w:sz w:val="24"/>
              </w:rPr>
            </w:pP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470C46" w:rsidRDefault="00C05AFC">
            <w:pPr>
              <w:pStyle w:val="2"/>
              <w:spacing w:after="0" w:line="360" w:lineRule="auto"/>
              <w:ind w:leftChars="0" w:left="0" w:firstLine="480"/>
              <w:rPr>
                <w:rFonts w:ascii="仿宋_GB2312" w:eastAsia="仿宋_GB2312" w:hAnsi="仿宋_GB2312" w:cs="仿宋_GB2312"/>
                <w:sz w:val="24"/>
              </w:rPr>
            </w:pPr>
            <w:r>
              <w:rPr>
                <w:rFonts w:ascii="仿宋_GB2312" w:eastAsia="仿宋_GB2312" w:hAnsi="仿宋_GB2312" w:cs="仿宋_GB2312"/>
                <w:sz w:val="24"/>
              </w:rPr>
              <w:t>2022年，在</w:t>
            </w:r>
            <w:bookmarkStart w:id="0" w:name="OLE_LINK2"/>
            <w:r>
              <w:rPr>
                <w:rFonts w:ascii="仿宋_GB2312" w:eastAsia="仿宋_GB2312" w:hAnsi="仿宋_GB2312" w:cs="仿宋_GB2312"/>
                <w:sz w:val="24"/>
              </w:rPr>
              <w:t>县委</w:t>
            </w:r>
            <w:bookmarkEnd w:id="0"/>
            <w:r>
              <w:rPr>
                <w:rFonts w:ascii="仿宋_GB2312" w:eastAsia="仿宋_GB2312" w:hAnsi="仿宋_GB2312" w:cs="仿宋_GB2312"/>
                <w:sz w:val="24"/>
              </w:rPr>
              <w:t>的坚强领导下，县住建局坚持以习近平新时代中国特色社会主义思想为指导，深入学习贯彻党的十九大和十九届历次全会及党的二十大精神，认真贯彻落实县委重大决策部署，紧紧围绕“三提一领”发展目标，克服重重困难，适应新形势，把握新要求，积极攻难点、破冰点、出亮点，较好地完成了各项工作任务，努力推动住房和城乡建设事业再上新台阶、实现新突破。现就2022年度工作情况报告如下：</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一、突出重点，狠抓落实，主要任务如质如量完成</w:t>
            </w:r>
          </w:p>
          <w:p w:rsidR="00470C46" w:rsidRDefault="00C05AFC">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一）稳增长、调结构，行业发展平稳有序。一是建筑行业平稳发展。目前我县共有施工企业163家，其中，施工总承包企业57家，专业承包企业42家，劳务企业64家。全年完成建筑业产值95.52亿元，同比递增13.6%，劳务输出约5000人，其中外拓产值20.96亿元，同比增长26.27%。二是房地产市场平稳运行。全年共发放预售许可证10个，预售许可面积27.84万平方米。对我县范围内经批准预售的商品房预售款的收取、支付、使用实施了全程监管，共22个项目，审批317宗商品房预售款，拨付资金11.33亿元。</w:t>
            </w:r>
          </w:p>
          <w:p w:rsidR="00470C46" w:rsidRDefault="00C05AFC">
            <w:pPr>
              <w:pStyle w:val="a7"/>
              <w:spacing w:after="0"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二）稳投资、攻项目，城乡建设不断深化。一是重点投资项目稳步推进。根据县政府要求，今年共有6个房地产项目列入县级重点工程，全年完成总投资14亿元，全年房地产业完成固定资产投资25.66亿元。二是全面铺开污水处理厂及管网建设。根据任务要求，我县12个乡镇共建设17座污水处理厂，目前均已完成建设，达到通水试运行状态；青山桥镇、花石镇、中路铺</w:t>
            </w:r>
            <w:r>
              <w:rPr>
                <w:rFonts w:ascii="仿宋_GB2312" w:eastAsia="仿宋_GB2312" w:hAnsi="仿宋_GB2312" w:cs="仿宋_GB2312"/>
                <w:sz w:val="24"/>
              </w:rPr>
              <w:lastRenderedPageBreak/>
              <w:t>镇、射埠镇管网建设已完成95%，白石镇、乌石镇、石鼓镇、杨嘉桥镇、云湖桥镇、石潭镇、茶恩寺镇、谭家山镇等8个乡镇污水管网正在建设逐步完善过程中，已实现建制镇镇区生活污水处理设施全覆盖。三是稳步推进人防工程建设事业。</w:t>
            </w:r>
            <w:r>
              <w:rPr>
                <w:rFonts w:ascii="仿宋_GB2312" w:eastAsia="仿宋_GB2312" w:hAnsi="仿宋_GB2312" w:cs="仿宋_GB2312"/>
                <w:sz w:val="24"/>
                <w:lang w:val="zh-CN"/>
              </w:rPr>
              <w:t>全年人防工程新增竣工验收项目</w:t>
            </w:r>
            <w:r>
              <w:rPr>
                <w:rFonts w:ascii="仿宋_GB2312" w:eastAsia="仿宋_GB2312" w:hAnsi="仿宋_GB2312" w:cs="仿宋_GB2312"/>
                <w:sz w:val="24"/>
              </w:rPr>
              <w:t>3</w:t>
            </w:r>
            <w:r>
              <w:rPr>
                <w:rFonts w:ascii="仿宋_GB2312" w:eastAsia="仿宋_GB2312" w:hAnsi="仿宋_GB2312" w:cs="仿宋_GB2312"/>
                <w:sz w:val="24"/>
                <w:lang w:val="zh-CN"/>
              </w:rPr>
              <w:t>个，共计面积</w:t>
            </w:r>
            <w:r>
              <w:rPr>
                <w:rFonts w:ascii="仿宋_GB2312" w:eastAsia="仿宋_GB2312" w:hAnsi="仿宋_GB2312" w:cs="仿宋_GB2312"/>
                <w:sz w:val="24"/>
              </w:rPr>
              <w:t>3.6</w:t>
            </w:r>
            <w:r>
              <w:rPr>
                <w:rFonts w:ascii="仿宋_GB2312" w:eastAsia="仿宋_GB2312" w:hAnsi="仿宋_GB2312" w:cs="仿宋_GB2312"/>
                <w:sz w:val="24"/>
                <w:lang w:val="zh-CN"/>
              </w:rPr>
              <w:t>万平方米，已建人防工程和在建人防工程总面积达到14.</w:t>
            </w:r>
            <w:r>
              <w:rPr>
                <w:rFonts w:ascii="仿宋_GB2312" w:eastAsia="仿宋_GB2312" w:hAnsi="仿宋_GB2312" w:cs="仿宋_GB2312"/>
                <w:sz w:val="24"/>
              </w:rPr>
              <w:t>2</w:t>
            </w:r>
            <w:r>
              <w:rPr>
                <w:rFonts w:ascii="仿宋_GB2312" w:eastAsia="仿宋_GB2312" w:hAnsi="仿宋_GB2312" w:cs="仿宋_GB2312"/>
                <w:sz w:val="24"/>
                <w:lang w:val="zh-CN"/>
              </w:rPr>
              <w:t>万平方米，实现城区战时留城人口人均掩蔽面积1.5平方米/人的目标，人防工程事业迈上保增量、优布局、调结构、补短板的新台阶。</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三）优服务、强管控，市场秩序不断优化。一是全面规范审批服务事项。全年受理各类业务办理事项1028件，其中初步设计项目6件、施工许可证11件、商品房预售许可10件、中标通知书备案9件、招标备案9件、招标控制价备案11件、直接发包33件、房屋租赁备案44件、白蚁防治2件、建设工程竣工验收备案79件、物业专项维修资金缴存、更名741件，人防办理事项38件、燃气经营许可证3件，收取城市基础设施配套费980.5万元，收取人防工程易地建设费974.8万元，签订施工图审查合同44个，合同金额113.68万元。归集物业专项维修资金8993万元，户数7278户，维修项目73宗，拨付资金170.7万元，涉及户数2573户。累计归集项目335宗，归集金额7.55亿元，户数7.68万户。二是强化质量管控措施。严格落实《湖南省建筑施工质量管理标准化考评实施细则》的要求，全面推进质量考评工作，质量标准化考评80项次，考评优良项目10项次。积极引导参建企业参与创建质量标准化示范工地和省优质工程等奖项，以点带面，全面提升我县建设工程质量管理水平。万通·逸城住宅小区三期获评2021-2022年度湖南省优质工程；万通·逸城住宅</w:t>
            </w:r>
            <w:r>
              <w:rPr>
                <w:rFonts w:ascii="仿宋_GB2312" w:eastAsia="仿宋_GB2312" w:hAnsi="仿宋_GB2312" w:cs="仿宋_GB2312"/>
                <w:sz w:val="24"/>
              </w:rPr>
              <w:lastRenderedPageBreak/>
              <w:t>小区四期、江声壹号等2个项目符合湖南省2022年度建筑施工质量管理标准化“年度项目考评优良工地”评选要求；十里风荷、碧桂园天玺等2个项目符合“芙蓉奖”评选要求。三是扎实推进全县居民自建房安全专项整治。完成经营性自建房排查10690栋，完成经营性自建房评估鉴定3754栋，拆除D级危房415栋，共计64959.84平方米。根据省四条“改、停、封、拆”措施，全县经营性自建房中发现房屋结构安全隐患880处，已采取管理措施353栋，采取工程措施518栋，违法建设查处93栋。</w:t>
            </w:r>
          </w:p>
          <w:p w:rsidR="00470C46" w:rsidRDefault="00C05AFC">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（四）抓统筹、惠民生，</w:t>
            </w:r>
            <w:bookmarkStart w:id="1" w:name="OLE_LINK3"/>
            <w:r>
              <w:rPr>
                <w:rFonts w:ascii="仿宋_GB2312" w:eastAsia="仿宋_GB2312" w:hAnsi="仿宋_GB2312" w:cs="仿宋_GB2312"/>
                <w:sz w:val="24"/>
              </w:rPr>
              <w:t>人居环境不断提升。</w:t>
            </w:r>
            <w:bookmarkEnd w:id="1"/>
            <w:r>
              <w:rPr>
                <w:rFonts w:ascii="仿宋_GB2312" w:eastAsia="仿宋_GB2312" w:hAnsi="仿宋_GB2312" w:cs="仿宋_GB2312"/>
                <w:sz w:val="24"/>
              </w:rPr>
              <w:t>一是持续开展农村危房改造。持续推进农村危房改造，完成六类低收入群体等重点对象农村危房改造任务，做到“应改尽改”，全年完成危房改造</w:t>
            </w:r>
            <w:r>
              <w:rPr>
                <w:rFonts w:ascii="仿宋_GB2312" w:eastAsia="仿宋_GB2312" w:hAnsi="仿宋_GB2312" w:cs="仿宋_GB2312" w:hint="eastAsia"/>
                <w:sz w:val="24"/>
              </w:rPr>
              <w:t>194</w:t>
            </w:r>
            <w:r>
              <w:rPr>
                <w:rFonts w:ascii="仿宋_GB2312" w:eastAsia="仿宋_GB2312" w:hAnsi="仿宋_GB2312" w:cs="仿宋_GB2312"/>
                <w:sz w:val="24"/>
              </w:rPr>
              <w:t>户。二是积极推动老旧小区改造和增设电梯工作。完成玉兰公寓、百花公寓、杏花公寓、一中教师楼、玉兰东苑、矿产局宿舍、原谭家山工商所宿舍等7个老旧小区改造，包括房屋20栋、272户，面积2.63万㎡；完成10台增设电梯工作任务。</w:t>
            </w:r>
          </w:p>
          <w:p w:rsidR="00470C46" w:rsidRDefault="00C05AFC">
            <w:pPr>
              <w:widowControl/>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二、统一思想，强化管理，各项工作亮点频频</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一）清隐患、筑防线，开展自建房安全专项整治。全县自建房安全专项整治工作启动以来，住建部门牵头抓总、督促指导，其他部门和单位强化配合、形成合力，将专项整治不断推向深入，重点突出五个方面：一是组织领导。成立县委书记、县长任组长的县自建房安全专项整治工作领导小组，从18个县直部门抽调36人组建工作专班；二是明权确责。细化了县直部门和各乡镇的任务职责，明确了联动机制，初步形成了“各司其职、各负其责、群策群力”的工作格局；三是规范建账。结</w:t>
            </w:r>
            <w:r>
              <w:rPr>
                <w:rFonts w:ascii="仿宋_GB2312" w:eastAsia="仿宋_GB2312" w:hAnsi="仿宋_GB2312" w:cs="仿宋_GB2312"/>
                <w:sz w:val="24"/>
              </w:rPr>
              <w:lastRenderedPageBreak/>
              <w:t>合城乡房屋安全隐患排查整治、自然灾害综合风险普查房屋建筑调查掌握的情况，建立了全县统一的“两清单一台账”；四是专家定级。组织鉴定机构全程参与，严格依据有关标准，对存在的隐患提出科学的整治建议；五是严督实导。采取“行政监管+专家指导”模式，对全县排查整治工作实施全覆盖督导，确保工作落实落细。</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（二）激活力、焕生机，第三届</w:t>
            </w:r>
            <w:bookmarkStart w:id="2" w:name="OLE_LINK1"/>
            <w:r>
              <w:rPr>
                <w:rFonts w:ascii="仿宋_GB2312" w:eastAsia="仿宋_GB2312" w:hAnsi="仿宋_GB2312" w:cs="仿宋_GB2312"/>
                <w:sz w:val="24"/>
              </w:rPr>
              <w:t>房博会</w:t>
            </w:r>
            <w:bookmarkEnd w:id="2"/>
            <w:r>
              <w:rPr>
                <w:rFonts w:ascii="仿宋_GB2312" w:eastAsia="仿宋_GB2312" w:hAnsi="仿宋_GB2312" w:cs="仿宋_GB2312"/>
                <w:sz w:val="24"/>
              </w:rPr>
              <w:t>效果明显。一是出台优惠政策，市场状况明显好转。出台100%契税补贴、子女就近入学、户籍迁入补贴等9条硬核政策，有力提振房企信心，提高群众购房热情。房博会期间（6至8月）累计销售新建商品房1543套，同比增长20.74%；销售面积190117.87平方米，同比增长4.35%；成交总价97160.86万元。二是严把税费征收关，财税贡献得到凸显。据税务部门统计，第三届房博会期间共计产生税收9633万元。三是契税补贴按时拨付，群众反响良好。经审查，第三届房博会期间符合契税补贴和户籍迁入补贴条件的购房者1490户，共计拨付补贴资金1744.6万元，均及时拨付到位。</w:t>
            </w:r>
          </w:p>
          <w:p w:rsidR="00470C46" w:rsidRDefault="00C05AFC">
            <w:pPr>
              <w:spacing w:line="360" w:lineRule="auto"/>
              <w:ind w:firstLineChars="196" w:firstLine="470"/>
              <w:rPr>
                <w:rFonts w:ascii="仿宋_GB2312" w:eastAsia="仿宋_GB2312" w:hAnsi="仿宋_GB2312" w:cs="仿宋_GB2312"/>
                <w:sz w:val="24"/>
              </w:rPr>
            </w:pPr>
            <w:r>
              <w:rPr>
                <w:rFonts w:ascii="仿宋_GB2312" w:eastAsia="仿宋_GB2312" w:hAnsi="仿宋_GB2312" w:cs="仿宋_GB2312"/>
                <w:sz w:val="24"/>
              </w:rPr>
              <w:t>（三）强举措、破堵点，持续优化审批服务事项。进一步深化行政审批改革，逐项整治突出问题，逐个破解“堵点” “痛点”，全力补齐补强营商环境短板弱项，持续优化审批服务事项。各类进驻窗口事项做到依法、依规、依程序办理，做到进驻中心的行政审批事项向网络系统集中，基本实行了一窗式受理、一站式办结。严格按照政务大厅规定期限办结，按时办结率100%，所有受理业务全部及时录入到全省网上政务服务和电子监察系统，录入应用率达100%。</w:t>
            </w:r>
          </w:p>
          <w:p w:rsidR="00470C46" w:rsidRDefault="00C05AFC">
            <w:pPr>
              <w:spacing w:line="360" w:lineRule="auto"/>
              <w:ind w:firstLineChars="196" w:firstLine="470"/>
              <w:rPr>
                <w:rFonts w:ascii="仿宋_GB2312" w:eastAsia="仿宋_GB2312" w:hAnsi="仿宋_GB2312" w:cs="仿宋_GB2312"/>
                <w:sz w:val="24"/>
              </w:rPr>
            </w:pPr>
            <w:r>
              <w:rPr>
                <w:rFonts w:ascii="仿宋_GB2312" w:eastAsia="仿宋_GB2312" w:hAnsi="仿宋_GB2312" w:cs="仿宋_GB2312"/>
                <w:sz w:val="24"/>
              </w:rPr>
              <w:t>（四）提品质、促宜居，积极推进老旧小区改造。</w:t>
            </w:r>
            <w:r>
              <w:rPr>
                <w:rFonts w:ascii="仿宋_GB2312" w:eastAsia="仿宋_GB2312" w:hAnsi="仿宋_GB2312" w:cs="仿宋_GB2312"/>
                <w:sz w:val="24"/>
              </w:rPr>
              <w:lastRenderedPageBreak/>
              <w:t>始终把“为了人民”作为一切工作的出发点和落脚点，积极推进老旧小区改造，切实提升居民居住品质。一是深入小区“听”建议，分类施策。因改造小区的户数、人数、建成年份、群众年龄结构等各不相同，众口难调，为使改造方案更加符合人民群众需求，多次深入小区和居民面对面沟通，真正了解群众所想所盼，收集小区改造意见表，坚持分类施策。二是多方合力“商”计策，明确方案。坚持居民唱主角，政府抓主导，依照“一方案、一政策、一办法、一指南”的政策，形成部门、乡镇、社区、居民多元参与格局。三是党建引领“促”改造，共商共建。充分发挥党建引领下业主委员会的牵头作用，把党建延伸到小区各个方面，深入推进“基层党建+”，形成“党建+物业”“支部+小区”“党小组+楼栋”的模式，尊重居民主体地位，居民支持率、参与率达100%。四是科学谋划“新”社区，统筹进度。集中连片规划，统筹城区空间布局，按照地理位置相邻、居民属性相近、产业配套相关的原则，以社区建设标准和“15分钟生活圈”</w:t>
            </w:r>
            <w:bookmarkStart w:id="3" w:name="OLE_LINK4"/>
            <w:r>
              <w:rPr>
                <w:rFonts w:ascii="仿宋_GB2312" w:eastAsia="仿宋_GB2312" w:hAnsi="仿宋_GB2312" w:cs="仿宋_GB2312"/>
                <w:sz w:val="24"/>
              </w:rPr>
              <w:t>划定大鹏路、玉兰路、凤凰路等2个“美好社区”作为改造实施单元，同步推进，形成改造一个、更新一片、联片成区、</w:t>
            </w:r>
            <w:r w:rsidR="00990B74">
              <w:rPr>
                <w:rFonts w:ascii="仿宋_GB2312" w:eastAsia="仿宋_GB2312" w:hAnsi="仿宋_GB2312" w:cs="仿宋_GB2312" w:hint="eastAsia"/>
                <w:sz w:val="24"/>
              </w:rPr>
              <w:t>促</w:t>
            </w:r>
            <w:r w:rsidR="00990B74" w:rsidRPr="00990B74">
              <w:rPr>
                <w:rFonts w:ascii="仿宋_GB2312" w:eastAsia="仿宋_GB2312" w:hAnsi="仿宋_GB2312" w:cs="仿宋_GB2312" w:hint="eastAsia"/>
                <w:sz w:val="24"/>
              </w:rPr>
              <w:t>进</w:t>
            </w:r>
            <w:r w:rsidRPr="00990B74">
              <w:rPr>
                <w:rFonts w:ascii="仿宋_GB2312" w:eastAsia="仿宋_GB2312" w:hAnsi="仿宋_GB2312" w:cs="仿宋_GB2312"/>
                <w:sz w:val="24"/>
              </w:rPr>
              <w:t>城市</w:t>
            </w:r>
            <w:r w:rsidR="00990B74" w:rsidRPr="00990B74">
              <w:rPr>
                <w:rFonts w:ascii="仿宋_GB2312" w:eastAsia="仿宋_GB2312" w:hAnsi="仿宋_GB2312" w:cs="仿宋_GB2312" w:hint="eastAsia"/>
                <w:sz w:val="24"/>
              </w:rPr>
              <w:t>发展新</w:t>
            </w:r>
            <w:r w:rsidRPr="00990B74">
              <w:rPr>
                <w:rFonts w:ascii="仿宋_GB2312" w:eastAsia="仿宋_GB2312" w:hAnsi="仿宋_GB2312" w:cs="仿宋_GB2312"/>
                <w:sz w:val="24"/>
              </w:rPr>
              <w:t>局面，</w:t>
            </w:r>
            <w:r>
              <w:rPr>
                <w:rFonts w:ascii="仿宋_GB2312" w:eastAsia="仿宋_GB2312" w:hAnsi="仿宋_GB2312" w:cs="仿宋_GB2312"/>
                <w:sz w:val="24"/>
              </w:rPr>
              <w:t>居民幸福感、满意度大幅提升。</w:t>
            </w:r>
            <w:bookmarkEnd w:id="3"/>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三、坚持党建领航，廉洁勤政，意识形态常抓不懈</w:t>
            </w:r>
          </w:p>
          <w:p w:rsidR="00470C46" w:rsidRDefault="00C05AFC">
            <w:pPr>
              <w:autoSpaceDE w:val="0"/>
              <w:autoSpaceDN w:val="0"/>
              <w:adjustRightIn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（一）推动党建领航，组织开展各项党建活动。一是党建促乡村振兴。按照“双联共建 五个到户”帮扶困难户任务安排，我局66名党员干部结对帮扶花石镇红中村、马垅村、新加村154户困难户，每季度实地走访，每月联系了解生活状况，宣传防疫、创文、森林防火、抗旱、乡村振兴等政策，关心和帮助帮扶对象解决生活困难，严防脱贫户返贫现象发生，派驻7名驻村干部，</w:t>
            </w:r>
            <w:r>
              <w:rPr>
                <w:rFonts w:ascii="仿宋_GB2312" w:eastAsia="仿宋_GB2312" w:hAnsi="仿宋_GB2312" w:cs="仿宋_GB2312"/>
                <w:sz w:val="24"/>
              </w:rPr>
              <w:lastRenderedPageBreak/>
              <w:t>帮助村上解决道路建设资金12万元。二是以学促党建。按计划开展主题党日活动，利用本地红色教育资源，分别赴韶山、乌石、金霞山等地重温革命史，传承红色基因，从中吸取成长力量，促进党员同志多看多学多思，强化自身素质修养。三是夯实党务基础。完成年度党统工作，全年缴纳党费32110.8元，做到应缴尽缴。召开“七一”表彰大会，表彰优秀基层党组织1个，表彰优秀党员和优秀党务工作者30人，慰问困难党员干部10人。</w:t>
            </w:r>
          </w:p>
          <w:p w:rsidR="00470C46" w:rsidRDefault="00C05AFC">
            <w:pPr>
              <w:autoSpaceDE w:val="0"/>
              <w:autoSpaceDN w:val="0"/>
              <w:adjustRightIn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二）常抓党风廉政建设，涵养政治生态。一是以全面从严治党为主线。认真学习贯彻习近平新时代中国特色社会主义思想，制定党委全面从严治党“一计划”“两清单”，明确党委主体责任、书记第一责任人责任、班子成员“一岗双责”责任，形成了党委书记带头抓、党委成员分工抓的责任体系。二是以压实主体责任为抓手。制定《清廉住建建设工作方案》，推动清廉住建建设融入“清廉莲乡”建设；开展“清源”以案促改促建促治活动，全力支持配合巡察和驻局纪检组工作，将清廉建设日常监督成果纳入单位绩效考核；打造廉政文化长廊，通过弘扬中华民族传统廉政成语、名言，培育清正廉洁价值观念。三是以建设清廉股室为载体。开展“振兴莲乡·我的责任”大讨论，结合我局工作实际，将“江声壹号”项目打造成清廉工程项目，并对所有在建工地张贴廉政教育“十不准”公开承诺书，将清廉建设与各股室、二级机构业务工作有机结合，着力打造样板，逐步规范提升，以点带面推进清廉住建建设全方位深化。</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（三）落实作风建设，意识形态常抓不懈。开展“正作风、提精神、鼓士气”专项整治行动以来，开展督查</w:t>
            </w:r>
            <w:r>
              <w:rPr>
                <w:rFonts w:ascii="仿宋_GB2312" w:eastAsia="仿宋_GB2312" w:hAnsi="仿宋_GB2312" w:cs="仿宋_GB2312"/>
                <w:sz w:val="24"/>
              </w:rPr>
              <w:lastRenderedPageBreak/>
              <w:t>25次，发现作风问题13项，通报36人次，提醒谈话28人，树立“三牛四干”典型部门成果12例，典型干部17人次，形成“讲作风、提作风、扬作风”的良好局面，干部作风明显提升。定期分析研究意识形态工作，建立意识形态研判机制，报送行业意识形态风险研判报告10篇；推动意识形态工作阵地建设，专门打造一间学习阅览室，制作意识形态应知应会宣传版面和宣传标语；健全完善中心组学习制度，统一党员干部和群众思想，为推进全局工作的开展提供强大的精神动力和思想保证。</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四、加强法治建设，依法行政，守牢安全生产底线</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（一）坚持学法普法用法。一是开展《</w:t>
            </w:r>
            <w:r>
              <w:rPr>
                <w:rFonts w:ascii="仿宋_GB2312" w:eastAsia="仿宋_GB2312" w:hAnsi="仿宋_GB2312" w:cs="仿宋_GB2312" w:hint="eastAsia"/>
                <w:sz w:val="24"/>
              </w:rPr>
              <w:t>中华人民共和国</w:t>
            </w:r>
            <w:bookmarkStart w:id="4" w:name="_GoBack"/>
            <w:bookmarkEnd w:id="4"/>
            <w:r>
              <w:rPr>
                <w:rFonts w:ascii="仿宋_GB2312" w:eastAsia="仿宋_GB2312" w:hAnsi="仿宋_GB2312" w:cs="仿宋_GB2312"/>
                <w:sz w:val="24"/>
              </w:rPr>
              <w:t>民法典》、“宪法周”宣传活动，结合住建领域特点，将相关法律法规宣传深入企业、工地、社区，不断提高执法人员依法行政能力。二是强化干部职工考学和执法人员资格考试，全年“如法网”参考96人，执法人员资格考试23人，学习率、参考率、合格率均达到100%。三是严格监管执法，保持“打非治违”高压态势，对各类违法行为果断处理，坚决打击，全年累计简易执法处罚17起，立案处罚8起，经济处罚36.237万元，认定上报省厅严重不良行为记录5起（含个人），对乡镇下达行政执法建议书4份。</w:t>
            </w:r>
          </w:p>
          <w:p w:rsidR="00470C46" w:rsidRDefault="00C05AFC">
            <w:pPr>
              <w:widowControl/>
              <w:tabs>
                <w:tab w:val="left" w:pos="4320"/>
              </w:tabs>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二）守牢安全生产底线。以习近平总书记关于安全生产重要论述为指导，全面落实县委决策部署，不断压实安全生产责任，深入开展“安全生产专项整治三年行动”，大力开展“打非治违”工作，积极开展以“遵守安全生产法，当好第一责任人”为主题的安全生产系列活动，住建领域安全生产形势总体稳定向好。</w:t>
            </w:r>
          </w:p>
          <w:p w:rsidR="00470C46" w:rsidRDefault="00470C46">
            <w:pPr>
              <w:spacing w:line="360" w:lineRule="auto"/>
              <w:ind w:firstLineChars="200" w:firstLine="480"/>
              <w:rPr>
                <w:rFonts w:ascii="仿宋_GB2312" w:eastAsia="仿宋_GB2312" w:hAnsi="仿宋_GB2312" w:cs="仿宋_GB2312"/>
                <w:sz w:val="24"/>
              </w:rPr>
            </w:pPr>
          </w:p>
        </w:tc>
      </w:tr>
      <w:tr w:rsidR="00470C46">
        <w:trPr>
          <w:trHeight w:val="1856"/>
          <w:jc w:val="center"/>
        </w:trPr>
        <w:tc>
          <w:tcPr>
            <w:tcW w:w="1384" w:type="dxa"/>
            <w:vMerge w:val="restart"/>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70C46" w:rsidRDefault="00C05AFC" w:rsidP="00A24349">
            <w:pPr>
              <w:pStyle w:val="ac"/>
              <w:spacing w:line="360" w:lineRule="auto"/>
              <w:ind w:left="77" w:firstLine="480"/>
              <w:rPr>
                <w:rFonts w:ascii="仿宋_GB2312" w:eastAsia="仿宋_GB2312" w:hAnsi="仿宋_GB2312" w:cs="仿宋_GB2312"/>
                <w:sz w:val="24"/>
              </w:rPr>
            </w:pPr>
            <w:r>
              <w:rPr>
                <w:rFonts w:ascii="仿宋_GB2312" w:eastAsia="仿宋_GB2312" w:hAnsi="仿宋_GB2312" w:cs="仿宋_GB2312" w:hint="eastAsia"/>
                <w:sz w:val="24"/>
              </w:rPr>
              <w:t>1、预算编制的口径与实际执行有不一致，上级资金未纳入年初预算，导致预算执行有偏差、经费缺口较大：且我局业务性专项资金种类繁多，涉及面广，财务整体监管难度偏大。</w:t>
            </w:r>
          </w:p>
          <w:p w:rsidR="00470C46" w:rsidRDefault="00C05AFC" w:rsidP="00A24349">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2、部分功能性科目规范使用有待加强。因财政资金紧张，所需资金指标很难按时到位，而单位有些必要支出项目不得已使用其他功能指标进行支付。</w:t>
            </w:r>
          </w:p>
          <w:p w:rsidR="00470C46" w:rsidRDefault="00C05AFC">
            <w:pPr>
              <w:spacing w:line="360" w:lineRule="auto"/>
              <w:ind w:firstLineChars="200" w:firstLine="480"/>
              <w:jc w:val="left"/>
              <w:rPr>
                <w:rFonts w:ascii="仿宋_GB2312" w:eastAsia="仿宋_GB2312" w:hAnsi="仿宋_GB2312" w:cs="仿宋_GB2312"/>
                <w:sz w:val="24"/>
              </w:rPr>
            </w:pPr>
            <w:r>
              <w:rPr>
                <w:rFonts w:ascii="仿宋_GB2312" w:eastAsia="仿宋_GB2312" w:hAnsi="仿宋_GB2312" w:cs="仿宋_GB2312" w:hint="eastAsia"/>
                <w:sz w:val="24"/>
              </w:rPr>
              <w:t>3、由于我局机构较多，人员较多，机关工作经费预算不足，难保正常运转；</w:t>
            </w:r>
          </w:p>
        </w:tc>
      </w:tr>
      <w:tr w:rsidR="00470C46">
        <w:trPr>
          <w:trHeight w:val="1408"/>
          <w:jc w:val="center"/>
        </w:trPr>
        <w:tc>
          <w:tcPr>
            <w:tcW w:w="1384" w:type="dxa"/>
            <w:vMerge/>
          </w:tcPr>
          <w:p w:rsidR="00470C46" w:rsidRDefault="00470C46">
            <w:pPr>
              <w:spacing w:line="360" w:lineRule="auto"/>
              <w:jc w:val="center"/>
              <w:rPr>
                <w:rFonts w:ascii="仿宋_GB2312" w:eastAsia="仿宋_GB2312" w:hAnsi="宋体" w:cs="宋体"/>
                <w:sz w:val="24"/>
              </w:rPr>
            </w:pP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A24349" w:rsidRDefault="00C05AFC" w:rsidP="00A24349">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加强预算的科学性、计划性。坚守“先有预算，后有支出”的底线，无预算不得支出，且严格要求在预算范围内开支；强化日常管理工作。一是及时掌握资金使用动态情况，了解资金使用过程中产生的效果以及满意度情况；二是加强资金使用各环节的管理，严格按政策、制度的规定用好每一笔资金。</w:t>
            </w:r>
          </w:p>
          <w:p w:rsidR="00470C46" w:rsidRDefault="00C05AFC" w:rsidP="00A24349">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rsidR="00A24349" w:rsidRDefault="00C05AFC" w:rsidP="00A24349">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3、足额保障人员经费，提高单位工作经费，稳定基层建设队伍。</w:t>
            </w:r>
          </w:p>
          <w:p w:rsidR="00470C46" w:rsidRDefault="00C05AFC" w:rsidP="00A24349">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4、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w:t>
            </w:r>
            <w:r>
              <w:rPr>
                <w:rFonts w:ascii="仿宋_GB2312" w:eastAsia="仿宋_GB2312" w:hAnsi="仿宋_GB2312" w:cs="仿宋_GB2312" w:hint="eastAsia"/>
                <w:sz w:val="24"/>
              </w:rPr>
              <w:lastRenderedPageBreak/>
              <w:t>算执行进度，及时找出预算实际执行情况与预算目标之间存在的差距，切实提高部门预算收支管理水平。</w:t>
            </w:r>
          </w:p>
        </w:tc>
      </w:tr>
      <w:tr w:rsidR="00470C46">
        <w:trPr>
          <w:trHeight w:val="1500"/>
          <w:jc w:val="center"/>
        </w:trPr>
        <w:tc>
          <w:tcPr>
            <w:tcW w:w="1384" w:type="dxa"/>
            <w:vMerge/>
          </w:tcPr>
          <w:p w:rsidR="00470C46" w:rsidRDefault="00470C46">
            <w:pPr>
              <w:spacing w:line="360" w:lineRule="auto"/>
              <w:jc w:val="center"/>
              <w:rPr>
                <w:rFonts w:ascii="仿宋_GB2312" w:eastAsia="仿宋_GB2312" w:hAnsi="宋体" w:cs="宋体"/>
                <w:sz w:val="24"/>
              </w:rPr>
            </w:pP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70C46" w:rsidRDefault="00C05AFC">
            <w:pPr>
              <w:spacing w:line="360" w:lineRule="auto"/>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70C46" w:rsidRDefault="00470C46">
      <w:pPr>
        <w:widowControl/>
        <w:spacing w:line="360" w:lineRule="auto"/>
        <w:jc w:val="left"/>
        <w:rPr>
          <w:rFonts w:ascii="仿宋_GB2312" w:eastAsia="仿宋_GB2312" w:hAnsi="宋体" w:cs="宋体"/>
          <w:sz w:val="24"/>
        </w:rPr>
      </w:pPr>
    </w:p>
    <w:p w:rsidR="00470C46" w:rsidRDefault="00470C46">
      <w:pPr>
        <w:spacing w:line="360" w:lineRule="auto"/>
        <w:rPr>
          <w:rFonts w:ascii="仿宋_GB2312" w:eastAsia="仿宋_GB2312" w:hAnsi="宋体" w:cs="宋体"/>
          <w:sz w:val="24"/>
        </w:rPr>
      </w:pPr>
    </w:p>
    <w:p w:rsidR="00A24349" w:rsidRDefault="00A24349">
      <w:pPr>
        <w:spacing w:line="360" w:lineRule="auto"/>
        <w:rPr>
          <w:rFonts w:ascii="仿宋_GB2312" w:eastAsia="仿宋_GB2312" w:hAnsi="宋体" w:cs="宋体"/>
          <w:sz w:val="24"/>
        </w:rPr>
      </w:pPr>
    </w:p>
    <w:sectPr w:rsidR="00A24349" w:rsidSect="00470C46">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2D78" w:rsidRDefault="00DD2D78" w:rsidP="00990B74">
      <w:r>
        <w:separator/>
      </w:r>
    </w:p>
  </w:endnote>
  <w:endnote w:type="continuationSeparator" w:id="0">
    <w:p w:rsidR="00DD2D78" w:rsidRDefault="00DD2D78" w:rsidP="00990B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2D78" w:rsidRDefault="00DD2D78" w:rsidP="00990B74">
      <w:r>
        <w:separator/>
      </w:r>
    </w:p>
  </w:footnote>
  <w:footnote w:type="continuationSeparator" w:id="0">
    <w:p w:rsidR="00DD2D78" w:rsidRDefault="00DD2D78" w:rsidP="00990B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GI4ZTMxYTkyZGMxOTcxYmUwYmIwOGRlZDZmYjE5Y2YifQ=="/>
  </w:docVars>
  <w:rsids>
    <w:rsidRoot w:val="00B86CF5"/>
    <w:rsid w:val="00002834"/>
    <w:rsid w:val="00021C6A"/>
    <w:rsid w:val="00090A25"/>
    <w:rsid w:val="000C3168"/>
    <w:rsid w:val="00181616"/>
    <w:rsid w:val="002300C3"/>
    <w:rsid w:val="002E5B04"/>
    <w:rsid w:val="002E68B1"/>
    <w:rsid w:val="00386026"/>
    <w:rsid w:val="004554AD"/>
    <w:rsid w:val="00470C46"/>
    <w:rsid w:val="0048553F"/>
    <w:rsid w:val="004E1662"/>
    <w:rsid w:val="005678F6"/>
    <w:rsid w:val="005D18B3"/>
    <w:rsid w:val="006378B4"/>
    <w:rsid w:val="007E25F5"/>
    <w:rsid w:val="008D0458"/>
    <w:rsid w:val="00942636"/>
    <w:rsid w:val="00990B74"/>
    <w:rsid w:val="009B4126"/>
    <w:rsid w:val="009C5C83"/>
    <w:rsid w:val="009D7FE7"/>
    <w:rsid w:val="00A24349"/>
    <w:rsid w:val="00A81527"/>
    <w:rsid w:val="00AE5FC4"/>
    <w:rsid w:val="00B62652"/>
    <w:rsid w:val="00B86CF5"/>
    <w:rsid w:val="00B90944"/>
    <w:rsid w:val="00BE186B"/>
    <w:rsid w:val="00BF7029"/>
    <w:rsid w:val="00C05AFC"/>
    <w:rsid w:val="00C12E57"/>
    <w:rsid w:val="00C478BC"/>
    <w:rsid w:val="00D06DCB"/>
    <w:rsid w:val="00D24B37"/>
    <w:rsid w:val="00D34ECB"/>
    <w:rsid w:val="00D7024A"/>
    <w:rsid w:val="00DD2D78"/>
    <w:rsid w:val="00E01049"/>
    <w:rsid w:val="00E84C79"/>
    <w:rsid w:val="00EA575D"/>
    <w:rsid w:val="00EA7EF2"/>
    <w:rsid w:val="00EE4BED"/>
    <w:rsid w:val="00EF7B1F"/>
    <w:rsid w:val="00F1448A"/>
    <w:rsid w:val="00F80D41"/>
    <w:rsid w:val="00FA1255"/>
    <w:rsid w:val="00FA7908"/>
    <w:rsid w:val="00FB3514"/>
    <w:rsid w:val="00FF232D"/>
    <w:rsid w:val="037264AF"/>
    <w:rsid w:val="08042101"/>
    <w:rsid w:val="0A5C592B"/>
    <w:rsid w:val="1B1C798F"/>
    <w:rsid w:val="234974D0"/>
    <w:rsid w:val="261E558D"/>
    <w:rsid w:val="289B5D9F"/>
    <w:rsid w:val="35452569"/>
    <w:rsid w:val="4D34390D"/>
    <w:rsid w:val="5B254A8B"/>
    <w:rsid w:val="6AB4102B"/>
    <w:rsid w:val="6C5A562C"/>
    <w:rsid w:val="70F06AA9"/>
    <w:rsid w:val="74C618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uiPriority="99"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Body Text First Indent" w:qFormat="1"/>
    <w:lsdException w:name="Body Text Indent 2" w:qFormat="1"/>
    <w:lsdException w:name="Hyperlink"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470C4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qFormat/>
    <w:rsid w:val="00470C46"/>
    <w:pPr>
      <w:spacing w:after="120" w:line="480" w:lineRule="auto"/>
      <w:ind w:leftChars="200" w:left="200" w:firstLineChars="200" w:firstLine="200"/>
    </w:pPr>
    <w:rPr>
      <w:rFonts w:ascii="Calibri" w:eastAsia="仿宋" w:hAnsi="Calibri"/>
      <w:sz w:val="32"/>
    </w:rPr>
  </w:style>
  <w:style w:type="paragraph" w:styleId="a3">
    <w:name w:val="Body Text"/>
    <w:basedOn w:val="a"/>
    <w:next w:val="5"/>
    <w:qFormat/>
    <w:rsid w:val="00470C46"/>
    <w:pPr>
      <w:spacing w:after="120"/>
    </w:pPr>
  </w:style>
  <w:style w:type="paragraph" w:styleId="5">
    <w:name w:val="toc 5"/>
    <w:basedOn w:val="a"/>
    <w:next w:val="a"/>
    <w:uiPriority w:val="99"/>
    <w:qFormat/>
    <w:rsid w:val="00470C46"/>
    <w:pPr>
      <w:ind w:leftChars="800" w:left="1680"/>
    </w:pPr>
  </w:style>
  <w:style w:type="paragraph" w:styleId="a4">
    <w:name w:val="footer"/>
    <w:basedOn w:val="a"/>
    <w:link w:val="Char"/>
    <w:qFormat/>
    <w:rsid w:val="00470C46"/>
    <w:pPr>
      <w:tabs>
        <w:tab w:val="center" w:pos="4153"/>
        <w:tab w:val="right" w:pos="8306"/>
      </w:tabs>
      <w:snapToGrid w:val="0"/>
      <w:jc w:val="left"/>
    </w:pPr>
    <w:rPr>
      <w:sz w:val="18"/>
      <w:szCs w:val="18"/>
    </w:rPr>
  </w:style>
  <w:style w:type="paragraph" w:styleId="a5">
    <w:name w:val="header"/>
    <w:basedOn w:val="a"/>
    <w:link w:val="Char0"/>
    <w:qFormat/>
    <w:rsid w:val="00470C46"/>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470C46"/>
    <w:pPr>
      <w:widowControl/>
      <w:spacing w:before="100" w:beforeAutospacing="1" w:after="100" w:afterAutospacing="1"/>
      <w:jc w:val="left"/>
    </w:pPr>
    <w:rPr>
      <w:rFonts w:ascii="宋体" w:hAnsi="宋体" w:cs="宋体"/>
      <w:kern w:val="0"/>
      <w:sz w:val="24"/>
    </w:rPr>
  </w:style>
  <w:style w:type="paragraph" w:styleId="a7">
    <w:name w:val="Body Text First Indent"/>
    <w:basedOn w:val="a3"/>
    <w:qFormat/>
    <w:rsid w:val="00470C46"/>
    <w:pPr>
      <w:ind w:firstLineChars="100" w:firstLine="420"/>
    </w:pPr>
  </w:style>
  <w:style w:type="character" w:styleId="a8">
    <w:name w:val="Strong"/>
    <w:basedOn w:val="a0"/>
    <w:rsid w:val="00470C46"/>
    <w:rPr>
      <w:b/>
    </w:rPr>
  </w:style>
  <w:style w:type="character" w:styleId="a9">
    <w:name w:val="Emphasis"/>
    <w:basedOn w:val="a0"/>
    <w:qFormat/>
    <w:rsid w:val="00470C46"/>
    <w:rPr>
      <w:i/>
      <w:iCs/>
    </w:rPr>
  </w:style>
  <w:style w:type="character" w:styleId="aa">
    <w:name w:val="Hyperlink"/>
    <w:basedOn w:val="a0"/>
    <w:qFormat/>
    <w:rsid w:val="00470C46"/>
    <w:rPr>
      <w:color w:val="0000FF" w:themeColor="hyperlink"/>
      <w:u w:val="single"/>
    </w:rPr>
  </w:style>
  <w:style w:type="character" w:customStyle="1" w:styleId="Char0">
    <w:name w:val="页眉 Char"/>
    <w:basedOn w:val="a0"/>
    <w:link w:val="a5"/>
    <w:qFormat/>
    <w:rsid w:val="00470C46"/>
    <w:rPr>
      <w:kern w:val="2"/>
      <w:sz w:val="18"/>
      <w:szCs w:val="18"/>
    </w:rPr>
  </w:style>
  <w:style w:type="character" w:customStyle="1" w:styleId="Char">
    <w:name w:val="页脚 Char"/>
    <w:basedOn w:val="a0"/>
    <w:link w:val="a4"/>
    <w:qFormat/>
    <w:rsid w:val="00470C46"/>
    <w:rPr>
      <w:kern w:val="2"/>
      <w:sz w:val="18"/>
      <w:szCs w:val="18"/>
    </w:rPr>
  </w:style>
  <w:style w:type="paragraph" w:styleId="ab">
    <w:name w:val="No Spacing"/>
    <w:uiPriority w:val="1"/>
    <w:qFormat/>
    <w:rsid w:val="00470C46"/>
    <w:pPr>
      <w:widowControl w:val="0"/>
      <w:jc w:val="both"/>
    </w:pPr>
    <w:rPr>
      <w:rFonts w:ascii="Calibri" w:hAnsi="Calibri"/>
      <w:kern w:val="2"/>
      <w:sz w:val="21"/>
      <w:szCs w:val="22"/>
    </w:rPr>
  </w:style>
  <w:style w:type="paragraph" w:styleId="ac">
    <w:name w:val="List Paragraph"/>
    <w:basedOn w:val="a"/>
    <w:uiPriority w:val="34"/>
    <w:qFormat/>
    <w:rsid w:val="00470C4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10</Pages>
  <Words>908</Words>
  <Characters>5179</Characters>
  <Application>Microsoft Office Word</Application>
  <DocSecurity>0</DocSecurity>
  <Lines>43</Lines>
  <Paragraphs>12</Paragraphs>
  <ScaleCrop>false</ScaleCrop>
  <Company>China</Company>
  <LinksUpToDate>false</LinksUpToDate>
  <CharactersWithSpaces>6075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dc:creator>
  <cp:lastModifiedBy>Administrator</cp:lastModifiedBy>
  <cp:revision>12</cp:revision>
  <cp:lastPrinted>2019-08-29T02:25:00Z</cp:lastPrinted>
  <dcterms:created xsi:type="dcterms:W3CDTF">2019-08-30T07:48:00Z</dcterms:created>
  <dcterms:modified xsi:type="dcterms:W3CDTF">2023-09-12T09:39:00Z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6B3E7764D26E4CD7B998936B6D5B9092</vt:lpwstr>
  </property>
</Properties>
</file>