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rFonts w:ascii="宋体" w:hAnsi="宋体" w:eastAsia="宋体" w:cs="宋体"/>
          <w:sz w:val="72"/>
          <w:szCs w:val="72"/>
        </w:rPr>
      </w:pPr>
      <w:r>
        <w:rPr>
          <w:rFonts w:hint="eastAsia" w:ascii="宋体" w:hAnsi="宋体" w:eastAsia="宋体" w:cs="宋体"/>
          <w:sz w:val="72"/>
          <w:szCs w:val="72"/>
        </w:rPr>
        <w:t>2020年度</w:t>
      </w:r>
    </w:p>
    <w:p>
      <w:pPr>
        <w:pStyle w:val="11"/>
        <w:jc w:val="center"/>
        <w:rPr>
          <w:rFonts w:ascii="宋体" w:hAnsi="宋体" w:eastAsia="宋体" w:cs="宋体"/>
          <w:sz w:val="72"/>
          <w:szCs w:val="72"/>
        </w:rPr>
      </w:pPr>
      <w:r>
        <w:rPr>
          <w:rFonts w:hint="eastAsia" w:ascii="宋体" w:hAnsi="宋体" w:eastAsia="宋体" w:cs="宋体"/>
          <w:sz w:val="72"/>
          <w:szCs w:val="72"/>
        </w:rPr>
        <w:t>湘潭县商务局部门决算</w:t>
      </w:r>
    </w:p>
    <w:p>
      <w:pPr>
        <w:pStyle w:val="11"/>
        <w:jc w:val="center"/>
        <w:rPr>
          <w:rFonts w:ascii="宋体" w:hAnsi="宋体" w:eastAsia="宋体" w:cs="宋体"/>
          <w:sz w:val="72"/>
          <w:szCs w:val="72"/>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56"/>
          <w:szCs w:val="56"/>
        </w:rPr>
      </w:pPr>
    </w:p>
    <w:p>
      <w:pPr>
        <w:pStyle w:val="11"/>
        <w:jc w:val="center"/>
        <w:rPr>
          <w:sz w:val="32"/>
          <w:szCs w:val="32"/>
        </w:rPr>
      </w:pPr>
    </w:p>
    <w:p>
      <w:pPr>
        <w:pStyle w:val="11"/>
        <w:jc w:val="center"/>
        <w:rPr>
          <w:sz w:val="32"/>
          <w:szCs w:val="32"/>
        </w:rPr>
      </w:pPr>
    </w:p>
    <w:p>
      <w:pPr>
        <w:pStyle w:val="11"/>
        <w:jc w:val="center"/>
        <w:rPr>
          <w:sz w:val="32"/>
          <w:szCs w:val="32"/>
        </w:rPr>
      </w:pPr>
    </w:p>
    <w:p>
      <w:pPr>
        <w:pStyle w:val="11"/>
        <w:jc w:val="center"/>
        <w:rPr>
          <w:sz w:val="32"/>
          <w:szCs w:val="32"/>
        </w:rPr>
      </w:pPr>
    </w:p>
    <w:p>
      <w:pPr>
        <w:pStyle w:val="11"/>
        <w:jc w:val="center"/>
        <w:rPr>
          <w:sz w:val="32"/>
          <w:szCs w:val="32"/>
        </w:rPr>
      </w:pPr>
    </w:p>
    <w:p>
      <w:pPr>
        <w:pStyle w:val="11"/>
        <w:jc w:val="center"/>
        <w:rPr>
          <w:rFonts w:cs="Times New Roman"/>
          <w:sz w:val="32"/>
          <w:szCs w:val="32"/>
        </w:rPr>
      </w:pPr>
    </w:p>
    <w:p>
      <w:pPr>
        <w:pStyle w:val="11"/>
        <w:jc w:val="center"/>
        <w:rPr>
          <w:rFonts w:cs="Times New Roman"/>
          <w:sz w:val="32"/>
          <w:szCs w:val="32"/>
        </w:rPr>
      </w:pPr>
    </w:p>
    <w:p>
      <w:pPr>
        <w:pStyle w:val="11"/>
        <w:jc w:val="center"/>
        <w:rPr>
          <w:rFonts w:cs="Times New Roman"/>
          <w:sz w:val="32"/>
          <w:szCs w:val="32"/>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00" w:lineRule="exact"/>
        <w:jc w:val="center"/>
        <w:rPr>
          <w:rFonts w:cs="Times New Roman"/>
          <w:b/>
          <w:bCs/>
          <w:sz w:val="36"/>
          <w:szCs w:val="36"/>
        </w:rPr>
      </w:pPr>
    </w:p>
    <w:p>
      <w:pPr>
        <w:pStyle w:val="11"/>
        <w:spacing w:line="500" w:lineRule="exact"/>
        <w:jc w:val="center"/>
        <w:rPr>
          <w:rFonts w:cs="Times New Roman"/>
          <w:b/>
          <w:bCs/>
          <w:sz w:val="36"/>
          <w:szCs w:val="36"/>
        </w:rPr>
      </w:pPr>
      <w:r>
        <w:rPr>
          <w:rFonts w:hint="eastAsia"/>
          <w:b/>
          <w:bCs/>
          <w:sz w:val="36"/>
          <w:szCs w:val="36"/>
        </w:rPr>
        <w:t>目录</w:t>
      </w:r>
    </w:p>
    <w:p>
      <w:pPr>
        <w:pStyle w:val="11"/>
        <w:spacing w:line="460" w:lineRule="exact"/>
        <w:rPr>
          <w:rFonts w:ascii="仿宋_GB2312" w:eastAsia="仿宋_GB2312" w:cs="Times New Roman"/>
          <w:b/>
          <w:bCs/>
          <w:sz w:val="28"/>
          <w:szCs w:val="28"/>
        </w:rPr>
      </w:pPr>
      <w:r>
        <w:rPr>
          <w:rFonts w:hint="eastAsia"/>
          <w:b/>
          <w:bCs/>
          <w:sz w:val="28"/>
          <w:szCs w:val="28"/>
        </w:rPr>
        <w:t>第一部分湘潭县商务局单位概况</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1"/>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2020</w:t>
      </w:r>
      <w:r>
        <w:rPr>
          <w:rFonts w:hint="eastAsia" w:hAnsi="仿宋_GB2312"/>
          <w:b/>
          <w:bCs/>
          <w:sz w:val="28"/>
          <w:szCs w:val="28"/>
        </w:rPr>
        <w:t>年度部门决算表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1"/>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2020</w:t>
      </w:r>
      <w:r>
        <w:rPr>
          <w:rFonts w:hint="eastAsia" w:hAnsi="仿宋_GB2312"/>
          <w:b/>
          <w:bCs/>
          <w:sz w:val="28"/>
          <w:szCs w:val="28"/>
        </w:rPr>
        <w:t>年度部门决算情况说明</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2020</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1"/>
        <w:jc w:val="center"/>
        <w:rPr>
          <w:rFonts w:ascii="宋体" w:hAnsi="宋体" w:eastAsia="宋体" w:cs="宋体"/>
          <w:sz w:val="72"/>
          <w:szCs w:val="72"/>
        </w:rPr>
      </w:pPr>
      <w:r>
        <w:rPr>
          <w:rFonts w:hint="eastAsia" w:ascii="宋体" w:hAnsi="宋体" w:eastAsia="宋体" w:cs="宋体"/>
          <w:sz w:val="72"/>
          <w:szCs w:val="72"/>
        </w:rPr>
        <w:t>第一部分</w:t>
      </w:r>
    </w:p>
    <w:p>
      <w:pPr>
        <w:pStyle w:val="11"/>
        <w:jc w:val="center"/>
        <w:rPr>
          <w:rFonts w:ascii="宋体" w:hAnsi="宋体" w:eastAsia="宋体" w:cs="宋体"/>
          <w:sz w:val="72"/>
          <w:szCs w:val="72"/>
        </w:rPr>
      </w:pPr>
    </w:p>
    <w:p>
      <w:pPr>
        <w:pStyle w:val="11"/>
        <w:jc w:val="center"/>
        <w:rPr>
          <w:rFonts w:ascii="宋体" w:hAnsi="宋体" w:eastAsia="宋体" w:cs="宋体"/>
          <w:sz w:val="72"/>
          <w:szCs w:val="72"/>
        </w:rPr>
      </w:pPr>
      <w:r>
        <w:rPr>
          <w:rFonts w:hint="eastAsia" w:ascii="宋体" w:hAnsi="宋体" w:eastAsia="宋体" w:cs="宋体"/>
          <w:sz w:val="72"/>
          <w:szCs w:val="72"/>
        </w:rPr>
        <w:t>湘潭县商务局单位概况</w:t>
      </w:r>
    </w:p>
    <w:p>
      <w:pPr>
        <w:pStyle w:val="6"/>
        <w:shd w:val="clear" w:color="auto" w:fill="FFFFFF"/>
        <w:spacing w:before="225" w:beforeAutospacing="0" w:after="0" w:afterAutospacing="0" w:line="480" w:lineRule="auto"/>
        <w:rPr>
          <w:b/>
          <w:color w:val="333333"/>
          <w:sz w:val="32"/>
          <w:szCs w:val="32"/>
        </w:rPr>
      </w:pPr>
      <w:r>
        <w:rPr>
          <w:rFonts w:hint="eastAsia"/>
          <w:b/>
          <w:color w:val="333333"/>
          <w:sz w:val="32"/>
          <w:szCs w:val="32"/>
          <w:shd w:val="clear" w:color="auto" w:fill="FFFFFF"/>
        </w:rPr>
        <w:t>一、单位基本概况</w:t>
      </w:r>
    </w:p>
    <w:p>
      <w:pPr>
        <w:pStyle w:val="6"/>
        <w:shd w:val="clear" w:color="auto" w:fill="FFFFFF"/>
        <w:spacing w:before="225" w:beforeAutospacing="0" w:after="0" w:afterAutospacing="0" w:line="480" w:lineRule="auto"/>
        <w:rPr>
          <w:color w:val="333333"/>
          <w:sz w:val="32"/>
          <w:szCs w:val="32"/>
        </w:rPr>
      </w:pPr>
      <w:r>
        <w:rPr>
          <w:rFonts w:hint="eastAsia"/>
          <w:color w:val="333333"/>
          <w:sz w:val="32"/>
          <w:szCs w:val="32"/>
          <w:shd w:val="clear" w:color="auto" w:fill="FFFFFF"/>
        </w:rPr>
        <w:t>　　（一）职能职责</w:t>
      </w:r>
    </w:p>
    <w:p>
      <w:pPr>
        <w:pStyle w:val="6"/>
        <w:shd w:val="clear" w:color="auto" w:fill="FFFFFF"/>
        <w:spacing w:before="225" w:beforeAutospacing="0" w:after="0" w:afterAutospacing="0" w:line="480" w:lineRule="auto"/>
        <w:rPr>
          <w:color w:val="333333"/>
          <w:sz w:val="32"/>
          <w:szCs w:val="32"/>
        </w:rPr>
      </w:pPr>
      <w:r>
        <w:rPr>
          <w:rFonts w:hint="eastAsia"/>
          <w:color w:val="333333"/>
          <w:sz w:val="32"/>
          <w:szCs w:val="32"/>
          <w:shd w:val="clear" w:color="auto" w:fill="FFFFFF"/>
        </w:rPr>
        <w:t>　　1.贯彻落实国家、省、市有关内外贸易、对外投资、招商引资的发展战略、方针、政策；拟定全县商务经济、利用外资等相应的中长期发展规划以及规定、办法和措施。研究区域经济合作、现代流通方式的发展趋势并提出相关建议。</w:t>
      </w:r>
    </w:p>
    <w:p>
      <w:pPr>
        <w:pStyle w:val="6"/>
        <w:shd w:val="clear" w:color="auto" w:fill="FFFFFF"/>
        <w:spacing w:before="225" w:beforeAutospacing="0" w:after="0" w:afterAutospacing="0" w:line="480" w:lineRule="auto"/>
        <w:rPr>
          <w:color w:val="333333"/>
          <w:sz w:val="32"/>
          <w:szCs w:val="32"/>
        </w:rPr>
      </w:pPr>
      <w:r>
        <w:rPr>
          <w:rFonts w:hint="eastAsia"/>
          <w:color w:val="333333"/>
          <w:sz w:val="32"/>
          <w:szCs w:val="32"/>
          <w:shd w:val="clear" w:color="auto" w:fill="FFFFFF"/>
        </w:rPr>
        <w:t>　　2.负责推进流通产业结构调整，研究提出流通体制改革建议。指导商贸服务业和社区商业发展，提出促进商贸中小企业发展的建议；培育发展城乡市场，推进流通产业结构调整和连锁经营、物流配送、电子商务等现代流通方式的发展。指导全县流通领域信息网络和电子商务建设、指导、监督、规范全县商贸流通行业协会、学会等社团组织工作。</w:t>
      </w:r>
    </w:p>
    <w:p>
      <w:pPr>
        <w:pStyle w:val="6"/>
        <w:shd w:val="clear" w:color="auto" w:fill="FFFFFF"/>
        <w:spacing w:before="225" w:beforeAutospacing="0" w:after="0" w:afterAutospacing="0" w:line="480" w:lineRule="auto"/>
        <w:ind w:firstLine="640"/>
        <w:rPr>
          <w:color w:val="333333"/>
          <w:sz w:val="32"/>
          <w:szCs w:val="32"/>
          <w:shd w:val="clear" w:color="auto" w:fill="FFFFFF"/>
        </w:rPr>
      </w:pPr>
      <w:r>
        <w:rPr>
          <w:rFonts w:hint="eastAsia"/>
          <w:color w:val="333333"/>
          <w:sz w:val="32"/>
          <w:szCs w:val="32"/>
          <w:shd w:val="clear" w:color="auto" w:fill="FFFFFF"/>
        </w:rPr>
        <w:t>3.拟定全县规范流通领域市场、流通秩序的有关规定。牵头协调整顿和规范市场经济秩序工作。指导、监督商务流通领域安全生产工作，拟订商务流通领域追溯体系建设规划并推进实施。推动商务领域信用建设，指导商业信用销售，建立市场诚信公共服务平台，按有关规定对特殊流通行业进行监督管理。</w:t>
      </w:r>
    </w:p>
    <w:p>
      <w:pPr>
        <w:pStyle w:val="6"/>
        <w:shd w:val="clear" w:color="auto" w:fill="FFFFFF"/>
        <w:spacing w:before="225" w:beforeAutospacing="0" w:after="0" w:afterAutospacing="0" w:line="480" w:lineRule="auto"/>
        <w:ind w:firstLine="640"/>
        <w:rPr>
          <w:color w:val="333333"/>
          <w:sz w:val="32"/>
          <w:szCs w:val="32"/>
          <w:shd w:val="clear" w:color="auto" w:fill="FFFFFF"/>
        </w:rPr>
      </w:pPr>
      <w:r>
        <w:rPr>
          <w:rFonts w:hint="eastAsia"/>
          <w:color w:val="333333"/>
          <w:sz w:val="32"/>
          <w:szCs w:val="32"/>
          <w:shd w:val="clear" w:color="auto" w:fill="FFFFFF"/>
        </w:rPr>
        <w:t>4.拟订全县贸易发展规划，提出引导国内外资金投向市场体系建设的政策建议，指导城市商业网点、大宗产品批发市场（不含农贸市场）规划，推进全县商业体系建设，组织实施农村现代流通网络工程。</w:t>
      </w:r>
    </w:p>
    <w:p>
      <w:pPr>
        <w:pStyle w:val="6"/>
        <w:shd w:val="clear" w:color="auto" w:fill="FFFFFF"/>
        <w:spacing w:before="225" w:beforeAutospacing="0" w:after="0" w:afterAutospacing="0" w:line="480" w:lineRule="auto"/>
        <w:ind w:firstLine="640"/>
        <w:rPr>
          <w:color w:val="333333"/>
          <w:sz w:val="32"/>
          <w:szCs w:val="32"/>
          <w:shd w:val="clear" w:color="auto" w:fill="FFFFFF"/>
        </w:rPr>
      </w:pPr>
      <w:r>
        <w:rPr>
          <w:rFonts w:hint="eastAsia"/>
          <w:color w:val="333333"/>
          <w:sz w:val="32"/>
          <w:szCs w:val="32"/>
          <w:shd w:val="clear" w:color="auto" w:fill="FFFFFF"/>
        </w:rPr>
        <w:t>5.承担组织实施重要消费品市场调控和重要生产资料流通管理的责任。负责建立健全生活必需品市场供应应急管理机制，监测分析市场运行、商品供求状况，调查分析商品价格信息进行预测、预警和信息引导。</w:t>
      </w:r>
    </w:p>
    <w:p>
      <w:pPr>
        <w:pStyle w:val="6"/>
        <w:shd w:val="clear" w:color="auto" w:fill="FFFFFF"/>
        <w:spacing w:before="225" w:beforeAutospacing="0" w:after="0" w:afterAutospacing="0" w:line="480" w:lineRule="auto"/>
        <w:ind w:firstLine="640"/>
        <w:rPr>
          <w:color w:val="333333"/>
          <w:sz w:val="32"/>
          <w:szCs w:val="32"/>
          <w:shd w:val="clear" w:color="auto" w:fill="FFFFFF"/>
        </w:rPr>
      </w:pPr>
      <w:r>
        <w:rPr>
          <w:rFonts w:hint="eastAsia"/>
          <w:color w:val="333333"/>
          <w:sz w:val="32"/>
          <w:szCs w:val="32"/>
          <w:shd w:val="clear" w:color="auto" w:fill="FFFFFF"/>
        </w:rPr>
        <w:t>6.贯彻执行国家制定的进出口商品、加工贸易管理办法和进出口管理商品、技术目录，拟定促进外贸增长方式转变的政策措施，指导贸易促进活动和外贸促进体系建设。</w:t>
      </w:r>
    </w:p>
    <w:p>
      <w:pPr>
        <w:pStyle w:val="6"/>
        <w:shd w:val="clear" w:color="auto" w:fill="FFFFFF"/>
        <w:spacing w:before="225" w:beforeAutospacing="0" w:after="0" w:afterAutospacing="0" w:line="480" w:lineRule="auto"/>
        <w:ind w:firstLine="640"/>
        <w:rPr>
          <w:color w:val="333333"/>
          <w:sz w:val="32"/>
          <w:szCs w:val="32"/>
          <w:shd w:val="clear" w:color="auto" w:fill="FFFFFF"/>
        </w:rPr>
      </w:pPr>
      <w:r>
        <w:rPr>
          <w:rFonts w:hint="eastAsia"/>
          <w:color w:val="333333"/>
          <w:sz w:val="32"/>
          <w:szCs w:val="32"/>
          <w:shd w:val="clear" w:color="auto" w:fill="FFFFFF"/>
        </w:rPr>
        <w:t>7.贯彻执行国家对外技术贸易、出口管制以及鼓励技术和成套设备进出口的政策，推进进出口贸易标准化工作。依法监督技术引进、设备进口、国家限制出口技术的工作。</w:t>
      </w:r>
    </w:p>
    <w:p>
      <w:pPr>
        <w:pStyle w:val="6"/>
        <w:shd w:val="clear" w:color="auto" w:fill="FFFFFF"/>
        <w:spacing w:before="225" w:beforeAutospacing="0" w:after="0" w:afterAutospacing="0" w:line="480" w:lineRule="auto"/>
        <w:ind w:firstLine="640"/>
        <w:rPr>
          <w:color w:val="333333"/>
          <w:sz w:val="32"/>
          <w:szCs w:val="32"/>
          <w:shd w:val="clear" w:color="auto" w:fill="FFFFFF"/>
        </w:rPr>
      </w:pPr>
      <w:r>
        <w:rPr>
          <w:rFonts w:hint="eastAsia"/>
          <w:color w:val="333333"/>
          <w:sz w:val="32"/>
          <w:szCs w:val="32"/>
          <w:shd w:val="clear" w:color="auto" w:fill="FFFFFF"/>
        </w:rPr>
        <w:t>8.牵头拟定服务贸易发展和服务外包规划并开展相关工作，推动服务外包平台建设。</w:t>
      </w:r>
    </w:p>
    <w:p>
      <w:pPr>
        <w:pStyle w:val="6"/>
        <w:shd w:val="clear" w:color="auto" w:fill="FFFFFF"/>
        <w:spacing w:before="225" w:beforeAutospacing="0" w:after="0" w:afterAutospacing="0" w:line="480" w:lineRule="auto"/>
        <w:ind w:firstLine="640"/>
        <w:rPr>
          <w:color w:val="333333"/>
          <w:sz w:val="32"/>
          <w:szCs w:val="32"/>
          <w:shd w:val="clear" w:color="auto" w:fill="FFFFFF"/>
        </w:rPr>
      </w:pPr>
      <w:r>
        <w:rPr>
          <w:rFonts w:hint="eastAsia"/>
          <w:color w:val="333333"/>
          <w:sz w:val="32"/>
          <w:szCs w:val="32"/>
          <w:shd w:val="clear" w:color="auto" w:fill="FFFFFF"/>
        </w:rPr>
        <w:t>9.指导全县对外经济技术合作，指导和监督管理全县对外承包工程、劳务合作等业务。牵头外派劳务和境外就业人员的权益保护工作。</w:t>
      </w:r>
    </w:p>
    <w:p>
      <w:pPr>
        <w:pStyle w:val="6"/>
        <w:shd w:val="clear" w:color="auto" w:fill="FFFFFF"/>
        <w:spacing w:before="225" w:beforeAutospacing="0" w:after="0" w:afterAutospacing="0" w:line="480" w:lineRule="auto"/>
        <w:ind w:firstLine="640"/>
        <w:rPr>
          <w:color w:val="333333"/>
          <w:sz w:val="32"/>
          <w:szCs w:val="32"/>
          <w:shd w:val="clear" w:color="auto" w:fill="FFFFFF"/>
        </w:rPr>
      </w:pPr>
      <w:r>
        <w:rPr>
          <w:rFonts w:hint="eastAsia"/>
          <w:color w:val="333333"/>
          <w:sz w:val="32"/>
          <w:szCs w:val="32"/>
          <w:shd w:val="clear" w:color="auto" w:fill="FFFFFF"/>
        </w:rPr>
        <w:t>10.贯彻执行我国多双边（含区域、自由贸易区）经贸合作战略和政策，推进我县与其他国家（地区）的经贸往来与投资贸易合作。牵头承担全县商务领域涉及世界贸易组织事务的相关工作，负责对外经济贸易协调工作。</w:t>
      </w:r>
    </w:p>
    <w:p>
      <w:pPr>
        <w:pStyle w:val="6"/>
        <w:shd w:val="clear" w:color="auto" w:fill="FFFFFF"/>
        <w:spacing w:before="225" w:beforeAutospacing="0" w:after="0" w:afterAutospacing="0" w:line="480" w:lineRule="auto"/>
        <w:ind w:firstLine="640"/>
        <w:rPr>
          <w:color w:val="333333"/>
          <w:sz w:val="32"/>
          <w:szCs w:val="32"/>
          <w:shd w:val="clear" w:color="auto" w:fill="FFFFFF"/>
        </w:rPr>
      </w:pPr>
      <w:r>
        <w:rPr>
          <w:rFonts w:hint="eastAsia"/>
          <w:color w:val="333333"/>
          <w:sz w:val="32"/>
          <w:szCs w:val="32"/>
          <w:shd w:val="clear" w:color="auto" w:fill="FFFFFF"/>
        </w:rPr>
        <w:t>11.配合省、市商务部门做好反倾销、反补贴、保障措施和其他与进出口公平贸易相关的工作，协助开展对外贸易调查和产业损害调查、产业安全应对等工作。</w:t>
      </w:r>
    </w:p>
    <w:p>
      <w:pPr>
        <w:pStyle w:val="6"/>
        <w:shd w:val="clear" w:color="auto" w:fill="FFFFFF"/>
        <w:spacing w:before="225" w:beforeAutospacing="0" w:after="0" w:afterAutospacing="0" w:line="480" w:lineRule="auto"/>
        <w:ind w:firstLine="640"/>
        <w:rPr>
          <w:color w:val="333333"/>
          <w:sz w:val="32"/>
          <w:szCs w:val="32"/>
          <w:shd w:val="clear" w:color="auto" w:fill="FFFFFF"/>
        </w:rPr>
      </w:pPr>
      <w:r>
        <w:rPr>
          <w:rFonts w:hint="eastAsia"/>
          <w:color w:val="333333"/>
          <w:sz w:val="32"/>
          <w:szCs w:val="32"/>
          <w:shd w:val="clear" w:color="auto" w:fill="FFFFFF"/>
        </w:rPr>
        <w:t>12.指导、协调、组织参与以湘潭县名义在境内外举办的各种内外贸交易会、展览会、展销会等活动。</w:t>
      </w:r>
    </w:p>
    <w:p>
      <w:pPr>
        <w:pStyle w:val="6"/>
        <w:shd w:val="clear" w:color="auto" w:fill="FFFFFF"/>
        <w:spacing w:before="225" w:beforeAutospacing="0" w:after="0" w:afterAutospacing="0" w:line="480" w:lineRule="auto"/>
        <w:ind w:firstLine="640"/>
        <w:rPr>
          <w:color w:val="333333"/>
          <w:sz w:val="32"/>
          <w:szCs w:val="32"/>
          <w:shd w:val="clear" w:color="auto" w:fill="FFFFFF"/>
        </w:rPr>
      </w:pPr>
      <w:r>
        <w:rPr>
          <w:rFonts w:hint="eastAsia"/>
          <w:color w:val="333333"/>
          <w:sz w:val="32"/>
          <w:szCs w:val="32"/>
          <w:shd w:val="clear" w:color="auto" w:fill="FFFFFF"/>
        </w:rPr>
        <w:t>13.宏观指导全县招商引资工作，组织拟订全县招商引资发展规划、政策措施，落实招商引资政策。负责全县招商信息交流工作。负责我县内外资及招商项目的协调和统计工作。负责考核全县各级各部门招商引资工作。承担县招商引资工作领导小组办公室的日常工作。</w:t>
      </w:r>
    </w:p>
    <w:p>
      <w:pPr>
        <w:pStyle w:val="6"/>
        <w:shd w:val="clear" w:color="auto" w:fill="FFFFFF"/>
        <w:spacing w:before="225" w:beforeAutospacing="0" w:after="0" w:afterAutospacing="0" w:line="480" w:lineRule="auto"/>
        <w:ind w:firstLine="640"/>
        <w:rPr>
          <w:color w:val="333333"/>
          <w:sz w:val="32"/>
          <w:szCs w:val="32"/>
          <w:shd w:val="clear" w:color="auto" w:fill="FFFFFF"/>
        </w:rPr>
      </w:pPr>
      <w:r>
        <w:rPr>
          <w:rFonts w:hint="eastAsia"/>
          <w:color w:val="333333"/>
          <w:sz w:val="32"/>
          <w:szCs w:val="32"/>
          <w:shd w:val="clear" w:color="auto" w:fill="FFFFFF"/>
        </w:rPr>
        <w:t>14.分析研究全县外来投资情况，统一对外发布重点招商项目和招商信息。规范招商引资活动，指导投资促进活动。负责与境内外企业财团，各界人士联络。组织举办或参与各类招商活动。做好招商引资奖励的前期准备工作，跟踪调度重点招商项目并督促落实。</w:t>
      </w:r>
    </w:p>
    <w:p>
      <w:pPr>
        <w:pStyle w:val="6"/>
        <w:shd w:val="clear" w:color="auto" w:fill="FFFFFF"/>
        <w:spacing w:before="225" w:beforeAutospacing="0" w:after="0" w:afterAutospacing="0" w:line="480" w:lineRule="auto"/>
        <w:rPr>
          <w:color w:val="333333"/>
          <w:sz w:val="32"/>
          <w:szCs w:val="32"/>
          <w:shd w:val="clear" w:color="auto" w:fill="FFFFFF"/>
        </w:rPr>
      </w:pPr>
      <w:r>
        <w:rPr>
          <w:rFonts w:hint="eastAsia"/>
          <w:color w:val="333333"/>
          <w:sz w:val="32"/>
          <w:szCs w:val="32"/>
          <w:shd w:val="clear" w:color="auto" w:fill="FFFFFF"/>
        </w:rPr>
        <w:t>15.监督检查外来投资企业执行有关法律法规规章、合同、章程的情况并协调解决有关问题。</w:t>
      </w:r>
    </w:p>
    <w:p>
      <w:pPr>
        <w:pStyle w:val="6"/>
        <w:shd w:val="clear" w:color="auto" w:fill="FFFFFF"/>
        <w:spacing w:before="225" w:beforeAutospacing="0" w:after="0" w:afterAutospacing="0" w:line="480" w:lineRule="auto"/>
        <w:rPr>
          <w:color w:val="333333"/>
          <w:sz w:val="32"/>
          <w:szCs w:val="32"/>
          <w:shd w:val="clear" w:color="auto" w:fill="FFFFFF"/>
        </w:rPr>
      </w:pPr>
      <w:r>
        <w:rPr>
          <w:rFonts w:hint="eastAsia"/>
          <w:color w:val="333333"/>
          <w:sz w:val="32"/>
          <w:szCs w:val="32"/>
          <w:shd w:val="clear" w:color="auto" w:fill="FFFFFF"/>
        </w:rPr>
        <w:t>16.承担全县商务系统统计及信息发布工作。</w:t>
      </w:r>
    </w:p>
    <w:p>
      <w:pPr>
        <w:pStyle w:val="6"/>
        <w:shd w:val="clear" w:color="auto" w:fill="FFFFFF"/>
        <w:spacing w:before="225" w:beforeAutospacing="0" w:after="0" w:afterAutospacing="0" w:line="480" w:lineRule="auto"/>
        <w:rPr>
          <w:color w:val="333333"/>
          <w:sz w:val="32"/>
          <w:szCs w:val="32"/>
          <w:shd w:val="clear" w:color="auto" w:fill="FFFFFF"/>
        </w:rPr>
      </w:pPr>
      <w:r>
        <w:rPr>
          <w:rFonts w:hint="eastAsia"/>
          <w:color w:val="333333"/>
          <w:sz w:val="32"/>
          <w:szCs w:val="32"/>
          <w:shd w:val="clear" w:color="auto" w:fill="FFFFFF"/>
        </w:rPr>
        <w:t>17.负责全县商务系统企业改制遗留问题的处理。</w:t>
      </w:r>
    </w:p>
    <w:p>
      <w:pPr>
        <w:pStyle w:val="6"/>
        <w:shd w:val="clear" w:color="auto" w:fill="FFFFFF"/>
        <w:spacing w:before="225" w:beforeAutospacing="0" w:after="0" w:afterAutospacing="0" w:line="480" w:lineRule="auto"/>
        <w:rPr>
          <w:color w:val="333333"/>
          <w:sz w:val="32"/>
          <w:szCs w:val="32"/>
          <w:shd w:val="clear" w:color="auto" w:fill="FFFFFF"/>
        </w:rPr>
      </w:pPr>
      <w:r>
        <w:rPr>
          <w:rFonts w:hint="eastAsia"/>
          <w:color w:val="333333"/>
          <w:sz w:val="32"/>
          <w:szCs w:val="32"/>
          <w:shd w:val="clear" w:color="auto" w:fill="FFFFFF"/>
        </w:rPr>
        <w:t>18.完成县委、县人民政府交办的其他任务。</w:t>
      </w:r>
    </w:p>
    <w:p>
      <w:pPr>
        <w:pStyle w:val="6"/>
        <w:shd w:val="clear" w:color="auto" w:fill="FFFFFF"/>
        <w:spacing w:before="225" w:beforeAutospacing="0" w:after="0" w:afterAutospacing="0" w:line="480" w:lineRule="auto"/>
        <w:rPr>
          <w:color w:val="333333"/>
          <w:sz w:val="32"/>
          <w:szCs w:val="32"/>
          <w:shd w:val="clear" w:color="auto" w:fill="FFFFFF"/>
        </w:rPr>
      </w:pPr>
      <w:r>
        <w:rPr>
          <w:rFonts w:hint="eastAsia"/>
          <w:color w:val="333333"/>
          <w:sz w:val="32"/>
          <w:szCs w:val="32"/>
          <w:shd w:val="clear" w:color="auto" w:fill="FFFFFF"/>
        </w:rPr>
        <w:t>19.职能转变。进一步加强全县招商引资工作。加强全县流通领域信息网络和电子商务建设。加强商品流通业和商贸服务业的行业管理。促进现代物流业发展，促进品牌建设和绿色流通发展，推进再生资源回收和流通领域节能减排工作。加强重要生活必需品的储备管理和市场调控工作。建立健全统一、开放、竞争、有序的市场体系。</w:t>
      </w:r>
    </w:p>
    <w:p>
      <w:pPr>
        <w:pStyle w:val="6"/>
        <w:shd w:val="clear" w:color="auto" w:fill="FFFFFF"/>
        <w:spacing w:before="225" w:beforeAutospacing="0" w:after="0" w:afterAutospacing="0" w:line="480" w:lineRule="auto"/>
        <w:rPr>
          <w:color w:val="333333"/>
          <w:sz w:val="32"/>
          <w:szCs w:val="32"/>
          <w:shd w:val="clear" w:color="auto" w:fill="FFFFFF"/>
        </w:rPr>
      </w:pPr>
      <w:r>
        <w:rPr>
          <w:rFonts w:hint="eastAsia"/>
          <w:color w:val="333333"/>
          <w:sz w:val="32"/>
          <w:szCs w:val="32"/>
          <w:shd w:val="clear" w:color="auto" w:fill="FFFFFF"/>
        </w:rPr>
        <w:t>20.有关职责分工。与县发展和改革局有关职责分工。县发展和改革局、县商务局牵头会同外商投资涉及领域相关部门开展外商投资安全审查相关工作。县发展和改革局负责提出外商投资产业指导目录，并与县商务局联合发布。与县市场监督管理局有关职责分工。县商务局负责拟定药品流通发展规划和政策，县市场监督管理局在与药品零售环节的监督管理工作中配合执行药品流通发展规划和政策。</w:t>
      </w:r>
    </w:p>
    <w:p>
      <w:pPr>
        <w:pStyle w:val="6"/>
        <w:shd w:val="clear" w:color="auto" w:fill="FFFFFF"/>
        <w:spacing w:before="225" w:beforeAutospacing="0" w:after="0" w:afterAutospacing="0" w:line="480" w:lineRule="auto"/>
        <w:rPr>
          <w:color w:val="333333"/>
          <w:sz w:val="32"/>
          <w:szCs w:val="32"/>
          <w:shd w:val="clear" w:color="auto" w:fill="FFFFFF"/>
        </w:rPr>
      </w:pPr>
      <w:r>
        <w:rPr>
          <w:rFonts w:hint="eastAsia"/>
          <w:color w:val="333333"/>
          <w:sz w:val="32"/>
          <w:szCs w:val="32"/>
          <w:shd w:val="clear" w:color="auto" w:fill="FFFFFF"/>
        </w:rPr>
        <w:t>　　（二）机构设置</w:t>
      </w:r>
    </w:p>
    <w:p>
      <w:pPr>
        <w:pStyle w:val="6"/>
        <w:shd w:val="clear" w:color="auto" w:fill="FFFFFF"/>
        <w:spacing w:before="225" w:beforeAutospacing="0" w:after="0" w:afterAutospacing="0" w:line="480" w:lineRule="auto"/>
        <w:rPr>
          <w:color w:val="333333"/>
          <w:sz w:val="32"/>
          <w:szCs w:val="32"/>
          <w:shd w:val="clear" w:color="auto" w:fill="FFFFFF"/>
        </w:rPr>
      </w:pPr>
      <w:r>
        <w:rPr>
          <w:rFonts w:hint="eastAsia"/>
          <w:color w:val="333333"/>
          <w:sz w:val="32"/>
          <w:szCs w:val="32"/>
          <w:shd w:val="clear" w:color="auto" w:fill="FFFFFF"/>
        </w:rPr>
        <w:t>　　湘潭县商务局内设股室8个，下辖4个二级机构，分别是湘潭县投资促进服务中心、湘潭县电子商务公共服务中心、湘潭县槟榔产业服务中心、湘潭县对外劳务服务中心，以上内设股室和二级机构均为无独立经费核算机构。现有编制人数46人（含改革执法编制10人），实有在岗人员55人,其中统发人员44人，人事代理人员1人，劳务派遣人员4人,借调人员6名。遗属补助1人，退休人员25人，离休人员1人。</w:t>
      </w:r>
    </w:p>
    <w:p>
      <w:pPr>
        <w:pStyle w:val="6"/>
        <w:shd w:val="clear" w:color="auto" w:fill="FFFFFF"/>
        <w:spacing w:before="225" w:beforeAutospacing="0" w:after="0" w:afterAutospacing="0" w:line="480" w:lineRule="auto"/>
        <w:rPr>
          <w:b/>
          <w:color w:val="333333"/>
          <w:sz w:val="32"/>
          <w:szCs w:val="32"/>
          <w:shd w:val="clear" w:color="auto" w:fill="FFFFFF"/>
        </w:rPr>
      </w:pPr>
      <w:r>
        <w:rPr>
          <w:b/>
          <w:color w:val="333333"/>
          <w:sz w:val="32"/>
          <w:szCs w:val="32"/>
          <w:shd w:val="clear" w:color="auto" w:fill="FFFFFF"/>
        </w:rPr>
        <w:t>二、部门预算单位构成</w:t>
      </w:r>
    </w:p>
    <w:p>
      <w:pPr>
        <w:pStyle w:val="6"/>
        <w:shd w:val="clear" w:color="auto" w:fill="FFFFFF"/>
        <w:spacing w:before="225" w:beforeAutospacing="0" w:after="0" w:afterAutospacing="0" w:line="480" w:lineRule="auto"/>
        <w:ind w:firstLine="320" w:firstLineChars="100"/>
        <w:rPr>
          <w:color w:val="333333"/>
          <w:sz w:val="32"/>
          <w:szCs w:val="32"/>
          <w:shd w:val="clear" w:color="auto" w:fill="FFFFFF"/>
        </w:rPr>
      </w:pPr>
      <w:r>
        <w:rPr>
          <w:rFonts w:hint="eastAsia"/>
          <w:color w:val="333333"/>
          <w:sz w:val="32"/>
          <w:szCs w:val="32"/>
          <w:shd w:val="clear" w:color="auto" w:fill="FFFFFF"/>
        </w:rPr>
        <w:t>湘潭县商务局</w:t>
      </w:r>
      <w:r>
        <w:rPr>
          <w:color w:val="333333"/>
          <w:sz w:val="32"/>
          <w:szCs w:val="32"/>
          <w:shd w:val="clear" w:color="auto" w:fill="FFFFFF"/>
        </w:rPr>
        <w:t>20</w:t>
      </w:r>
      <w:r>
        <w:rPr>
          <w:rFonts w:hint="eastAsia"/>
          <w:color w:val="333333"/>
          <w:sz w:val="32"/>
          <w:szCs w:val="32"/>
          <w:shd w:val="clear" w:color="auto" w:fill="FFFFFF"/>
        </w:rPr>
        <w:t>20</w:t>
      </w:r>
      <w:r>
        <w:rPr>
          <w:color w:val="333333"/>
          <w:sz w:val="32"/>
          <w:szCs w:val="32"/>
          <w:shd w:val="clear" w:color="auto" w:fill="FFFFFF"/>
        </w:rPr>
        <w:t>年部门</w:t>
      </w:r>
      <w:r>
        <w:rPr>
          <w:rFonts w:hint="eastAsia"/>
          <w:color w:val="333333"/>
          <w:sz w:val="32"/>
          <w:szCs w:val="32"/>
          <w:shd w:val="clear" w:color="auto" w:fill="FFFFFF"/>
        </w:rPr>
        <w:t>决算</w:t>
      </w:r>
      <w:r>
        <w:rPr>
          <w:color w:val="333333"/>
          <w:sz w:val="32"/>
          <w:szCs w:val="32"/>
          <w:shd w:val="clear" w:color="auto" w:fill="FFFFFF"/>
        </w:rPr>
        <w:t>汇总公开单位构成包括：</w:t>
      </w:r>
      <w:r>
        <w:rPr>
          <w:rFonts w:hint="eastAsia"/>
          <w:color w:val="333333"/>
          <w:sz w:val="32"/>
          <w:szCs w:val="32"/>
          <w:shd w:val="clear" w:color="auto" w:fill="FFFFFF"/>
        </w:rPr>
        <w:t>湘潭县商务局</w:t>
      </w:r>
      <w:r>
        <w:rPr>
          <w:color w:val="333333"/>
          <w:sz w:val="32"/>
          <w:szCs w:val="32"/>
          <w:shd w:val="clear" w:color="auto" w:fill="FFFFFF"/>
        </w:rPr>
        <w:t>单位本级</w:t>
      </w:r>
      <w:r>
        <w:rPr>
          <w:rFonts w:hint="eastAsia"/>
          <w:color w:val="333333"/>
          <w:sz w:val="32"/>
          <w:szCs w:val="32"/>
          <w:shd w:val="clear" w:color="auto" w:fill="FFFFFF"/>
        </w:rPr>
        <w:t>（</w:t>
      </w:r>
      <w:r>
        <w:rPr>
          <w:color w:val="333333"/>
          <w:sz w:val="32"/>
          <w:szCs w:val="32"/>
          <w:shd w:val="clear" w:color="auto" w:fill="FFFFFF"/>
        </w:rPr>
        <w:t>只有本级，没有其他预算单位</w:t>
      </w:r>
      <w:r>
        <w:rPr>
          <w:rFonts w:hint="eastAsia"/>
          <w:color w:val="333333"/>
          <w:sz w:val="32"/>
          <w:szCs w:val="32"/>
          <w:shd w:val="clear" w:color="auto" w:fill="FFFFFF"/>
        </w:rPr>
        <w:t>）</w:t>
      </w:r>
    </w:p>
    <w:p>
      <w:pPr>
        <w:jc w:val="center"/>
        <w:rPr>
          <w:rFonts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宋体"/>
          <w:sz w:val="72"/>
          <w:szCs w:val="72"/>
        </w:rPr>
      </w:pPr>
      <w:r>
        <w:rPr>
          <w:rFonts w:hint="eastAsia" w:cs="宋体"/>
          <w:sz w:val="72"/>
          <w:szCs w:val="72"/>
        </w:rPr>
        <w:t>部门决算表</w:t>
      </w:r>
    </w:p>
    <w:p>
      <w:pPr>
        <w:jc w:val="center"/>
        <w:rPr>
          <w:rFonts w:cs="宋体"/>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7"/>
        <w:tblW w:w="14081" w:type="dxa"/>
        <w:tblInd w:w="-106" w:type="dxa"/>
        <w:tblLayout w:type="autofit"/>
        <w:tblCellMar>
          <w:top w:w="0" w:type="dxa"/>
          <w:left w:w="108" w:type="dxa"/>
          <w:bottom w:w="0" w:type="dxa"/>
          <w:right w:w="108" w:type="dxa"/>
        </w:tblCellMar>
      </w:tblPr>
      <w:tblGrid>
        <w:gridCol w:w="4126"/>
        <w:gridCol w:w="449"/>
        <w:gridCol w:w="631"/>
        <w:gridCol w:w="599"/>
        <w:gridCol w:w="98"/>
        <w:gridCol w:w="236"/>
        <w:gridCol w:w="3464"/>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69"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部门：湘潭县商务局</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69"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ascii="宋体" w:hAnsi="宋体" w:cs="宋体"/>
                <w:kern w:val="0"/>
                <w:sz w:val="22"/>
                <w:szCs w:val="22"/>
              </w:rPr>
              <w:t>1444.52</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ascii="宋体" w:hAnsi="宋体" w:cs="宋体"/>
                <w:kern w:val="0"/>
                <w:sz w:val="22"/>
                <w:szCs w:val="22"/>
              </w:rPr>
              <w:t>1144.46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ascii="宋体" w:hAnsi="宋体" w:cs="宋体"/>
                <w:kern w:val="0"/>
                <w:sz w:val="22"/>
                <w:szCs w:val="22"/>
              </w:rPr>
              <w:t>20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ascii="宋体" w:cs="Times New Roman"/>
                <w:kern w:val="0"/>
                <w:sz w:val="22"/>
                <w:szCs w:val="22"/>
              </w:rPr>
              <w:t>131</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cs="Times New Roman"/>
                <w:kern w:val="0"/>
                <w:sz w:val="22"/>
                <w:szCs w:val="22"/>
              </w:rPr>
              <w:t>十五、商业服务业等支出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ascii="宋体" w:cs="Times New Roman"/>
                <w:kern w:val="0"/>
                <w:sz w:val="22"/>
                <w:szCs w:val="22"/>
              </w:rPr>
              <w:t>368.17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ind w:right="440"/>
              <w:rPr>
                <w:rFonts w:ascii="宋体" w:cs="Times New Roman"/>
                <w:kern w:val="0"/>
                <w:sz w:val="22"/>
                <w:szCs w:val="22"/>
              </w:rPr>
            </w:pPr>
            <w:r>
              <w:rPr>
                <w:rFonts w:hint="eastAsia" w:ascii="宋体" w:cs="Times New Roman"/>
                <w:kern w:val="0"/>
                <w:sz w:val="22"/>
                <w:szCs w:val="22"/>
              </w:rPr>
              <w:t>二十、粮油物资储备支出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bCs/>
                <w:kern w:val="0"/>
                <w:sz w:val="22"/>
                <w:szCs w:val="22"/>
              </w:rPr>
            </w:pPr>
            <w:r>
              <w:rPr>
                <w:rFonts w:ascii="宋体" w:cs="Times New Roman"/>
                <w:bCs/>
                <w:kern w:val="0"/>
                <w:sz w:val="22"/>
                <w:szCs w:val="22"/>
              </w:rPr>
              <w:t>58.89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ascii="宋体" w:cs="Times New Roman"/>
                <w:kern w:val="0"/>
                <w:sz w:val="22"/>
                <w:szCs w:val="22"/>
              </w:rPr>
              <w:t>1595.52</w:t>
            </w:r>
          </w:p>
        </w:tc>
        <w:tc>
          <w:tcPr>
            <w:tcW w:w="3798"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ascii="宋体" w:cs="Times New Roman"/>
                <w:kern w:val="0"/>
                <w:sz w:val="22"/>
                <w:szCs w:val="22"/>
              </w:rPr>
              <w:t>1595.52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ascii="宋体" w:cs="Times New Roman"/>
                <w:kern w:val="0"/>
                <w:sz w:val="22"/>
                <w:szCs w:val="22"/>
              </w:rPr>
              <w:t>1595.52</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bCs/>
                <w:kern w:val="0"/>
                <w:sz w:val="22"/>
                <w:szCs w:val="22"/>
              </w:rPr>
            </w:pPr>
            <w:r>
              <w:rPr>
                <w:rFonts w:ascii="宋体" w:cs="Times New Roman"/>
                <w:bCs/>
                <w:kern w:val="0"/>
                <w:sz w:val="22"/>
                <w:szCs w:val="22"/>
              </w:rPr>
              <w:t>1595.52</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7"/>
        <w:tblW w:w="15154" w:type="dxa"/>
        <w:tblInd w:w="313" w:type="dxa"/>
        <w:tblLayout w:type="fixed"/>
        <w:tblCellMar>
          <w:top w:w="0" w:type="dxa"/>
          <w:left w:w="0" w:type="dxa"/>
          <w:bottom w:w="0" w:type="dxa"/>
          <w:right w:w="0" w:type="dxa"/>
        </w:tblCellMar>
      </w:tblPr>
      <w:tblGrid>
        <w:gridCol w:w="90"/>
        <w:gridCol w:w="1810"/>
        <w:gridCol w:w="358"/>
        <w:gridCol w:w="1686"/>
        <w:gridCol w:w="358"/>
        <w:gridCol w:w="1073"/>
        <w:gridCol w:w="358"/>
        <w:gridCol w:w="742"/>
        <w:gridCol w:w="358"/>
        <w:gridCol w:w="667"/>
        <w:gridCol w:w="358"/>
        <w:gridCol w:w="817"/>
        <w:gridCol w:w="358"/>
        <w:gridCol w:w="942"/>
        <w:gridCol w:w="358"/>
        <w:gridCol w:w="1401"/>
        <w:gridCol w:w="358"/>
        <w:gridCol w:w="2704"/>
        <w:gridCol w:w="358"/>
      </w:tblGrid>
      <w:tr>
        <w:tblPrEx>
          <w:tblCellMar>
            <w:top w:w="0" w:type="dxa"/>
            <w:left w:w="0" w:type="dxa"/>
            <w:bottom w:w="0" w:type="dxa"/>
            <w:right w:w="0" w:type="dxa"/>
          </w:tblCellMar>
        </w:tblPrEx>
        <w:trPr>
          <w:gridAfter w:val="1"/>
          <w:wAfter w:w="358" w:type="dxa"/>
          <w:trHeight w:val="435" w:hRule="atLeast"/>
        </w:trPr>
        <w:tc>
          <w:tcPr>
            <w:tcW w:w="14796" w:type="dxa"/>
            <w:gridSpan w:val="18"/>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gridAfter w:val="1"/>
          <w:wAfter w:w="358" w:type="dxa"/>
          <w:trHeight w:val="285" w:hRule="atLeast"/>
        </w:trPr>
        <w:tc>
          <w:tcPr>
            <w:tcW w:w="19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Times New Roman"/>
                <w:color w:val="000000"/>
                <w:sz w:val="20"/>
                <w:szCs w:val="20"/>
              </w:rPr>
            </w:pPr>
            <w:r>
              <w:rPr>
                <w:rFonts w:hint="eastAsia" w:cs="宋体"/>
                <w:color w:val="000000"/>
                <w:sz w:val="20"/>
                <w:szCs w:val="20"/>
              </w:rPr>
              <w:t>部门：湘潭县商务局</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gridAfter w:val="1"/>
          <w:wAfter w:w="358" w:type="dxa"/>
          <w:trHeight w:val="615" w:hRule="atLeast"/>
        </w:trPr>
        <w:tc>
          <w:tcPr>
            <w:tcW w:w="14796" w:type="dxa"/>
            <w:gridSpan w:val="18"/>
            <w:tcBorders>
              <w:top w:val="nil"/>
              <w:left w:val="nil"/>
              <w:bottom w:val="nil"/>
              <w:right w:val="nil"/>
            </w:tcBorders>
            <w:tcMar>
              <w:top w:w="15" w:type="dxa"/>
              <w:left w:w="15" w:type="dxa"/>
              <w:bottom w:w="0" w:type="dxa"/>
              <w:right w:w="15" w:type="dxa"/>
            </w:tcMar>
            <w:vAlign w:val="center"/>
          </w:tcPr>
          <w:tbl>
            <w:tblPr>
              <w:tblStyle w:val="7"/>
              <w:tblW w:w="14760" w:type="dxa"/>
              <w:tblInd w:w="0" w:type="dxa"/>
              <w:tblLayout w:type="fixed"/>
              <w:tblCellMar>
                <w:top w:w="0" w:type="dxa"/>
                <w:left w:w="108" w:type="dxa"/>
                <w:bottom w:w="0" w:type="dxa"/>
                <w:right w:w="108" w:type="dxa"/>
              </w:tblCellMar>
            </w:tblPr>
            <w:tblGrid>
              <w:gridCol w:w="1020"/>
              <w:gridCol w:w="3540"/>
              <w:gridCol w:w="1800"/>
              <w:gridCol w:w="1720"/>
              <w:gridCol w:w="1600"/>
              <w:gridCol w:w="1220"/>
              <w:gridCol w:w="1100"/>
              <w:gridCol w:w="1500"/>
              <w:gridCol w:w="1260"/>
            </w:tblGrid>
            <w:tr>
              <w:tblPrEx>
                <w:tblCellMar>
                  <w:top w:w="0" w:type="dxa"/>
                  <w:left w:w="108" w:type="dxa"/>
                  <w:bottom w:w="0" w:type="dxa"/>
                  <w:right w:w="108" w:type="dxa"/>
                </w:tblCellMar>
              </w:tblPrEx>
              <w:trPr>
                <w:trHeight w:val="308" w:hRule="atLeast"/>
              </w:trPr>
              <w:tc>
                <w:tcPr>
                  <w:tcW w:w="45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80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本年收入合计</w:t>
                  </w:r>
                </w:p>
              </w:tc>
              <w:tc>
                <w:tcPr>
                  <w:tcW w:w="17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财政拨款收入</w:t>
                  </w:r>
                </w:p>
              </w:tc>
              <w:tc>
                <w:tcPr>
                  <w:tcW w:w="160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上级补助收入</w:t>
                  </w:r>
                </w:p>
              </w:tc>
              <w:tc>
                <w:tcPr>
                  <w:tcW w:w="12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事业收入</w:t>
                  </w:r>
                </w:p>
              </w:tc>
              <w:tc>
                <w:tcPr>
                  <w:tcW w:w="110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经营收入</w:t>
                  </w:r>
                </w:p>
              </w:tc>
              <w:tc>
                <w:tcPr>
                  <w:tcW w:w="150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附属单位上缴收入</w:t>
                  </w:r>
                </w:p>
              </w:tc>
              <w:tc>
                <w:tcPr>
                  <w:tcW w:w="126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其他收入</w:t>
                  </w:r>
                </w:p>
              </w:tc>
            </w:tr>
            <w:tr>
              <w:trPr>
                <w:trHeight w:val="312" w:hRule="atLeast"/>
              </w:trPr>
              <w:tc>
                <w:tcPr>
                  <w:tcW w:w="10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3540" w:type="dxa"/>
                  <w:vMerge w:val="restar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1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5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02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54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1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5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02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54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1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5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456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8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7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6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1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5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126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r>
            <w:tr>
              <w:tblPrEx>
                <w:tblCellMar>
                  <w:top w:w="0" w:type="dxa"/>
                  <w:left w:w="108" w:type="dxa"/>
                  <w:bottom w:w="0" w:type="dxa"/>
                  <w:right w:w="108" w:type="dxa"/>
                </w:tblCellMar>
              </w:tblPrEx>
              <w:trPr>
                <w:trHeight w:val="308" w:hRule="atLeast"/>
              </w:trPr>
              <w:tc>
                <w:tcPr>
                  <w:tcW w:w="456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1,595.52</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1,464.52</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131.00</w:t>
                  </w:r>
                </w:p>
              </w:tc>
            </w:tr>
            <w:tr>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1,144.46</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1,054.15</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90.31</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20103</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政府办公厅（室）及相关机构事务</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50.66</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50.66</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2010301</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50.66</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50.66</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商贸事务</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1,062.11</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1,054.15</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7.96</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2011301</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461.60</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461.60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2011302</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一般行政管理事务</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251.18</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251.18</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2011307</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国内贸易管理</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15.00</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2011308</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招商引资</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124.68</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124.68</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2011399</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其他商贸事务支出</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209.65</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201.69</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7.96</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20199</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其他一般公共服务支出</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31.69</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31.69</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2019999</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其他一般公共服务支出</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31.69</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31.69</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城乡社区支出</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21203</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城乡社区公共设施</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2120303</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小城镇基础设施建设</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商业服务业等支出</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368.17</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368.17</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21602</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商业流通事务</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170.75</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170.75</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2160299</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其他商业流通事务支出</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170.75</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170.75</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21606</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涉外发展服务支出</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197.43</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197.43</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2160699</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其他涉外发展服务支出</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197.42</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197.42</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粮油物资储备支出</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58.89</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18.20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40.69</w:t>
                  </w:r>
                </w:p>
              </w:tc>
            </w:tr>
            <w:tr>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22201</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粮油事务</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58.89</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18.20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40.69</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2220101</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12.73</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12.73</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2220102</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一般行政管理事务</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5.47</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5.47</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2220199</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其他粮油事务支出</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40.69</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40.69</w:t>
                  </w:r>
                </w:p>
              </w:tc>
            </w:tr>
            <w:tr>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234</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抗疫特别国债安排的支出</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23401</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基础设施建设</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2340101</w:t>
                  </w:r>
                </w:p>
              </w:tc>
              <w:tc>
                <w:tcPr>
                  <w:tcW w:w="35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公共卫生体系建设</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7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bl>
          <w:p>
            <w:pPr>
              <w:rPr>
                <w:rFonts w:ascii="宋体" w:cs="Times New Roman"/>
                <w:sz w:val="24"/>
                <w:szCs w:val="24"/>
              </w:rPr>
            </w:pPr>
            <w:r>
              <w:rPr>
                <w:rFonts w:hint="eastAsia" w:cs="宋体"/>
              </w:rPr>
              <w:t>注：本表反映部门本年度取得的各项收入情况。</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7"/>
        <w:tblW w:w="14332" w:type="dxa"/>
        <w:tblInd w:w="93" w:type="dxa"/>
        <w:tblLayout w:type="fixed"/>
        <w:tblCellMar>
          <w:top w:w="0" w:type="dxa"/>
          <w:left w:w="108" w:type="dxa"/>
          <w:bottom w:w="0" w:type="dxa"/>
          <w:right w:w="108" w:type="dxa"/>
        </w:tblCellMar>
      </w:tblPr>
      <w:tblGrid>
        <w:gridCol w:w="325"/>
        <w:gridCol w:w="695"/>
        <w:gridCol w:w="129"/>
        <w:gridCol w:w="426"/>
        <w:gridCol w:w="250"/>
        <w:gridCol w:w="884"/>
        <w:gridCol w:w="243"/>
        <w:gridCol w:w="236"/>
        <w:gridCol w:w="1212"/>
        <w:gridCol w:w="100"/>
        <w:gridCol w:w="1237"/>
        <w:gridCol w:w="515"/>
        <w:gridCol w:w="1164"/>
        <w:gridCol w:w="254"/>
        <w:gridCol w:w="1417"/>
        <w:gridCol w:w="8"/>
        <w:gridCol w:w="1679"/>
        <w:gridCol w:w="14"/>
        <w:gridCol w:w="1276"/>
        <w:gridCol w:w="1624"/>
        <w:gridCol w:w="644"/>
      </w:tblGrid>
      <w:tr>
        <w:tblPrEx>
          <w:tblCellMar>
            <w:top w:w="0" w:type="dxa"/>
            <w:left w:w="108" w:type="dxa"/>
            <w:bottom w:w="0" w:type="dxa"/>
            <w:right w:w="108" w:type="dxa"/>
          </w:tblCellMar>
        </w:tblPrEx>
        <w:trPr>
          <w:gridBefore w:val="1"/>
          <w:gridAfter w:val="1"/>
          <w:wBefore w:w="325" w:type="dxa"/>
          <w:wAfter w:w="644" w:type="dxa"/>
          <w:trHeight w:val="435" w:hRule="atLeast"/>
        </w:trPr>
        <w:tc>
          <w:tcPr>
            <w:tcW w:w="13363" w:type="dxa"/>
            <w:gridSpan w:val="19"/>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gridBefore w:val="1"/>
          <w:gridAfter w:val="1"/>
          <w:wBefore w:w="325" w:type="dxa"/>
          <w:wAfter w:w="644" w:type="dxa"/>
          <w:trHeight w:val="285" w:hRule="atLeast"/>
        </w:trPr>
        <w:tc>
          <w:tcPr>
            <w:tcW w:w="1250"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50"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gridSpan w:val="3"/>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gridBefore w:val="1"/>
          <w:gridAfter w:val="1"/>
          <w:wBefore w:w="325" w:type="dxa"/>
          <w:wAfter w:w="644" w:type="dxa"/>
          <w:trHeight w:val="285" w:hRule="atLeast"/>
        </w:trPr>
        <w:tc>
          <w:tcPr>
            <w:tcW w:w="2384" w:type="dxa"/>
            <w:gridSpan w:val="5"/>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部门：湘潭县商务局</w:t>
            </w:r>
          </w:p>
        </w:tc>
        <w:tc>
          <w:tcPr>
            <w:tcW w:w="24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gridSpan w:val="2"/>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679"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gridSpan w:val="3"/>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08" w:hRule="atLeast"/>
        </w:trPr>
        <w:tc>
          <w:tcPr>
            <w:tcW w:w="440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852" w:type="dxa"/>
            <w:gridSpan w:val="3"/>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本年支出合计</w:t>
            </w:r>
          </w:p>
        </w:tc>
        <w:tc>
          <w:tcPr>
            <w:tcW w:w="1418" w:type="dxa"/>
            <w:gridSpan w:val="2"/>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417"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1701" w:type="dxa"/>
            <w:gridSpan w:val="3"/>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上缴上级支出</w:t>
            </w:r>
          </w:p>
        </w:tc>
        <w:tc>
          <w:tcPr>
            <w:tcW w:w="1276"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经营支出</w:t>
            </w:r>
          </w:p>
        </w:tc>
        <w:tc>
          <w:tcPr>
            <w:tcW w:w="2268" w:type="dxa"/>
            <w:gridSpan w:val="2"/>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对附属单位补助支出</w:t>
            </w:r>
          </w:p>
        </w:tc>
      </w:tr>
      <w:tr>
        <w:tblPrEx>
          <w:tblCellMar>
            <w:top w:w="0" w:type="dxa"/>
            <w:left w:w="108" w:type="dxa"/>
            <w:bottom w:w="0" w:type="dxa"/>
            <w:right w:w="108" w:type="dxa"/>
          </w:tblCellMar>
        </w:tblPrEx>
        <w:trPr>
          <w:trHeight w:val="312" w:hRule="atLeast"/>
        </w:trPr>
        <w:tc>
          <w:tcPr>
            <w:tcW w:w="1149"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3251" w:type="dxa"/>
            <w:gridSpan w:val="6"/>
            <w:vMerge w:val="restar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852" w:type="dxa"/>
            <w:gridSpan w:val="3"/>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18"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1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01" w:type="dxa"/>
            <w:gridSpan w:val="3"/>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7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68"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149"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251" w:type="dxa"/>
            <w:gridSpan w:val="6"/>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852" w:type="dxa"/>
            <w:gridSpan w:val="3"/>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18"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1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01" w:type="dxa"/>
            <w:gridSpan w:val="3"/>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7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68"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149"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251" w:type="dxa"/>
            <w:gridSpan w:val="6"/>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852" w:type="dxa"/>
            <w:gridSpan w:val="3"/>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18"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1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01" w:type="dxa"/>
            <w:gridSpan w:val="3"/>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7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68"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4400" w:type="dxa"/>
            <w:gridSpan w:val="9"/>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852"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41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41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70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2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22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trHeight w:val="308" w:hRule="atLeast"/>
        </w:trPr>
        <w:tc>
          <w:tcPr>
            <w:tcW w:w="4400" w:type="dxa"/>
            <w:gridSpan w:val="9"/>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1,595.52</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631.01</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964.51</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1,144.46</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590.32</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554.14</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20103</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政府办公厅（室）及相关机构事务</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50.66</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50.66</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2010301</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50.66</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50.66</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商贸事务</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1,062.11</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507.97</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554.14</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2011301</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461.60</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461.60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2011302</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一般行政管理事务</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251.18</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251.18</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2011307</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国内贸易管理</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15.00</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15.00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2011308</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招商引资</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124.68</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124.68</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2011399</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其他商贸事务支出</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209.65</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46.37</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163.28</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20199</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其他一般公共服务支出</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31.69</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31.69</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2019999</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其他一般公共服务支出</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31.69</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31.69</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城乡社区支出</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21203</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城乡社区公共设施</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2120303</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小城镇基础设施建设</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商业服务业等支出</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368.17</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368.17</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21602</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商业流通事务</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170.75</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170.75</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2160299</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其他商业流通事务支出</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170.75</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170.75</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21606</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涉外发展服务支出</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197.42</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197.42</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2160699</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其他涉外发展服务支出</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197.42</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197.42</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粮油物资储备支出</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58.89</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40.69</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18.20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22201</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粮油事务</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58.89</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40.69</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18.20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2220101</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12.73</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12.73</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2220102</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一般行政管理事务</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5.47</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5.47</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2220199</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其他粮油事务支出</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40.69</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40.69</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234</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抗疫特别国债安排的支出</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23401</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基础设施建设</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2340101</w:t>
            </w:r>
          </w:p>
        </w:tc>
        <w:tc>
          <w:tcPr>
            <w:tcW w:w="3380" w:type="dxa"/>
            <w:gridSpan w:val="7"/>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公共卫生体系建设</w:t>
            </w:r>
          </w:p>
        </w:tc>
        <w:tc>
          <w:tcPr>
            <w:tcW w:w="1852"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41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701"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8"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bl>
    <w:p>
      <w:pPr>
        <w:widowControl/>
        <w:ind w:left="93"/>
        <w:rPr>
          <w:rFonts w:ascii="宋体" w:hAnsi="宋体" w:cs="Arial"/>
          <w:color w:val="000000"/>
          <w:kern w:val="0"/>
          <w:sz w:val="22"/>
          <w:szCs w:val="22"/>
        </w:rPr>
      </w:pPr>
      <w:r>
        <w:rPr>
          <w:rFonts w:hint="eastAsia" w:ascii="宋体" w:hAnsi="宋体" w:cs="Arial"/>
          <w:color w:val="000000"/>
          <w:kern w:val="0"/>
          <w:sz w:val="22"/>
          <w:szCs w:val="22"/>
        </w:rPr>
        <w:t>注：本表反映部门本年度各项支出情况。</w:t>
      </w: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7"/>
        <w:tblW w:w="15522" w:type="dxa"/>
        <w:tblInd w:w="-106" w:type="dxa"/>
        <w:tblLayout w:type="autofit"/>
        <w:tblCellMar>
          <w:top w:w="0" w:type="dxa"/>
          <w:left w:w="108" w:type="dxa"/>
          <w:bottom w:w="0" w:type="dxa"/>
          <w:right w:w="108" w:type="dxa"/>
        </w:tblCellMar>
      </w:tblPr>
      <w:tblGrid>
        <w:gridCol w:w="3596"/>
        <w:gridCol w:w="436"/>
        <w:gridCol w:w="1078"/>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22" w:type="dxa"/>
            <w:gridSpan w:val="10"/>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bookmarkStart w:id="0" w:name="RANGE_A1_I22"/>
            <w:bookmarkEnd w:id="0"/>
            <w:bookmarkStart w:id="1" w:name="RANGE_A1_F16"/>
            <w:r>
              <w:rPr>
                <w:rFonts w:hint="eastAsia" w:ascii="华文中宋" w:hAnsi="华文中宋" w:eastAsia="华文中宋" w:cs="华文中宋"/>
                <w:color w:val="000000"/>
                <w:kern w:val="0"/>
                <w:sz w:val="32"/>
                <w:szCs w:val="32"/>
              </w:rPr>
              <w:t>财政拨款收入支出决算总表</w:t>
            </w:r>
          </w:p>
        </w:tc>
      </w:tr>
      <w:tr>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部门：湘潭县商务局</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41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5</w:t>
            </w:r>
          </w:p>
        </w:tc>
      </w:tr>
      <w:tr>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ascii="宋体" w:cs="Times New Roman"/>
                <w:kern w:val="0"/>
                <w:sz w:val="22"/>
                <w:szCs w:val="22"/>
              </w:rPr>
              <w:t>1444.52</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cs="Times New Roman"/>
                <w:kern w:val="0"/>
                <w:sz w:val="22"/>
                <w:szCs w:val="22"/>
              </w:rPr>
              <w:t>1054.15</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cs="Times New Roman"/>
                <w:kern w:val="0"/>
                <w:sz w:val="22"/>
                <w:szCs w:val="22"/>
              </w:rPr>
              <w:t>1054.15</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ascii="宋体" w:cs="Times New Roman"/>
                <w:kern w:val="0"/>
                <w:sz w:val="22"/>
                <w:szCs w:val="22"/>
              </w:rPr>
              <w:t>20</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十五、商业服务业等支出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cs="Times New Roman"/>
                <w:kern w:val="0"/>
                <w:sz w:val="22"/>
                <w:szCs w:val="22"/>
              </w:rPr>
              <w:t>368.17</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cs="Times New Roman"/>
                <w:kern w:val="0"/>
                <w:sz w:val="22"/>
                <w:szCs w:val="22"/>
              </w:rPr>
              <w:t>368.17</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二十、粮油物资储备支出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18.2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18.2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cs="Times New Roman"/>
                <w:kern w:val="0"/>
                <w:sz w:val="22"/>
                <w:szCs w:val="22"/>
              </w:rPr>
              <w:t>二十六、抗疫特别国债安排的支出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cs="Times New Roman"/>
                <w:kern w:val="0"/>
                <w:sz w:val="22"/>
                <w:szCs w:val="22"/>
              </w:rPr>
              <w:t>22</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cs="Times New Roman"/>
                <w:kern w:val="0"/>
                <w:sz w:val="22"/>
                <w:szCs w:val="22"/>
              </w:rPr>
              <w:t>20</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cs="Times New Roman"/>
                <w:kern w:val="0"/>
                <w:sz w:val="22"/>
                <w:szCs w:val="22"/>
              </w:rPr>
              <w:t>0</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ascii="宋体" w:cs="Times New Roman"/>
                <w:kern w:val="0"/>
                <w:sz w:val="22"/>
                <w:szCs w:val="22"/>
              </w:rPr>
              <w:t>1464.52</w:t>
            </w:r>
          </w:p>
        </w:tc>
        <w:tc>
          <w:tcPr>
            <w:tcW w:w="3411"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1444.52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1444.52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ascii="宋体" w:cs="Times New Roman"/>
                <w:kern w:val="0"/>
                <w:sz w:val="22"/>
                <w:szCs w:val="22"/>
              </w:rPr>
              <w:t>1464.52</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1464.52</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1444.52</w:t>
            </w:r>
          </w:p>
        </w:tc>
        <w:tc>
          <w:tcPr>
            <w:tcW w:w="1394"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rPr>
          <w:trHeight w:val="585" w:hRule="atLeast"/>
        </w:trPr>
        <w:tc>
          <w:tcPr>
            <w:tcW w:w="15522" w:type="dxa"/>
            <w:gridSpan w:val="10"/>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line="240" w:lineRule="exact"/>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宋体" w:hAnsi="宋体" w:cs="宋体"/>
          <w:color w:val="000000"/>
          <w:kern w:val="0"/>
          <w:sz w:val="20"/>
          <w:szCs w:val="20"/>
        </w:rPr>
        <w:t>湘潭县商务局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spacing w:line="240" w:lineRule="exact"/>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7"/>
        <w:tblW w:w="14219" w:type="dxa"/>
        <w:jc w:val="center"/>
        <w:tblLayout w:type="autofit"/>
        <w:tblCellMar>
          <w:top w:w="0" w:type="dxa"/>
          <w:left w:w="108" w:type="dxa"/>
          <w:bottom w:w="0" w:type="dxa"/>
          <w:right w:w="108" w:type="dxa"/>
        </w:tblCellMar>
      </w:tblPr>
      <w:tblGrid>
        <w:gridCol w:w="14219"/>
      </w:tblGrid>
      <w:tr>
        <w:trPr>
          <w:trHeight w:val="645" w:hRule="atLeast"/>
          <w:jc w:val="center"/>
        </w:trPr>
        <w:tc>
          <w:tcPr>
            <w:tcW w:w="14219" w:type="dxa"/>
            <w:tcBorders>
              <w:top w:val="nil"/>
              <w:left w:val="nil"/>
              <w:bottom w:val="nil"/>
              <w:right w:val="nil"/>
            </w:tcBorders>
            <w:vAlign w:val="center"/>
          </w:tcPr>
          <w:tbl>
            <w:tblPr>
              <w:tblStyle w:val="7"/>
              <w:tblW w:w="12198" w:type="dxa"/>
              <w:tblInd w:w="0" w:type="dxa"/>
              <w:tblLayout w:type="autofit"/>
              <w:tblCellMar>
                <w:top w:w="0" w:type="dxa"/>
                <w:left w:w="108" w:type="dxa"/>
                <w:bottom w:w="0" w:type="dxa"/>
                <w:right w:w="108" w:type="dxa"/>
              </w:tblCellMar>
            </w:tblPr>
            <w:tblGrid>
              <w:gridCol w:w="2275"/>
              <w:gridCol w:w="2685"/>
              <w:gridCol w:w="2260"/>
              <w:gridCol w:w="2260"/>
              <w:gridCol w:w="2718"/>
            </w:tblGrid>
            <w:tr>
              <w:tblPrEx>
                <w:tblCellMar>
                  <w:top w:w="0" w:type="dxa"/>
                  <w:left w:w="108" w:type="dxa"/>
                  <w:bottom w:w="0" w:type="dxa"/>
                  <w:right w:w="108" w:type="dxa"/>
                </w:tblCellMar>
              </w:tblPrEx>
              <w:trPr>
                <w:trHeight w:val="308" w:hRule="atLeast"/>
              </w:trPr>
              <w:tc>
                <w:tcPr>
                  <w:tcW w:w="49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7238"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r>
            <w:tr>
              <w:tblPrEx>
                <w:tblCellMar>
                  <w:top w:w="0" w:type="dxa"/>
                  <w:left w:w="108" w:type="dxa"/>
                  <w:bottom w:w="0" w:type="dxa"/>
                  <w:right w:w="108" w:type="dxa"/>
                </w:tblCellMar>
              </w:tblPrEx>
              <w:trPr>
                <w:trHeight w:val="312" w:hRule="atLeast"/>
              </w:trPr>
              <w:tc>
                <w:tcPr>
                  <w:tcW w:w="227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2685" w:type="dxa"/>
                  <w:vMerge w:val="restar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2260"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2260"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2718"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tblPrEx>
                <w:tblCellMar>
                  <w:top w:w="0" w:type="dxa"/>
                  <w:left w:w="108" w:type="dxa"/>
                  <w:bottom w:w="0" w:type="dxa"/>
                  <w:right w:w="108" w:type="dxa"/>
                </w:tblCellMar>
              </w:tblPrEx>
              <w:trPr>
                <w:trHeight w:val="312" w:hRule="atLeast"/>
              </w:trPr>
              <w:tc>
                <w:tcPr>
                  <w:tcW w:w="227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68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718"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227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68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718"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496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tblPrEx>
                <w:tblCellMar>
                  <w:top w:w="0" w:type="dxa"/>
                  <w:left w:w="108" w:type="dxa"/>
                  <w:bottom w:w="0" w:type="dxa"/>
                  <w:right w:w="108" w:type="dxa"/>
                </w:tblCellMar>
              </w:tblPrEx>
              <w:trPr>
                <w:trHeight w:val="308" w:hRule="atLeast"/>
              </w:trPr>
              <w:tc>
                <w:tcPr>
                  <w:tcW w:w="496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1,444.52</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500.00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944.52</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1,054.15</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500.00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554.15</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商贸事务</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1,054.15</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500.00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554.15</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2011301</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461.60</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461.60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2011302</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一般行政管理事务</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251.18</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251.18</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2011307</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国内贸易管理</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15.00</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15.00</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2011308</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招商引资</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124.68</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124.68</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2011399</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其他商贸事务支出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201.69</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38.41</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163.28</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21203</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城乡社区公共设施</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2120303</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小城镇基础设施建设</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商业服务业等支出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368.17</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368.17</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21602</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商业流通事务</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170.75</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170.75</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2160299</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其他商业流通事务支出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170.75</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170.75</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21606</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涉外发展服务支出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197.43</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197.43</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2160699</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其他涉外发展服务支出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197.43</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197.43</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粮油物资储备支出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18.20</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18.20</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22201</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粮油事务</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18.20</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18.20</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2220101</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12.73</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12.73</w:t>
                  </w:r>
                </w:p>
              </w:tc>
            </w:tr>
            <w:tr>
              <w:tblPrEx>
                <w:tblCellMar>
                  <w:top w:w="0" w:type="dxa"/>
                  <w:left w:w="108" w:type="dxa"/>
                  <w:bottom w:w="0" w:type="dxa"/>
                  <w:right w:w="108" w:type="dxa"/>
                </w:tblCellMar>
              </w:tblPrEx>
              <w:trPr>
                <w:trHeight w:val="308" w:hRule="atLeast"/>
              </w:trPr>
              <w:tc>
                <w:tcPr>
                  <w:tcW w:w="2275"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2220102</w:t>
                  </w:r>
                </w:p>
              </w:tc>
              <w:tc>
                <w:tcPr>
                  <w:tcW w:w="26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一般行政管理事务</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5.47</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7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5.47</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一般公共预算财政拨款基本支出决算表</w:t>
      </w:r>
    </w:p>
    <w:p>
      <w:pPr>
        <w:widowControl/>
        <w:spacing w:beforeLines="50" w:line="240" w:lineRule="exact"/>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宋体" w:hAnsi="宋体" w:cs="宋体"/>
          <w:color w:val="000000"/>
          <w:kern w:val="0"/>
          <w:sz w:val="20"/>
          <w:szCs w:val="20"/>
        </w:rPr>
        <w:t>湘潭县商务局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eastAsia" w:ascii="Times New Roman" w:hAnsi="Times New Roman" w:eastAsia="仿宋_GB2312" w:cs="Times New Roman"/>
          <w:color w:val="000000"/>
          <w:kern w:val="0"/>
        </w:rPr>
        <w:t>6</w:t>
      </w:r>
      <w:r>
        <w:rPr>
          <w:rFonts w:hint="eastAsia" w:ascii="Times New Roman" w:hAnsi="Times New Roman" w:eastAsia="仿宋_GB2312" w:cs="仿宋_GB2312"/>
          <w:color w:val="000000"/>
          <w:kern w:val="0"/>
        </w:rPr>
        <w:t>表</w:t>
      </w:r>
    </w:p>
    <w:p>
      <w:pPr>
        <w:widowControl/>
        <w:spacing w:line="240" w:lineRule="exact"/>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7"/>
        <w:tblW w:w="14219" w:type="dxa"/>
        <w:jc w:val="center"/>
        <w:tblLayout w:type="autofit"/>
        <w:tblCellMar>
          <w:top w:w="0" w:type="dxa"/>
          <w:left w:w="108" w:type="dxa"/>
          <w:bottom w:w="0" w:type="dxa"/>
          <w:right w:w="108" w:type="dxa"/>
        </w:tblCellMar>
      </w:tblPr>
      <w:tblGrid>
        <w:gridCol w:w="15609"/>
      </w:tblGrid>
      <w:tr>
        <w:trPr>
          <w:trHeight w:val="645" w:hRule="atLeast"/>
          <w:jc w:val="center"/>
        </w:trPr>
        <w:tc>
          <w:tcPr>
            <w:tcW w:w="14219" w:type="dxa"/>
            <w:tcBorders>
              <w:top w:val="nil"/>
              <w:left w:val="nil"/>
              <w:bottom w:val="nil"/>
              <w:right w:val="nil"/>
            </w:tcBorders>
            <w:vAlign w:val="center"/>
          </w:tcPr>
          <w:tbl>
            <w:tblPr>
              <w:tblStyle w:val="7"/>
              <w:tblW w:w="15388" w:type="dxa"/>
              <w:tblInd w:w="0" w:type="dxa"/>
              <w:tblLayout w:type="autofit"/>
              <w:tblCellMar>
                <w:top w:w="0" w:type="dxa"/>
                <w:left w:w="108" w:type="dxa"/>
                <w:bottom w:w="0" w:type="dxa"/>
                <w:right w:w="108" w:type="dxa"/>
              </w:tblCellMar>
            </w:tblPr>
            <w:tblGrid>
              <w:gridCol w:w="988"/>
              <w:gridCol w:w="2835"/>
              <w:gridCol w:w="1277"/>
              <w:gridCol w:w="1020"/>
              <w:gridCol w:w="1899"/>
              <w:gridCol w:w="1480"/>
              <w:gridCol w:w="1131"/>
              <w:gridCol w:w="3278"/>
              <w:gridCol w:w="1480"/>
            </w:tblGrid>
            <w:tr>
              <w:tblPrEx>
                <w:tblCellMar>
                  <w:top w:w="0" w:type="dxa"/>
                  <w:left w:w="108" w:type="dxa"/>
                  <w:bottom w:w="0" w:type="dxa"/>
                  <w:right w:w="108" w:type="dxa"/>
                </w:tblCellMar>
              </w:tblPrEx>
              <w:trPr>
                <w:trHeight w:val="308" w:hRule="atLeast"/>
              </w:trPr>
              <w:tc>
                <w:tcPr>
                  <w:tcW w:w="51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人员经费</w:t>
                  </w:r>
                </w:p>
              </w:tc>
              <w:tc>
                <w:tcPr>
                  <w:tcW w:w="10288" w:type="dxa"/>
                  <w:gridSpan w:val="6"/>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公用经费</w:t>
                  </w:r>
                </w:p>
              </w:tc>
            </w:tr>
            <w:tr>
              <w:tblPrEx>
                <w:tblCellMar>
                  <w:top w:w="0" w:type="dxa"/>
                  <w:left w:w="108" w:type="dxa"/>
                  <w:bottom w:w="0" w:type="dxa"/>
                  <w:right w:w="108" w:type="dxa"/>
                </w:tblCellMar>
              </w:tblPrEx>
              <w:trPr>
                <w:trHeight w:val="312" w:hRule="atLeast"/>
              </w:trPr>
              <w:tc>
                <w:tcPr>
                  <w:tcW w:w="98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2835"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277"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c>
                <w:tcPr>
                  <w:tcW w:w="1020"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1899"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480"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c>
                <w:tcPr>
                  <w:tcW w:w="1131"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3278"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480"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r>
            <w:tr>
              <w:tblPrEx>
                <w:tblCellMar>
                  <w:top w:w="0" w:type="dxa"/>
                  <w:left w:w="108" w:type="dxa"/>
                  <w:bottom w:w="0" w:type="dxa"/>
                  <w:right w:w="108" w:type="dxa"/>
                </w:tblCellMar>
              </w:tblPrEx>
              <w:trPr>
                <w:trHeight w:val="312" w:hRule="atLeast"/>
              </w:trPr>
              <w:tc>
                <w:tcPr>
                  <w:tcW w:w="98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83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7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02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899"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8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131"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278"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8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工资福利支出</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402.01</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商品和服务支出</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84.84</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307</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债务利息及费用支出</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30101</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基本工资</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176.73</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30201</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办公费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19.22</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30701</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国内债务付息</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30102</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津贴补贴</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88.67</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30202</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印刷费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1.85</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30702</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国外债务付息</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30103</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奖金</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30203</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咨询费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资本性支出</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2.96</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30106</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伙食补助费</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30204</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手续费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31001</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房屋建筑物购建</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30107</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绩效工资</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30205</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水费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0.80</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31002</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办公设备购置</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2.96</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30108</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机关事业单位基本养老保险缴费</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39.06</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30206</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电费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7.17</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31003</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专用设备购置</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30109</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职业年金缴费</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10.31</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30207</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邮电费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31005</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基础设施建设</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30110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职工基本医疗保险缴费</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31.55</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30208</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取暖费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31006</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大型修缮</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30111</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公务员医疗补助缴费</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6.01</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30209</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物业管理费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0.50</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31007</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信息网络及软件购置更新</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30112</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其他社会保障缴费</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3.01</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30211</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差旅费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8.27</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31008</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物资储备</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30113</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住房公积金</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30212</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因公出国（境）费用</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31009</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土地补偿</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30114</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医疗费</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0.86</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30213</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维修（护）费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4.65</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31010</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安置补助</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30199</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其他工资福利支出</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45.81</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30214</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租赁费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0.21</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31011</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地上附着物和青苗补偿</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对个人和家庭的补助</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10.19</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30215</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会议费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31012</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拆迁补偿</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30301</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离休费</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30216</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培训费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0.14</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31013</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公务用车购置</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30302</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退休费</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30217</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公务接待费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0.86</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31019</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其他交通工具购置</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30303</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退职（役）费</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30218</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专用材料费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31021</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文物和陈列品购置</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30304</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抚恤金</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30224</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被装购置费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31022</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无形资产购置</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30305</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生活补助</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30225</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专用燃料费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31099</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其他资本性支出</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30306</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救济费</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30226</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劳务费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1.47</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399</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其他支出</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30307</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医疗费补助</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30227</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委托业务费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0.25</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39906</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赠与</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30308</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助学金</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30228</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工会经费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24.38</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39907</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国家赔偿费用支出</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30309</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奖励金</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30229</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福利费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6.41</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39908</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对民间非营利组织和群众性自治组织补贴</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30310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个人农业生产补贴</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30231</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公务用车运行维护费</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39999</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其他支出</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30311</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代缴社会保险费</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10.09</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30239</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其他交通费用</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1.49</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30399</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其他对个人和家庭的补助</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0.10</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30240</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税金及附加费用</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988"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0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30299</w:t>
                  </w:r>
                </w:p>
              </w:tc>
              <w:tc>
                <w:tcPr>
                  <w:tcW w:w="189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其他商品和服务支出</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7.17</w:t>
                  </w:r>
                </w:p>
              </w:tc>
              <w:tc>
                <w:tcPr>
                  <w:tcW w:w="113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2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823"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人员经费合计</w:t>
                  </w:r>
                </w:p>
              </w:tc>
              <w:tc>
                <w:tcPr>
                  <w:tcW w:w="12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412.2</w:t>
                  </w:r>
                </w:p>
              </w:tc>
              <w:tc>
                <w:tcPr>
                  <w:tcW w:w="8808" w:type="dxa"/>
                  <w:gridSpan w:val="5"/>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公用经费合计</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87.8</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pPr>
        <w:widowControl/>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公务</w:t>
            </w:r>
          </w:p>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color w:val="000000"/>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000000"/>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公务用车</w:t>
            </w:r>
            <w:r>
              <w:rPr>
                <w:rFonts w:ascii="Times New Roman" w:hAnsi="Times New Roman" w:eastAsia="仿宋_GB2312" w:cs="Times New Roman"/>
                <w:color w:val="000000"/>
                <w:kern w:val="0"/>
              </w:rPr>
              <w:br w:type="textWrapping"/>
            </w:r>
            <w:r>
              <w:rPr>
                <w:rFonts w:hint="eastAsia" w:ascii="Times New Roman" w:hAnsi="Times New Roman" w:eastAsia="仿宋_GB2312" w:cs="仿宋_GB2312"/>
                <w:color w:val="000000"/>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公务用车</w:t>
            </w:r>
            <w:r>
              <w:rPr>
                <w:rFonts w:ascii="Times New Roman" w:hAnsi="Times New Roman" w:eastAsia="仿宋_GB2312" w:cs="Times New Roman"/>
                <w:color w:val="000000"/>
                <w:kern w:val="0"/>
              </w:rPr>
              <w:br w:type="textWrapping"/>
            </w:r>
            <w:r>
              <w:rPr>
                <w:rFonts w:hint="eastAsia" w:ascii="Times New Roman" w:hAnsi="Times New Roman" w:eastAsia="仿宋_GB2312" w:cs="仿宋_GB2312"/>
                <w:color w:val="000000"/>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86</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0</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6</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color w:val="000000"/>
                <w:kern w:val="0"/>
              </w:rPr>
            </w:pP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6</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80</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仿宋_GB2312"/>
                <w:kern w:val="0"/>
              </w:rPr>
              <w:t>69.17</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仿宋_GB2312"/>
                <w:kern w:val="0"/>
              </w:rPr>
              <w:t>3.94</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1220" w:type="dxa"/>
            <w:tcBorders>
              <w:top w:val="nil"/>
              <w:left w:val="nil"/>
              <w:bottom w:val="single" w:color="auto" w:sz="8" w:space="0"/>
              <w:right w:val="nil"/>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仿宋_GB2312"/>
                <w:kern w:val="0"/>
              </w:rPr>
              <w:t>3.94</w:t>
            </w:r>
          </w:p>
        </w:tc>
        <w:tc>
          <w:tcPr>
            <w:tcW w:w="1220" w:type="dxa"/>
            <w:tcBorders>
              <w:top w:val="nil"/>
              <w:left w:val="single" w:color="auto" w:sz="4" w:space="0"/>
              <w:bottom w:val="single" w:color="auto" w:sz="8"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仿宋_GB2312"/>
                <w:kern w:val="0"/>
              </w:rPr>
              <w:t>65.23</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ind w:right="420" w:firstLine="105" w:firstLineChars="50"/>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部门：湘潭县商务局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ind w:right="315"/>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7"/>
        <w:tblW w:w="15040" w:type="dxa"/>
        <w:tblInd w:w="93" w:type="dxa"/>
        <w:tblLayout w:type="autofit"/>
        <w:tblCellMar>
          <w:top w:w="0" w:type="dxa"/>
          <w:left w:w="108" w:type="dxa"/>
          <w:bottom w:w="0" w:type="dxa"/>
          <w:right w:w="108" w:type="dxa"/>
        </w:tblCellMar>
      </w:tblPr>
      <w:tblGrid>
        <w:gridCol w:w="1020"/>
        <w:gridCol w:w="3940"/>
        <w:gridCol w:w="1680"/>
        <w:gridCol w:w="1680"/>
        <w:gridCol w:w="1680"/>
        <w:gridCol w:w="1680"/>
        <w:gridCol w:w="1680"/>
        <w:gridCol w:w="1680"/>
      </w:tblGrid>
      <w:tr>
        <w:tblPrEx>
          <w:tblCellMar>
            <w:top w:w="0" w:type="dxa"/>
            <w:left w:w="108" w:type="dxa"/>
            <w:bottom w:w="0" w:type="dxa"/>
            <w:right w:w="108" w:type="dxa"/>
          </w:tblCellMar>
        </w:tblPrEx>
        <w:trPr>
          <w:trHeight w:val="308" w:hRule="atLeast"/>
        </w:trPr>
        <w:tc>
          <w:tcPr>
            <w:tcW w:w="49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68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168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w:t>
            </w:r>
          </w:p>
        </w:tc>
        <w:tc>
          <w:tcPr>
            <w:tcW w:w="504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c>
          <w:tcPr>
            <w:tcW w:w="168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年末结转和结余</w:t>
            </w:r>
          </w:p>
        </w:tc>
      </w:tr>
      <w:tr>
        <w:trPr>
          <w:trHeight w:val="312" w:hRule="atLeast"/>
        </w:trPr>
        <w:tc>
          <w:tcPr>
            <w:tcW w:w="10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3940" w:type="dxa"/>
            <w:vMerge w:val="restar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1680"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680"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02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94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02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94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496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trHeight w:val="308" w:hRule="atLeast"/>
        </w:trPr>
        <w:tc>
          <w:tcPr>
            <w:tcW w:w="4960" w:type="dxa"/>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20.00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20.00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20.00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234</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抗疫特别国债安排的支出</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23401</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基础设施建设</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2340101</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公共卫生体系建设</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Times New Roman" w:hAnsi="Times New Roman" w:eastAsia="仿宋_GB2312" w:cs="Times New Roman"/>
          <w:kern w:val="0"/>
        </w:rPr>
      </w:pPr>
    </w:p>
    <w:p>
      <w:pPr>
        <w:widowControl/>
        <w:jc w:val="left"/>
        <w:rPr>
          <w:rFonts w:ascii="黑体" w:hAnsi="黑体" w:eastAsia="黑体" w:cs="Times New Roman"/>
        </w:rPr>
      </w:pPr>
      <w:r>
        <w:rPr>
          <w:rFonts w:ascii="黑体" w:hAnsi="黑体" w:eastAsia="黑体" w:cs="Times New Roman"/>
        </w:rPr>
        <w:br w:type="page"/>
      </w:r>
    </w:p>
    <w:tbl>
      <w:tblPr>
        <w:tblStyle w:val="7"/>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0</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0</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0</w:t>
            </w:r>
          </w:p>
        </w:tc>
      </w:tr>
      <w:tr>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ascii="宋体" w:hAnsi="宋体" w:eastAsia="宋体" w:cs="宋体"/>
          <w:sz w:val="72"/>
          <w:szCs w:val="72"/>
        </w:rPr>
      </w:pPr>
    </w:p>
    <w:p>
      <w:pPr>
        <w:pStyle w:val="11"/>
        <w:ind w:firstLine="3240" w:firstLineChars="450"/>
        <w:rPr>
          <w:rFonts w:ascii="宋体" w:hAnsi="宋体" w:eastAsia="宋体" w:cs="宋体"/>
          <w:sz w:val="72"/>
          <w:szCs w:val="72"/>
        </w:rPr>
      </w:pPr>
      <w:r>
        <w:rPr>
          <w:rFonts w:hint="eastAsia" w:ascii="宋体" w:hAnsi="宋体" w:eastAsia="宋体" w:cs="宋体"/>
          <w:sz w:val="72"/>
          <w:szCs w:val="72"/>
        </w:rPr>
        <w:t>第三部分</w:t>
      </w:r>
    </w:p>
    <w:p>
      <w:pPr>
        <w:pStyle w:val="11"/>
        <w:jc w:val="center"/>
        <w:rPr>
          <w:rFonts w:ascii="宋体" w:hAnsi="宋体" w:eastAsia="宋体" w:cs="宋体"/>
          <w:sz w:val="72"/>
          <w:szCs w:val="72"/>
        </w:rPr>
      </w:pPr>
    </w:p>
    <w:p>
      <w:pPr>
        <w:pStyle w:val="11"/>
        <w:jc w:val="center"/>
        <w:rPr>
          <w:rFonts w:ascii="宋体" w:hAnsi="宋体" w:eastAsia="宋体" w:cs="宋体"/>
          <w:sz w:val="72"/>
          <w:szCs w:val="72"/>
        </w:rPr>
      </w:pPr>
      <w:r>
        <w:rPr>
          <w:rFonts w:hint="eastAsia" w:ascii="宋体" w:hAnsi="宋体" w:eastAsia="宋体" w:cs="宋体"/>
          <w:sz w:val="72"/>
          <w:szCs w:val="72"/>
        </w:rPr>
        <w:t>2020年度部门决算情况说明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1"/>
        <w:rPr>
          <w:rFonts w:hAnsi="黑体" w:cs="Times New Roman"/>
          <w:b/>
          <w:bCs/>
          <w:sz w:val="32"/>
          <w:szCs w:val="32"/>
        </w:rPr>
      </w:pPr>
      <w:r>
        <w:rPr>
          <w:rFonts w:hint="eastAsia" w:hAnsi="黑体"/>
          <w:b/>
          <w:bCs/>
          <w:sz w:val="32"/>
          <w:szCs w:val="32"/>
        </w:rPr>
        <w:t>一、收入支出决算总体情况说明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年度收、支总计</w:t>
      </w:r>
      <w:r>
        <w:rPr>
          <w:rFonts w:ascii="宋体" w:hAnsi="宋体" w:eastAsia="宋体" w:cs="宋体"/>
          <w:sz w:val="32"/>
          <w:szCs w:val="32"/>
        </w:rPr>
        <w:t>1595.52</w:t>
      </w:r>
      <w:r>
        <w:rPr>
          <w:rFonts w:hint="eastAsia" w:ascii="宋体" w:hAnsi="宋体" w:eastAsia="宋体" w:cs="宋体"/>
          <w:sz w:val="32"/>
          <w:szCs w:val="32"/>
        </w:rPr>
        <w:t>万元。与上年相比，减少</w:t>
      </w:r>
      <w:r>
        <w:rPr>
          <w:rFonts w:ascii="宋体" w:hAnsi="宋体" w:eastAsia="宋体" w:cs="宋体"/>
          <w:sz w:val="32"/>
          <w:szCs w:val="32"/>
        </w:rPr>
        <w:t>1364</w:t>
      </w:r>
      <w:r>
        <w:rPr>
          <w:rFonts w:hint="eastAsia" w:ascii="宋体" w:hAnsi="宋体" w:eastAsia="宋体" w:cs="宋体"/>
          <w:sz w:val="32"/>
          <w:szCs w:val="32"/>
        </w:rPr>
        <w:t>.</w:t>
      </w:r>
      <w:r>
        <w:rPr>
          <w:rFonts w:ascii="宋体" w:hAnsi="宋体" w:eastAsia="宋体" w:cs="宋体"/>
          <w:sz w:val="32"/>
          <w:szCs w:val="32"/>
        </w:rPr>
        <w:t>10</w:t>
      </w:r>
      <w:r>
        <w:rPr>
          <w:rFonts w:hint="eastAsia" w:ascii="宋体" w:hAnsi="宋体" w:eastAsia="宋体" w:cs="宋体"/>
          <w:sz w:val="32"/>
          <w:szCs w:val="32"/>
        </w:rPr>
        <w:t>万元，减少46.09</w:t>
      </w:r>
      <w:r>
        <w:rPr>
          <w:rFonts w:ascii="宋体" w:hAnsi="宋体" w:eastAsia="宋体" w:cs="宋体"/>
          <w:sz w:val="32"/>
          <w:szCs w:val="32"/>
        </w:rPr>
        <w:t>%</w:t>
      </w:r>
      <w:r>
        <w:rPr>
          <w:rFonts w:hint="eastAsia" w:ascii="宋体" w:hAnsi="宋体" w:eastAsia="宋体" w:cs="宋体"/>
          <w:sz w:val="32"/>
          <w:szCs w:val="32"/>
        </w:rPr>
        <w:t>，主要是因为项目资金减少。</w:t>
      </w:r>
    </w:p>
    <w:p>
      <w:pPr>
        <w:pStyle w:val="11"/>
        <w:rPr>
          <w:rFonts w:hAnsi="黑体" w:cs="Times New Roman"/>
          <w:b/>
          <w:bCs/>
          <w:sz w:val="32"/>
          <w:szCs w:val="32"/>
        </w:rPr>
      </w:pPr>
      <w:r>
        <w:rPr>
          <w:rFonts w:hint="eastAsia" w:hAnsi="黑体"/>
          <w:b/>
          <w:bCs/>
          <w:sz w:val="32"/>
          <w:szCs w:val="32"/>
        </w:rPr>
        <w:t>二、收入决算情况说明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ascii="宋体" w:hAnsi="宋体" w:eastAsia="宋体" w:cs="宋体"/>
          <w:sz w:val="32"/>
          <w:szCs w:val="32"/>
        </w:rPr>
        <w:t>1595.52</w:t>
      </w:r>
      <w:r>
        <w:rPr>
          <w:rFonts w:hint="eastAsia" w:ascii="宋体" w:hAnsi="宋体" w:eastAsia="宋体" w:cs="宋体"/>
          <w:sz w:val="32"/>
          <w:szCs w:val="32"/>
        </w:rPr>
        <w:t>万元，其中：财政拨款收</w:t>
      </w:r>
      <w:r>
        <w:rPr>
          <w:rFonts w:ascii="宋体" w:hAnsi="宋体" w:eastAsia="宋体" w:cs="宋体"/>
          <w:sz w:val="32"/>
          <w:szCs w:val="32"/>
        </w:rPr>
        <w:t>1464.52</w:t>
      </w:r>
      <w:r>
        <w:rPr>
          <w:rFonts w:hint="eastAsia" w:ascii="宋体" w:hAnsi="宋体" w:eastAsia="宋体" w:cs="宋体"/>
          <w:sz w:val="32"/>
          <w:szCs w:val="32"/>
        </w:rPr>
        <w:t>万元，占91.79</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w:t>
      </w:r>
      <w:r>
        <w:rPr>
          <w:rFonts w:ascii="宋体" w:hAnsi="宋体" w:eastAsia="宋体" w:cs="宋体"/>
          <w:sz w:val="32"/>
          <w:szCs w:val="32"/>
        </w:rPr>
        <w:t>131</w:t>
      </w:r>
      <w:r>
        <w:rPr>
          <w:rFonts w:hint="eastAsia" w:ascii="宋体" w:hAnsi="宋体" w:eastAsia="宋体" w:cs="宋体"/>
          <w:sz w:val="32"/>
          <w:szCs w:val="32"/>
        </w:rPr>
        <w:t>万元，占8.21</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三、支出决算情况说明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ascii="宋体" w:hAnsi="宋体" w:eastAsia="宋体" w:cs="宋体"/>
          <w:sz w:val="32"/>
          <w:szCs w:val="32"/>
        </w:rPr>
        <w:t>1595.52</w:t>
      </w:r>
      <w:r>
        <w:rPr>
          <w:rFonts w:hint="eastAsia" w:ascii="宋体" w:hAnsi="宋体" w:eastAsia="宋体" w:cs="宋体"/>
          <w:sz w:val="32"/>
          <w:szCs w:val="32"/>
        </w:rPr>
        <w:t>万元，其中：基本支出631.01万元，占40.17</w:t>
      </w:r>
      <w:r>
        <w:rPr>
          <w:rFonts w:ascii="宋体" w:hAnsi="宋体" w:eastAsia="宋体" w:cs="宋体"/>
          <w:sz w:val="32"/>
          <w:szCs w:val="32"/>
        </w:rPr>
        <w:t>%</w:t>
      </w:r>
      <w:r>
        <w:rPr>
          <w:rFonts w:hint="eastAsia" w:ascii="宋体" w:hAnsi="宋体" w:eastAsia="宋体" w:cs="宋体"/>
          <w:sz w:val="32"/>
          <w:szCs w:val="32"/>
        </w:rPr>
        <w:t>；项目支出</w:t>
      </w:r>
      <w:r>
        <w:rPr>
          <w:rFonts w:ascii="宋体" w:hAnsi="宋体" w:eastAsia="宋体" w:cs="宋体"/>
          <w:sz w:val="32"/>
          <w:szCs w:val="32"/>
        </w:rPr>
        <w:t>964.5</w:t>
      </w:r>
      <w:r>
        <w:rPr>
          <w:rFonts w:hint="eastAsia" w:ascii="宋体" w:hAnsi="宋体" w:eastAsia="宋体" w:cs="宋体"/>
          <w:sz w:val="32"/>
          <w:szCs w:val="32"/>
        </w:rPr>
        <w:t>1万元，占59.83</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四、财政拨款收入支出决算总体情况说明</w:t>
      </w:r>
    </w:p>
    <w:p>
      <w:pPr>
        <w:pStyle w:val="11"/>
        <w:rPr>
          <w:rFonts w:ascii="宋体" w:hAnsi="宋体" w:eastAsia="宋体" w:cs="Times New Roman"/>
          <w:sz w:val="32"/>
          <w:szCs w:val="32"/>
        </w:rPr>
      </w:pPr>
      <w:r>
        <w:rPr>
          <w:rFonts w:ascii="宋体" w:hAnsi="宋体" w:eastAsia="宋体" w:cs="宋体"/>
          <w:sz w:val="32"/>
          <w:szCs w:val="32"/>
        </w:rPr>
        <w:t xml:space="preserve">    2020</w:t>
      </w:r>
      <w:r>
        <w:rPr>
          <w:rFonts w:hint="eastAsia" w:ascii="宋体" w:hAnsi="宋体" w:eastAsia="宋体" w:cs="宋体"/>
          <w:sz w:val="32"/>
          <w:szCs w:val="32"/>
        </w:rPr>
        <w:t>年度财政拨款收、支总计</w:t>
      </w:r>
      <w:r>
        <w:rPr>
          <w:rFonts w:ascii="宋体" w:hAnsi="宋体" w:eastAsia="宋体" w:cs="宋体"/>
          <w:sz w:val="32"/>
          <w:szCs w:val="32"/>
        </w:rPr>
        <w:t>1464.52</w:t>
      </w:r>
      <w:r>
        <w:rPr>
          <w:rFonts w:hint="eastAsia" w:ascii="宋体" w:hAnsi="宋体" w:eastAsia="宋体" w:cs="宋体"/>
          <w:sz w:val="32"/>
          <w:szCs w:val="32"/>
        </w:rPr>
        <w:t>万元，与上年相比，减少1464.27万元</w:t>
      </w:r>
      <w:r>
        <w:rPr>
          <w:rFonts w:ascii="宋体" w:hAnsi="宋体" w:eastAsia="宋体" w:cs="宋体"/>
          <w:sz w:val="32"/>
          <w:szCs w:val="32"/>
        </w:rPr>
        <w:t>,</w:t>
      </w:r>
      <w:r>
        <w:rPr>
          <w:rFonts w:hint="eastAsia" w:ascii="宋体" w:hAnsi="宋体" w:eastAsia="宋体" w:cs="宋体"/>
          <w:sz w:val="32"/>
          <w:szCs w:val="32"/>
        </w:rPr>
        <w:t>减少50</w:t>
      </w:r>
      <w:r>
        <w:rPr>
          <w:rFonts w:ascii="宋体" w:hAnsi="宋体" w:eastAsia="宋体" w:cs="宋体"/>
          <w:sz w:val="32"/>
          <w:szCs w:val="32"/>
        </w:rPr>
        <w:t>%</w:t>
      </w:r>
      <w:r>
        <w:rPr>
          <w:rFonts w:hint="eastAsia" w:ascii="宋体" w:hAnsi="宋体" w:eastAsia="宋体" w:cs="宋体"/>
          <w:sz w:val="32"/>
          <w:szCs w:val="32"/>
        </w:rPr>
        <w:t>，主要是因为项目资金减少。</w:t>
      </w:r>
    </w:p>
    <w:p>
      <w:pPr>
        <w:pStyle w:val="11"/>
        <w:rPr>
          <w:rFonts w:hAnsi="黑体" w:cs="Times New Roman"/>
          <w:b/>
          <w:bCs/>
          <w:sz w:val="32"/>
          <w:szCs w:val="32"/>
        </w:rPr>
      </w:pPr>
      <w:r>
        <w:rPr>
          <w:rFonts w:hint="eastAsia" w:hAnsi="黑体"/>
          <w:b/>
          <w:bCs/>
          <w:sz w:val="32"/>
          <w:szCs w:val="32"/>
        </w:rPr>
        <w:t>五、一般公共预算财政拨款支出决算情况说明</w:t>
      </w:r>
    </w:p>
    <w:p>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pPr>
        <w:pStyle w:val="11"/>
        <w:ind w:firstLine="800" w:firstLineChars="250"/>
        <w:rPr>
          <w:rFonts w:ascii="宋体" w:hAnsi="宋体" w:eastAsia="宋体" w:cs="宋体"/>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w:t>
      </w:r>
      <w:r>
        <w:rPr>
          <w:rFonts w:ascii="宋体" w:hAnsi="宋体" w:eastAsia="宋体" w:cs="宋体"/>
          <w:sz w:val="32"/>
          <w:szCs w:val="32"/>
        </w:rPr>
        <w:t>1444.52</w:t>
      </w:r>
      <w:r>
        <w:rPr>
          <w:rFonts w:hint="eastAsia" w:ascii="宋体" w:hAnsi="宋体" w:eastAsia="宋体" w:cs="宋体"/>
          <w:sz w:val="32"/>
          <w:szCs w:val="32"/>
        </w:rPr>
        <w:t>万元，占本年支出合计的91.79</w:t>
      </w:r>
      <w:r>
        <w:rPr>
          <w:rFonts w:ascii="宋体" w:hAnsi="宋体" w:eastAsia="宋体" w:cs="宋体"/>
          <w:sz w:val="32"/>
          <w:szCs w:val="32"/>
        </w:rPr>
        <w:t>%</w:t>
      </w:r>
      <w:r>
        <w:rPr>
          <w:rFonts w:hint="eastAsia" w:ascii="宋体" w:hAnsi="宋体" w:eastAsia="宋体" w:cs="宋体"/>
          <w:sz w:val="32"/>
          <w:szCs w:val="32"/>
        </w:rPr>
        <w:t>，与上年相比，财政拨款支出减少1476.3万元，减少50.54</w:t>
      </w:r>
      <w:r>
        <w:rPr>
          <w:rFonts w:ascii="宋体" w:hAnsi="宋体" w:eastAsia="宋体" w:cs="宋体"/>
          <w:sz w:val="32"/>
          <w:szCs w:val="32"/>
        </w:rPr>
        <w:t>%</w:t>
      </w:r>
      <w:r>
        <w:rPr>
          <w:rFonts w:hint="eastAsia" w:ascii="宋体" w:hAnsi="宋体" w:eastAsia="宋体" w:cs="宋体"/>
          <w:sz w:val="32"/>
          <w:szCs w:val="32"/>
        </w:rPr>
        <w:t>，主要是因为项目资金减少。</w:t>
      </w:r>
    </w:p>
    <w:p>
      <w:pPr>
        <w:pStyle w:val="11"/>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pPr>
        <w:pStyle w:val="11"/>
        <w:ind w:firstLine="640" w:firstLineChars="200"/>
        <w:rPr>
          <w:rFonts w:ascii="宋体" w:hAnsi="宋体" w:eastAsia="宋体" w:cs="宋体"/>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w:t>
      </w:r>
      <w:r>
        <w:rPr>
          <w:rFonts w:ascii="宋体" w:hAnsi="宋体" w:eastAsia="宋体" w:cs="宋体"/>
          <w:sz w:val="32"/>
          <w:szCs w:val="32"/>
        </w:rPr>
        <w:t>1444.52</w:t>
      </w:r>
      <w:r>
        <w:rPr>
          <w:rFonts w:hint="eastAsia" w:ascii="宋体" w:hAnsi="宋体" w:eastAsia="宋体" w:cs="宋体"/>
          <w:sz w:val="32"/>
          <w:szCs w:val="32"/>
        </w:rPr>
        <w:t>万元，主要用于以下方面：一般公共服务（类）支出</w:t>
      </w:r>
      <w:r>
        <w:rPr>
          <w:rFonts w:ascii="宋体" w:hAnsi="宋体" w:eastAsia="宋体" w:cs="宋体"/>
          <w:sz w:val="32"/>
          <w:szCs w:val="32"/>
        </w:rPr>
        <w:t>1054.15</w:t>
      </w:r>
      <w:r>
        <w:rPr>
          <w:rFonts w:hint="eastAsia" w:ascii="宋体" w:hAnsi="宋体" w:eastAsia="宋体" w:cs="宋体"/>
          <w:sz w:val="32"/>
          <w:szCs w:val="32"/>
        </w:rPr>
        <w:t>万元，占72.98</w:t>
      </w:r>
      <w:r>
        <w:rPr>
          <w:rFonts w:ascii="宋体" w:hAnsi="宋体" w:eastAsia="宋体" w:cs="宋体"/>
          <w:sz w:val="32"/>
          <w:szCs w:val="32"/>
        </w:rPr>
        <w:t>%</w:t>
      </w:r>
      <w:r>
        <w:rPr>
          <w:rFonts w:hint="eastAsia" w:ascii="宋体" w:hAnsi="宋体" w:eastAsia="宋体" w:cs="宋体"/>
          <w:sz w:val="32"/>
          <w:szCs w:val="32"/>
        </w:rPr>
        <w:t>；城乡社区支出4万元，占0.28</w:t>
      </w:r>
      <w:r>
        <w:rPr>
          <w:rFonts w:ascii="宋体" w:hAnsi="宋体" w:eastAsia="宋体" w:cs="宋体"/>
          <w:sz w:val="32"/>
          <w:szCs w:val="32"/>
        </w:rPr>
        <w:t>%;</w:t>
      </w:r>
      <w:r>
        <w:rPr>
          <w:rFonts w:hint="eastAsia" w:ascii="宋体" w:hAnsi="宋体" w:eastAsia="宋体" w:cs="宋体"/>
          <w:sz w:val="32"/>
          <w:szCs w:val="32"/>
        </w:rPr>
        <w:t>商业服务业等支出</w:t>
      </w:r>
      <w:r>
        <w:rPr>
          <w:rFonts w:ascii="宋体" w:hAnsi="宋体" w:eastAsia="宋体" w:cs="宋体"/>
          <w:sz w:val="32"/>
          <w:szCs w:val="32"/>
        </w:rPr>
        <w:t>368.17</w:t>
      </w:r>
      <w:r>
        <w:rPr>
          <w:rFonts w:hint="eastAsia" w:ascii="宋体" w:hAnsi="宋体" w:eastAsia="宋体" w:cs="宋体"/>
          <w:sz w:val="32"/>
          <w:szCs w:val="32"/>
        </w:rPr>
        <w:t>万元，占25.49</w:t>
      </w:r>
      <w:r>
        <w:rPr>
          <w:rFonts w:ascii="宋体" w:hAnsi="宋体" w:eastAsia="宋体" w:cs="宋体"/>
          <w:sz w:val="32"/>
          <w:szCs w:val="32"/>
        </w:rPr>
        <w:t>%;</w:t>
      </w:r>
      <w:r>
        <w:rPr>
          <w:rFonts w:hint="eastAsia" w:ascii="宋体" w:hAnsi="宋体" w:eastAsia="宋体" w:cs="宋体"/>
          <w:sz w:val="32"/>
          <w:szCs w:val="32"/>
        </w:rPr>
        <w:t>粮油物资储备支出</w:t>
      </w:r>
      <w:r>
        <w:rPr>
          <w:rFonts w:ascii="宋体" w:hAnsi="宋体" w:eastAsia="宋体" w:cs="宋体"/>
          <w:sz w:val="32"/>
          <w:szCs w:val="32"/>
        </w:rPr>
        <w:t>18.2</w:t>
      </w:r>
      <w:r>
        <w:rPr>
          <w:rFonts w:hint="eastAsia" w:ascii="宋体" w:hAnsi="宋体" w:eastAsia="宋体" w:cs="宋体"/>
          <w:sz w:val="32"/>
          <w:szCs w:val="32"/>
        </w:rPr>
        <w:t>万元，占1.25</w:t>
      </w:r>
      <w:r>
        <w:rPr>
          <w:rFonts w:ascii="宋体" w:hAnsi="宋体" w:eastAsia="宋体" w:cs="宋体"/>
          <w:sz w:val="32"/>
          <w:szCs w:val="32"/>
        </w:rPr>
        <w:t>%</w:t>
      </w:r>
      <w:r>
        <w:rPr>
          <w:rFonts w:hint="eastAsia" w:ascii="宋体" w:hAnsi="宋体" w:eastAsia="宋体" w:cs="宋体"/>
          <w:sz w:val="32"/>
          <w:szCs w:val="32"/>
        </w:rPr>
        <w:t>。</w:t>
      </w:r>
    </w:p>
    <w:p>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pPr>
        <w:pStyle w:val="11"/>
        <w:ind w:firstLine="800" w:firstLineChars="25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年度财政拨款支出年初预算数为857.91万元，支出决算数为</w:t>
      </w:r>
      <w:r>
        <w:rPr>
          <w:rFonts w:ascii="宋体" w:hAnsi="宋体" w:eastAsia="宋体" w:cs="宋体"/>
          <w:sz w:val="32"/>
          <w:szCs w:val="32"/>
        </w:rPr>
        <w:t>1444.52</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、一般公共服务（类）商贸事务（款）行政运行（项）。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ascii="宋体" w:hAnsi="宋体" w:eastAsia="宋体" w:cs="宋体"/>
          <w:sz w:val="32"/>
          <w:szCs w:val="32"/>
        </w:rPr>
        <w:t>4</w:t>
      </w:r>
      <w:r>
        <w:rPr>
          <w:rFonts w:hint="eastAsia" w:ascii="宋体" w:hAnsi="宋体" w:eastAsia="宋体" w:cs="宋体"/>
          <w:sz w:val="32"/>
          <w:szCs w:val="32"/>
        </w:rPr>
        <w:t>34.58万元，支出决算为</w:t>
      </w:r>
      <w:r>
        <w:rPr>
          <w:rFonts w:ascii="宋体" w:hAnsi="宋体" w:eastAsia="宋体" w:cs="宋体"/>
          <w:sz w:val="32"/>
          <w:szCs w:val="32"/>
        </w:rPr>
        <w:t>461.6</w:t>
      </w:r>
      <w:r>
        <w:rPr>
          <w:rFonts w:hint="eastAsia" w:ascii="宋体" w:hAnsi="宋体" w:eastAsia="宋体" w:cs="宋体"/>
          <w:sz w:val="32"/>
          <w:szCs w:val="32"/>
        </w:rPr>
        <w:t>万元，完成年初预算的106</w:t>
      </w:r>
      <w:r>
        <w:rPr>
          <w:rFonts w:ascii="宋体" w:hAnsi="宋体" w:eastAsia="宋体" w:cs="宋体"/>
          <w:sz w:val="32"/>
          <w:szCs w:val="32"/>
        </w:rPr>
        <w:t>%</w:t>
      </w:r>
      <w:r>
        <w:rPr>
          <w:rFonts w:hint="eastAsia" w:ascii="宋体" w:hAnsi="宋体" w:eastAsia="宋体" w:cs="宋体"/>
          <w:sz w:val="32"/>
          <w:szCs w:val="32"/>
        </w:rPr>
        <w:t>。</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2、一般公共服务（类）商贸事务（款）  一般行政管理事务（项）。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年初预算为106.17万元，支出决算为</w:t>
      </w:r>
      <w:r>
        <w:rPr>
          <w:rFonts w:ascii="宋体" w:hAnsi="宋体" w:eastAsia="宋体" w:cs="宋体"/>
          <w:sz w:val="32"/>
          <w:szCs w:val="32"/>
        </w:rPr>
        <w:t>251.18</w:t>
      </w:r>
      <w:r>
        <w:rPr>
          <w:rFonts w:hint="eastAsia" w:ascii="宋体" w:hAnsi="宋体" w:eastAsia="宋体" w:cs="宋体"/>
          <w:sz w:val="32"/>
          <w:szCs w:val="32"/>
        </w:rPr>
        <w:t>万元，完成年初预算的236</w:t>
      </w:r>
      <w:r>
        <w:rPr>
          <w:rFonts w:ascii="宋体" w:hAnsi="宋体" w:eastAsia="宋体" w:cs="宋体"/>
          <w:sz w:val="32"/>
          <w:szCs w:val="32"/>
        </w:rPr>
        <w:t>%</w:t>
      </w:r>
      <w:r>
        <w:rPr>
          <w:rFonts w:hint="eastAsia" w:ascii="宋体" w:hAnsi="宋体" w:eastAsia="宋体" w:cs="宋体"/>
          <w:sz w:val="32"/>
          <w:szCs w:val="32"/>
        </w:rPr>
        <w:t>。</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3、一般公共服务（类）商贸事务（款）国内贸易管理（项）。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年初预算为15万元，支出决算为15万元，完成年初预算的100</w:t>
      </w:r>
      <w:r>
        <w:rPr>
          <w:rFonts w:ascii="宋体" w:hAnsi="宋体" w:eastAsia="宋体" w:cs="宋体"/>
          <w:sz w:val="32"/>
          <w:szCs w:val="32"/>
        </w:rPr>
        <w:t>%</w:t>
      </w:r>
      <w:r>
        <w:rPr>
          <w:rFonts w:hint="eastAsia" w:ascii="宋体" w:hAnsi="宋体" w:eastAsia="宋体" w:cs="宋体"/>
          <w:sz w:val="32"/>
          <w:szCs w:val="32"/>
        </w:rPr>
        <w:t>。</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4、一般公共服务（类）商贸事务（款）招商引资（项）。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年初预算为130万元，支出决算为</w:t>
      </w:r>
      <w:r>
        <w:rPr>
          <w:rFonts w:ascii="宋体" w:hAnsi="宋体" w:eastAsia="宋体" w:cs="宋体"/>
          <w:sz w:val="32"/>
          <w:szCs w:val="32"/>
        </w:rPr>
        <w:t>124.68</w:t>
      </w:r>
      <w:r>
        <w:rPr>
          <w:rFonts w:hint="eastAsia" w:ascii="宋体" w:hAnsi="宋体" w:eastAsia="宋体" w:cs="宋体"/>
          <w:sz w:val="32"/>
          <w:szCs w:val="32"/>
        </w:rPr>
        <w:t>万元，完成年初预算的96</w:t>
      </w:r>
      <w:r>
        <w:rPr>
          <w:rFonts w:ascii="宋体" w:hAnsi="宋体" w:eastAsia="宋体" w:cs="宋体"/>
          <w:sz w:val="32"/>
          <w:szCs w:val="32"/>
        </w:rPr>
        <w:t>%</w:t>
      </w:r>
      <w:r>
        <w:rPr>
          <w:rFonts w:hint="eastAsia" w:ascii="宋体" w:hAnsi="宋体" w:eastAsia="宋体" w:cs="宋体"/>
          <w:sz w:val="32"/>
          <w:szCs w:val="32"/>
        </w:rPr>
        <w:t>。</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5、一般公共服务（类）商贸事务（款）其他商贸事务支出（项）。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年初预算为172.16万元，支出决算为201.69万元，完成年初预算的117</w:t>
      </w:r>
      <w:r>
        <w:rPr>
          <w:rFonts w:ascii="宋体" w:hAnsi="宋体" w:eastAsia="宋体" w:cs="宋体"/>
          <w:sz w:val="32"/>
          <w:szCs w:val="32"/>
        </w:rPr>
        <w:t>%</w:t>
      </w:r>
      <w:r>
        <w:rPr>
          <w:rFonts w:hint="eastAsia" w:ascii="宋体" w:hAnsi="宋体" w:eastAsia="宋体" w:cs="宋体"/>
          <w:sz w:val="32"/>
          <w:szCs w:val="32"/>
        </w:rPr>
        <w:t>。</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6、城乡社区支出（类）城乡社区公共设施（款）  小城镇基础设施建设（项）。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年初预算为0万元，支出决算为4万元，为年中追加预算。</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7、商业服务业等支出（类）商业流通事务（款）  其他商业流通事务支出（项）。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170.75</w:t>
      </w:r>
      <w:r>
        <w:rPr>
          <w:rFonts w:hint="eastAsia" w:ascii="宋体" w:hAnsi="宋体" w:eastAsia="宋体" w:cs="宋体"/>
          <w:sz w:val="32"/>
          <w:szCs w:val="32"/>
        </w:rPr>
        <w:t>万元，为年中追加预算。</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8、商业服务业等支出（类）涉外发展服务支出（款）  其他涉外发展服务支出（项）。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197.43</w:t>
      </w:r>
      <w:r>
        <w:rPr>
          <w:rFonts w:hint="eastAsia" w:ascii="宋体" w:hAnsi="宋体" w:eastAsia="宋体" w:cs="宋体"/>
          <w:sz w:val="32"/>
          <w:szCs w:val="32"/>
        </w:rPr>
        <w:t>万元，为年中追加预算。</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9、粮油物资储备支出（类）粮油事务（款）  行政运行（项）。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12.73</w:t>
      </w:r>
      <w:r>
        <w:rPr>
          <w:rFonts w:hint="eastAsia" w:ascii="宋体" w:hAnsi="宋体" w:eastAsia="宋体" w:cs="宋体"/>
          <w:sz w:val="32"/>
          <w:szCs w:val="32"/>
        </w:rPr>
        <w:t>万元，年中追加预算。</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10、粮油物资储备支出（类）粮油事务（款）一般行政管理事务（项）。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5.47</w:t>
      </w:r>
      <w:r>
        <w:rPr>
          <w:rFonts w:hint="eastAsia" w:ascii="宋体" w:hAnsi="宋体" w:eastAsia="宋体" w:cs="宋体"/>
          <w:sz w:val="32"/>
          <w:szCs w:val="32"/>
        </w:rPr>
        <w:t>万元，年中追加预算。</w:t>
      </w:r>
    </w:p>
    <w:p>
      <w:pPr>
        <w:pStyle w:val="11"/>
        <w:rPr>
          <w:rFonts w:hAnsi="黑体" w:cs="Times New Roman"/>
          <w:b/>
          <w:bCs/>
          <w:sz w:val="32"/>
          <w:szCs w:val="32"/>
        </w:rPr>
      </w:pPr>
      <w:r>
        <w:rPr>
          <w:rFonts w:hint="eastAsia" w:hAnsi="黑体"/>
          <w:b/>
          <w:bCs/>
          <w:sz w:val="32"/>
          <w:szCs w:val="32"/>
        </w:rPr>
        <w:t>六、一般公共预算财政拨款基本支出决算情况说明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年度财政拨款基本支出500万元，其中：人员经费</w:t>
      </w:r>
      <w:r>
        <w:rPr>
          <w:rFonts w:ascii="宋体" w:hAnsi="宋体" w:eastAsia="宋体" w:cs="宋体"/>
          <w:sz w:val="32"/>
          <w:szCs w:val="32"/>
        </w:rPr>
        <w:t>412.21</w:t>
      </w:r>
      <w:r>
        <w:rPr>
          <w:rFonts w:hint="eastAsia" w:ascii="宋体" w:hAnsi="宋体" w:eastAsia="宋体" w:cs="宋体"/>
          <w:sz w:val="32"/>
          <w:szCs w:val="32"/>
        </w:rPr>
        <w:t>万元，占基本支出的82.44</w:t>
      </w:r>
      <w:r>
        <w:rPr>
          <w:rFonts w:ascii="宋体" w:hAnsi="宋体" w:eastAsia="宋体" w:cs="宋体"/>
          <w:sz w:val="32"/>
          <w:szCs w:val="32"/>
        </w:rPr>
        <w:t>%,</w:t>
      </w:r>
      <w:r>
        <w:rPr>
          <w:rFonts w:hint="eastAsia" w:ascii="宋体" w:hAnsi="宋体" w:eastAsia="宋体" w:cs="宋体"/>
          <w:sz w:val="32"/>
          <w:szCs w:val="32"/>
        </w:rPr>
        <w:t>主要包括基本工资、津贴补贴、奖金、伙食补助费等；公用经费</w:t>
      </w:r>
      <w:r>
        <w:rPr>
          <w:rFonts w:ascii="宋体" w:hAnsi="宋体" w:eastAsia="宋体" w:cs="宋体"/>
          <w:sz w:val="32"/>
          <w:szCs w:val="32"/>
        </w:rPr>
        <w:t>87.</w:t>
      </w:r>
      <w:r>
        <w:rPr>
          <w:rFonts w:hint="eastAsia" w:ascii="宋体" w:hAnsi="宋体" w:eastAsia="宋体" w:cs="宋体"/>
          <w:sz w:val="32"/>
          <w:szCs w:val="32"/>
        </w:rPr>
        <w:t>8万元，占基本支出的17.56</w:t>
      </w:r>
      <w:r>
        <w:rPr>
          <w:rFonts w:ascii="宋体" w:hAnsi="宋体" w:eastAsia="宋体" w:cs="宋体"/>
          <w:sz w:val="32"/>
          <w:szCs w:val="32"/>
        </w:rPr>
        <w:t>%</w:t>
      </w:r>
      <w:r>
        <w:rPr>
          <w:rFonts w:hint="eastAsia" w:ascii="宋体" w:hAnsi="宋体" w:eastAsia="宋体" w:cs="宋体"/>
          <w:sz w:val="32"/>
          <w:szCs w:val="32"/>
        </w:rPr>
        <w:t>，主要包括办公费、印刷费、咨询费、手续费等。</w:t>
      </w:r>
    </w:p>
    <w:p>
      <w:pPr>
        <w:pStyle w:val="11"/>
        <w:rPr>
          <w:rFonts w:hAnsi="黑体" w:cs="Times New Roman"/>
          <w:b/>
          <w:bCs/>
          <w:sz w:val="32"/>
          <w:szCs w:val="32"/>
        </w:rPr>
      </w:pPr>
      <w:r>
        <w:rPr>
          <w:rFonts w:hint="eastAsia" w:hAnsi="黑体"/>
          <w:b/>
          <w:bCs/>
          <w:sz w:val="32"/>
          <w:szCs w:val="32"/>
        </w:rPr>
        <w:t>七、一般公共预算财政拨款三公经费支出决算情况说明</w:t>
      </w:r>
    </w:p>
    <w:p>
      <w:pPr>
        <w:pStyle w:val="11"/>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“三公”经费财政拨款支出预算为86万元，支出决算为</w:t>
      </w:r>
      <w:r>
        <w:rPr>
          <w:rFonts w:ascii="宋体" w:hAnsi="宋体" w:eastAsia="宋体" w:cs="宋体"/>
          <w:sz w:val="32"/>
          <w:szCs w:val="32"/>
        </w:rPr>
        <w:t>69.17</w:t>
      </w:r>
      <w:r>
        <w:rPr>
          <w:rFonts w:hint="eastAsia" w:ascii="宋体" w:hAnsi="宋体" w:eastAsia="宋体" w:cs="宋体"/>
          <w:sz w:val="32"/>
          <w:szCs w:val="32"/>
        </w:rPr>
        <w:t>万元，完成预算的80.43</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因公出国（境）费支出预算为0万元，支出决算为0万元，完成预算的100</w:t>
      </w:r>
      <w:r>
        <w:rPr>
          <w:rFonts w:ascii="宋体" w:hAnsi="宋体" w:eastAsia="宋体" w:cs="宋体"/>
          <w:sz w:val="32"/>
          <w:szCs w:val="32"/>
        </w:rPr>
        <w:t>%</w:t>
      </w:r>
      <w:r>
        <w:rPr>
          <w:rFonts w:hint="eastAsia" w:ascii="宋体" w:hAnsi="宋体" w:eastAsia="宋体" w:cs="宋体"/>
          <w:sz w:val="32"/>
          <w:szCs w:val="32"/>
        </w:rPr>
        <w:t>。</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公务接待费支出预算为80万元，支出决算为</w:t>
      </w:r>
      <w:r>
        <w:rPr>
          <w:rFonts w:ascii="宋体" w:hAnsi="宋体" w:eastAsia="宋体" w:cs="宋体"/>
          <w:sz w:val="32"/>
          <w:szCs w:val="32"/>
        </w:rPr>
        <w:t>65.23</w:t>
      </w:r>
      <w:r>
        <w:rPr>
          <w:rFonts w:hint="eastAsia" w:ascii="宋体" w:hAnsi="宋体" w:eastAsia="宋体" w:cs="宋体"/>
          <w:sz w:val="32"/>
          <w:szCs w:val="32"/>
        </w:rPr>
        <w:t>万元，完成预算的81.53%。决算数小于预算数的主要原因是厉行节约，与上年相比减少6.78万元，下降9.4</w:t>
      </w:r>
      <w:r>
        <w:rPr>
          <w:rFonts w:ascii="宋体" w:hAnsi="宋体" w:eastAsia="宋体" w:cs="宋体"/>
          <w:sz w:val="32"/>
          <w:szCs w:val="32"/>
        </w:rPr>
        <w:t>%,</w:t>
      </w:r>
      <w:r>
        <w:rPr>
          <w:rFonts w:hint="eastAsia" w:ascii="宋体" w:hAnsi="宋体" w:eastAsia="宋体" w:cs="宋体"/>
          <w:sz w:val="32"/>
          <w:szCs w:val="32"/>
        </w:rPr>
        <w:t>下降的主要原因是2020年度招商活动减少。</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公务用车购置费及运行维护费支出预算为6万元，支出决算为3.94万元，完成预算的65.6</w:t>
      </w:r>
      <w:r>
        <w:rPr>
          <w:rFonts w:ascii="宋体" w:hAnsi="宋体" w:eastAsia="宋体" w:cs="宋体"/>
          <w:sz w:val="32"/>
          <w:szCs w:val="32"/>
        </w:rPr>
        <w:t>%</w:t>
      </w:r>
      <w:r>
        <w:rPr>
          <w:rFonts w:hint="eastAsia" w:ascii="宋体" w:hAnsi="宋体" w:eastAsia="宋体" w:cs="宋体"/>
          <w:sz w:val="32"/>
          <w:szCs w:val="32"/>
        </w:rPr>
        <w:t>，决算数小于预算数的主要原因是节约开支，且执法机构改革，执法职能转移，与上年相比减少1.12万元，减少22</w:t>
      </w:r>
      <w:r>
        <w:rPr>
          <w:rFonts w:ascii="宋体" w:hAnsi="宋体" w:eastAsia="宋体" w:cs="宋体"/>
          <w:sz w:val="32"/>
          <w:szCs w:val="32"/>
        </w:rPr>
        <w:t>%,</w:t>
      </w:r>
      <w:r>
        <w:rPr>
          <w:rFonts w:hint="eastAsia" w:ascii="宋体" w:hAnsi="宋体" w:eastAsia="宋体" w:cs="宋体"/>
          <w:sz w:val="32"/>
          <w:szCs w:val="32"/>
        </w:rPr>
        <w:t>减少的主要原因是节约开支，且执法机构改革，执法职能转移。</w:t>
      </w:r>
    </w:p>
    <w:p>
      <w:pPr>
        <w:pStyle w:val="11"/>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年度“三公”经费财政拨款支出决算中，公务接待费支出决算</w:t>
      </w:r>
      <w:r>
        <w:rPr>
          <w:rFonts w:ascii="宋体" w:hAnsi="宋体" w:eastAsia="宋体" w:cs="宋体"/>
          <w:sz w:val="32"/>
          <w:szCs w:val="32"/>
        </w:rPr>
        <w:t>65.23</w:t>
      </w:r>
      <w:r>
        <w:rPr>
          <w:rFonts w:hint="eastAsia" w:ascii="宋体" w:hAnsi="宋体" w:eastAsia="宋体" w:cs="宋体"/>
          <w:sz w:val="32"/>
          <w:szCs w:val="32"/>
        </w:rPr>
        <w:t>万元，占94.54</w:t>
      </w:r>
      <w:r>
        <w:rPr>
          <w:rFonts w:ascii="宋体" w:hAnsi="宋体" w:eastAsia="宋体" w:cs="宋体"/>
          <w:sz w:val="32"/>
          <w:szCs w:val="32"/>
        </w:rPr>
        <w:t>%,</w:t>
      </w:r>
      <w:r>
        <w:rPr>
          <w:rFonts w:hint="eastAsia" w:ascii="宋体" w:hAnsi="宋体" w:eastAsia="宋体" w:cs="宋体"/>
          <w:sz w:val="32"/>
          <w:szCs w:val="32"/>
        </w:rPr>
        <w:t>因公出国（境）费支出决算0万元，占0</w:t>
      </w:r>
      <w:r>
        <w:rPr>
          <w:rFonts w:ascii="宋体" w:hAnsi="宋体" w:eastAsia="宋体" w:cs="宋体"/>
          <w:sz w:val="32"/>
          <w:szCs w:val="32"/>
        </w:rPr>
        <w:t>%,</w:t>
      </w:r>
      <w:r>
        <w:rPr>
          <w:rFonts w:hint="eastAsia" w:ascii="宋体" w:hAnsi="宋体" w:eastAsia="宋体" w:cs="宋体"/>
          <w:sz w:val="32"/>
          <w:szCs w:val="32"/>
        </w:rPr>
        <w:t>公务用车购置费及运行维护费支出决算3.94万元，占5.46</w:t>
      </w:r>
      <w:r>
        <w:rPr>
          <w:rFonts w:ascii="宋体" w:hAnsi="宋体" w:eastAsia="宋体" w:cs="宋体"/>
          <w:sz w:val="32"/>
          <w:szCs w:val="32"/>
        </w:rPr>
        <w:t>%</w:t>
      </w:r>
      <w:r>
        <w:rPr>
          <w:rFonts w:hint="eastAsia" w:ascii="宋体" w:hAnsi="宋体" w:eastAsia="宋体" w:cs="宋体"/>
          <w:sz w:val="32"/>
          <w:szCs w:val="32"/>
        </w:rPr>
        <w:t>。其中：</w:t>
      </w:r>
    </w:p>
    <w:p>
      <w:pPr>
        <w:pStyle w:val="11"/>
        <w:ind w:firstLine="640" w:firstLineChars="20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p>
    <w:p>
      <w:pPr>
        <w:pStyle w:val="11"/>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、公务接待费支出决算为65.23万元，全年共接待来访团组320个、来宾3000人次，主要是招商引资活动发生的接待支出。</w:t>
      </w:r>
    </w:p>
    <w:p>
      <w:pPr>
        <w:ind w:firstLine="800" w:firstLineChars="250"/>
        <w:rPr>
          <w:rFonts w:ascii="宋体" w:hAnsi="宋体" w:cs="宋体"/>
          <w:sz w:val="32"/>
          <w:szCs w:val="32"/>
        </w:rPr>
      </w:pPr>
      <w:r>
        <w:rPr>
          <w:rFonts w:ascii="宋体" w:hAnsi="宋体" w:cs="宋体"/>
          <w:sz w:val="32"/>
          <w:szCs w:val="32"/>
        </w:rPr>
        <w:t>3</w:t>
      </w:r>
      <w:r>
        <w:rPr>
          <w:rFonts w:hint="eastAsia" w:ascii="宋体" w:hAnsi="宋体" w:cs="宋体"/>
          <w:sz w:val="32"/>
          <w:szCs w:val="32"/>
        </w:rPr>
        <w:t>、公务用车购置费及运行维护费支出决算为3.94万元，其中：公务用车购置费0万元，单位本级或某二级机构更新公务用车0辆。公务用车运行维护费3.94万元，主要是公务用车加油费、维修维护等相关支出，截止</w:t>
      </w:r>
      <w:r>
        <w:rPr>
          <w:rFonts w:ascii="宋体" w:hAnsi="宋体" w:cs="宋体"/>
          <w:sz w:val="32"/>
          <w:szCs w:val="32"/>
        </w:rPr>
        <w:t>2020</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日，我单位开支财政拨款的公务用车保有量为2辆（其中一辆报废程序中）。</w:t>
      </w:r>
    </w:p>
    <w:p>
      <w:pPr>
        <w:pStyle w:val="11"/>
        <w:rPr>
          <w:rFonts w:hAnsi="黑体" w:cs="Times New Roman"/>
          <w:b/>
          <w:bCs/>
          <w:sz w:val="32"/>
          <w:szCs w:val="32"/>
        </w:rPr>
      </w:pPr>
      <w:r>
        <w:rPr>
          <w:rFonts w:hint="eastAsia" w:hAnsi="黑体"/>
          <w:b/>
          <w:bCs/>
          <w:sz w:val="32"/>
          <w:szCs w:val="32"/>
        </w:rPr>
        <w:t>八、政府性基金预算收入支出决算情况</w:t>
      </w:r>
    </w:p>
    <w:p>
      <w:pPr>
        <w:pStyle w:val="11"/>
        <w:rPr>
          <w:rFonts w:ascii="宋体" w:hAnsi="宋体" w:eastAsia="宋体" w:cs="宋体"/>
          <w:sz w:val="32"/>
          <w:szCs w:val="32"/>
        </w:rPr>
      </w:pPr>
      <w:r>
        <w:rPr>
          <w:rFonts w:ascii="宋体" w:hAnsi="宋体" w:eastAsia="宋体" w:cs="宋体"/>
          <w:sz w:val="32"/>
          <w:szCs w:val="32"/>
        </w:rPr>
        <w:t xml:space="preserve">     2020</w:t>
      </w:r>
      <w:r>
        <w:rPr>
          <w:rFonts w:hint="eastAsia" w:ascii="宋体" w:hAnsi="宋体" w:eastAsia="宋体" w:cs="宋体"/>
          <w:sz w:val="32"/>
          <w:szCs w:val="32"/>
        </w:rPr>
        <w:t>年度政府性基金预算财政拨款收入20万元；年初结转和结余0万元；支出20万元，其中基本支出0万元，项目支出20万元；年末结转和结余0万元。</w:t>
      </w:r>
    </w:p>
    <w:p>
      <w:pPr>
        <w:pStyle w:val="11"/>
        <w:rPr>
          <w:rFonts w:hAnsi="黑体"/>
          <w:b/>
          <w:bCs/>
          <w:sz w:val="32"/>
          <w:szCs w:val="32"/>
        </w:rPr>
      </w:pPr>
      <w:r>
        <w:rPr>
          <w:rFonts w:hint="eastAsia" w:hAnsi="黑体"/>
          <w:b/>
          <w:bCs/>
          <w:sz w:val="32"/>
          <w:szCs w:val="32"/>
        </w:rPr>
        <w:t>九、国有资本经营预算财政拨款支出决算情况</w:t>
      </w:r>
    </w:p>
    <w:p>
      <w:pPr>
        <w:pStyle w:val="11"/>
        <w:rPr>
          <w:rFonts w:ascii="宋体" w:hAnsi="宋体" w:eastAsia="宋体" w:cs="宋体"/>
          <w:i/>
          <w:iCs/>
          <w:color w:val="FF0000"/>
          <w:sz w:val="32"/>
          <w:szCs w:val="32"/>
        </w:rPr>
      </w:pPr>
      <w:r>
        <w:rPr>
          <w:rFonts w:hint="eastAsia" w:hAnsi="黑体"/>
          <w:b/>
          <w:bCs/>
          <w:sz w:val="32"/>
          <w:szCs w:val="32"/>
        </w:rPr>
        <w:t xml:space="preserve"> </w:t>
      </w:r>
      <w:r>
        <w:rPr>
          <w:rFonts w:hint="eastAsia" w:ascii="宋体" w:hAnsi="宋体" w:eastAsia="宋体" w:cs="宋体"/>
          <w:sz w:val="32"/>
          <w:szCs w:val="32"/>
        </w:rPr>
        <w:t xml:space="preserve">   本单位无国有资本经营预算支出</w:t>
      </w:r>
    </w:p>
    <w:p>
      <w:pPr>
        <w:pStyle w:val="11"/>
        <w:rPr>
          <w:rFonts w:hAnsi="黑体" w:cs="Times New Roman"/>
          <w:b/>
          <w:bCs/>
          <w:sz w:val="32"/>
          <w:szCs w:val="32"/>
        </w:rPr>
      </w:pPr>
      <w:r>
        <w:rPr>
          <w:rFonts w:hint="eastAsia" w:hAnsi="黑体"/>
          <w:b/>
          <w:bCs/>
          <w:sz w:val="32"/>
          <w:szCs w:val="32"/>
        </w:rPr>
        <w:t>十、关于机关运行经费支出说明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年度机关运行经费支出87.8万元，比上年决算数减少6.11万元，降低6.52</w:t>
      </w:r>
      <w:r>
        <w:rPr>
          <w:rFonts w:ascii="宋体" w:hAnsi="宋体" w:eastAsia="宋体" w:cs="宋体"/>
          <w:sz w:val="32"/>
          <w:szCs w:val="32"/>
        </w:rPr>
        <w:t>%</w:t>
      </w:r>
      <w:r>
        <w:rPr>
          <w:rFonts w:hint="eastAsia" w:ascii="宋体" w:hAnsi="宋体" w:eastAsia="宋体" w:cs="宋体"/>
          <w:sz w:val="32"/>
          <w:szCs w:val="32"/>
        </w:rPr>
        <w:t>。主要原因是：根据相关文件精神，厉行节约。</w:t>
      </w:r>
    </w:p>
    <w:p>
      <w:pPr>
        <w:pStyle w:val="11"/>
        <w:rPr>
          <w:rFonts w:hAnsi="黑体" w:cs="Times New Roman"/>
          <w:b/>
          <w:bCs/>
          <w:sz w:val="32"/>
          <w:szCs w:val="32"/>
        </w:rPr>
      </w:pPr>
      <w:r>
        <w:rPr>
          <w:rFonts w:hint="eastAsia" w:hAnsi="黑体"/>
          <w:b/>
          <w:bCs/>
          <w:sz w:val="32"/>
          <w:szCs w:val="32"/>
        </w:rPr>
        <w:t>十一、一般性支出情况</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年本部门开支会议费0万元；开支培训费0.14万元，用于开展本年度党建培训，人数80余人，内容为党建培训；举办节庆、晚会、论坛、赛事活动，开支0万元。</w:t>
      </w:r>
    </w:p>
    <w:p>
      <w:pPr>
        <w:pStyle w:val="11"/>
        <w:rPr>
          <w:rFonts w:hAnsi="黑体" w:cs="Times New Roman"/>
          <w:b/>
          <w:bCs/>
          <w:sz w:val="32"/>
          <w:szCs w:val="32"/>
        </w:rPr>
      </w:pPr>
      <w:r>
        <w:rPr>
          <w:rFonts w:hint="eastAsia" w:hAnsi="黑体"/>
          <w:b/>
          <w:bCs/>
          <w:sz w:val="32"/>
          <w:szCs w:val="32"/>
        </w:rPr>
        <w:t>十二、关于政府采购支出说明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年度政府采购支出总额102.79万元，其中：政府采购货物支出102.79万元、政府采购工程支出0万元、政府采购服务支出0万元。授予中小企业合同金额0万元，占政府采购支出总额的0</w:t>
      </w:r>
      <w:r>
        <w:rPr>
          <w:rFonts w:ascii="宋体" w:hAnsi="宋体" w:eastAsia="宋体" w:cs="宋体"/>
          <w:sz w:val="32"/>
          <w:szCs w:val="32"/>
        </w:rPr>
        <w:t>%</w:t>
      </w:r>
      <w:r>
        <w:rPr>
          <w:rFonts w:hint="eastAsia" w:ascii="宋体" w:hAnsi="宋体" w:eastAsia="宋体" w:cs="宋体"/>
          <w:sz w:val="32"/>
          <w:szCs w:val="32"/>
        </w:rPr>
        <w:t>，其中：授予小微企业合同金额0万元，占政府采购支出总额的0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十三、关于国有资产占用情况说明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2020</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日，本单位共有车辆2辆，其中，主要领导干部用车0辆，机要通信用车0辆、应急保障用车0辆、执法执勤用车0辆、特种专业技术用车0辆、其他用车2辆，其他用车主要是商务用车（其中一辆待报废）；单位价值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万元以上专用设备0台（套）。</w:t>
      </w:r>
    </w:p>
    <w:p>
      <w:pPr>
        <w:pStyle w:val="11"/>
        <w:rPr>
          <w:rFonts w:hAnsi="黑体" w:cs="Times New Roman"/>
          <w:b/>
          <w:bCs/>
          <w:sz w:val="32"/>
          <w:szCs w:val="32"/>
        </w:rPr>
      </w:pPr>
      <w:r>
        <w:rPr>
          <w:rFonts w:hint="eastAsia" w:hAnsi="黑体"/>
          <w:b/>
          <w:bCs/>
          <w:sz w:val="32"/>
          <w:szCs w:val="32"/>
        </w:rPr>
        <w:t>十四、关于</w:t>
      </w:r>
      <w:r>
        <w:rPr>
          <w:rFonts w:hAnsi="黑体"/>
          <w:b/>
          <w:bCs/>
          <w:sz w:val="32"/>
          <w:szCs w:val="32"/>
        </w:rPr>
        <w:t>2020</w:t>
      </w:r>
      <w:r>
        <w:rPr>
          <w:rFonts w:hint="eastAsia" w:hAnsi="黑体"/>
          <w:b/>
          <w:bCs/>
          <w:sz w:val="32"/>
          <w:szCs w:val="32"/>
        </w:rPr>
        <w:t>年度预算绩效情况的说明</w:t>
      </w:r>
    </w:p>
    <w:p>
      <w:pPr>
        <w:pStyle w:val="11"/>
        <w:ind w:firstLine="640" w:firstLineChars="200"/>
        <w:rPr>
          <w:rFonts w:ascii="宋体" w:hAnsi="宋体" w:eastAsia="宋体" w:cs="宋体"/>
          <w:sz w:val="32"/>
          <w:szCs w:val="32"/>
        </w:rPr>
      </w:pPr>
      <w:r>
        <w:rPr>
          <w:rFonts w:hint="eastAsia" w:ascii="宋体" w:hAnsi="宋体" w:eastAsia="宋体" w:cs="宋体"/>
          <w:sz w:val="32"/>
          <w:szCs w:val="32"/>
        </w:rPr>
        <w:t>根据部门绩效管理的要求，我局不断强化绩效目标管理，加强绩效管理激励约束和考核结果应用，2020年湘潭县商务局实施部门预算绩效管理的单位范围包括：县商务局本级共1家单位。2020年湘潭县商务局整体部门支出纳入部门预算绩效管理和编制预算绩效目标，重点项目-开放型经济及招商引资工作紧紧围绕“挺进全国百强县”奋斗目标，大力开展“招商引资竞赛活动，全年实现到位省外境内内资76.1亿元以上；直接利用外资1.657亿美元以上；合同引进过亿元项目15个以上；重新策划包装招商项目20个以上；开展各类招商活动10场（次）以上；积极做好协调服务工作；全力推动签约项目的开工建设。开展年度预算绩效自评或绩效评价，并形成绩效报告报送财政部门备案。</w:t>
      </w:r>
    </w:p>
    <w:p>
      <w:pPr>
        <w:pStyle w:val="11"/>
        <w:jc w:val="center"/>
        <w:rPr>
          <w:rFonts w:ascii="宋体" w:hAnsi="宋体" w:eastAsia="宋体" w:cs="宋体"/>
          <w:color w:val="FF0000"/>
          <w:sz w:val="32"/>
          <w:szCs w:val="32"/>
        </w:rPr>
      </w:pPr>
    </w:p>
    <w:p>
      <w:pPr>
        <w:pStyle w:val="11"/>
        <w:jc w:val="center"/>
        <w:rPr>
          <w:rFonts w:ascii="宋体" w:hAnsi="宋体" w:eastAsia="宋体" w:cs="宋体"/>
          <w:sz w:val="72"/>
          <w:szCs w:val="72"/>
        </w:rPr>
      </w:pPr>
    </w:p>
    <w:p>
      <w:pPr>
        <w:pStyle w:val="11"/>
        <w:jc w:val="center"/>
        <w:rPr>
          <w:rFonts w:ascii="宋体" w:hAnsi="宋体" w:eastAsia="宋体" w:cs="宋体"/>
          <w:sz w:val="72"/>
          <w:szCs w:val="72"/>
        </w:rPr>
      </w:pPr>
    </w:p>
    <w:p>
      <w:pPr>
        <w:pStyle w:val="11"/>
        <w:jc w:val="center"/>
        <w:rPr>
          <w:rFonts w:ascii="宋体" w:hAnsi="宋体" w:eastAsia="宋体" w:cs="宋体"/>
          <w:sz w:val="72"/>
          <w:szCs w:val="72"/>
        </w:rPr>
      </w:pPr>
    </w:p>
    <w:p>
      <w:pPr>
        <w:pStyle w:val="11"/>
        <w:jc w:val="center"/>
        <w:rPr>
          <w:rFonts w:ascii="宋体" w:hAnsi="宋体" w:eastAsia="宋体" w:cs="宋体"/>
          <w:sz w:val="72"/>
          <w:szCs w:val="72"/>
        </w:rPr>
      </w:pPr>
    </w:p>
    <w:p>
      <w:pPr>
        <w:pStyle w:val="11"/>
        <w:jc w:val="center"/>
        <w:rPr>
          <w:rFonts w:ascii="宋体" w:hAnsi="宋体" w:eastAsia="宋体" w:cs="宋体"/>
          <w:sz w:val="72"/>
          <w:szCs w:val="72"/>
        </w:rPr>
      </w:pPr>
      <w:r>
        <w:rPr>
          <w:rFonts w:hint="eastAsia" w:ascii="宋体" w:hAnsi="宋体" w:eastAsia="宋体" w:cs="宋体"/>
          <w:sz w:val="72"/>
          <w:szCs w:val="72"/>
        </w:rPr>
        <w:t>第四部分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名词解释</w:t>
      </w: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一、财政拨款收入：指财政当年拨付的资金。 </w:t>
      </w: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二、其他收入：指预算单位在“财政拨款收入”、“事业收入”、 “经营收入”之外取得的收入。主要是按规定使用的上级财 补助经费和历年政府采购结转经遇 </w:t>
      </w: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三、一般公共服务支出：反映政府提供一般公共服务的支出。 </w:t>
      </w: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四、上年结转和结余：指本年度或以前年度预算安排、因客 观条件发生变化无法按原计划实施，需要延迟到以后年度按 有关规定继续使用的资金。 </w:t>
      </w: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五、基本支出：指单位为保障机构正常运转、完成日常工作任务而发生的各项支出（包括基本工资、津贴补贴等）和公用支出（包括办公费、邮电费、差旅费及印刷费）。   </w:t>
      </w: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六、项目支出：指单位为完成特定的行政工作任务或事业发 展目标，在基本支出之外发生的各项支出。 </w:t>
      </w: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七、“三公”经费：指因公出国（境）经费、公务用车购置及 运行维护费、公务接待费。其中：因公出国（境）经费指公 务出国（境）的住宿费、旅费、伙食补助费、杂费、培训费 等支出；公务用车购置及运行费反映单位公务用车车辆购置 支出（含车辆购置税）及租用费、燃料费、维修费、过桥过路费、保险费等支出；公务接待费反映单位按规定开支的各 类公务接待支出。 </w:t>
      </w:r>
    </w:p>
    <w:p>
      <w:pPr>
        <w:pStyle w:val="11"/>
        <w:ind w:firstLine="640" w:firstLineChars="200"/>
        <w:rPr>
          <w:rFonts w:ascii="仿宋" w:hAnsi="仿宋" w:eastAsia="仿宋" w:cs="Times New Roman"/>
          <w:sz w:val="72"/>
          <w:szCs w:val="72"/>
        </w:rPr>
      </w:pPr>
      <w:r>
        <w:rPr>
          <w:rFonts w:hint="eastAsia" w:ascii="仿宋" w:hAnsi="仿宋" w:eastAsia="仿宋" w:cs="宋体"/>
          <w:sz w:val="32"/>
          <w:szCs w:val="32"/>
        </w:rPr>
        <w:t>八、机关运行经费：行政单位（包括参照公务员法管理的事业单位）一般公共预算财政拨款基本支出中的公用支出，包 括办公费、邮电费、差旅费及印刷费等。</w:t>
      </w: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ind w:firstLine="3960" w:firstLineChars="550"/>
        <w:rPr>
          <w:rFonts w:ascii="宋体" w:hAnsi="宋体" w:eastAsia="宋体" w:cs="宋体"/>
          <w:sz w:val="72"/>
          <w:szCs w:val="72"/>
        </w:rPr>
      </w:pPr>
    </w:p>
    <w:p>
      <w:pPr>
        <w:pStyle w:val="11"/>
        <w:ind w:firstLine="3960" w:firstLineChars="550"/>
        <w:rPr>
          <w:rFonts w:ascii="宋体" w:hAnsi="宋体" w:eastAsia="宋体" w:cs="宋体"/>
          <w:sz w:val="72"/>
          <w:szCs w:val="72"/>
        </w:rPr>
      </w:pPr>
    </w:p>
    <w:p>
      <w:pPr>
        <w:pStyle w:val="11"/>
        <w:ind w:firstLine="3960" w:firstLineChars="550"/>
        <w:rPr>
          <w:rFonts w:ascii="宋体" w:hAnsi="宋体" w:eastAsia="宋体" w:cs="宋体"/>
          <w:sz w:val="72"/>
          <w:szCs w:val="72"/>
        </w:rPr>
      </w:pPr>
    </w:p>
    <w:p>
      <w:pPr>
        <w:pStyle w:val="11"/>
        <w:ind w:firstLine="3960" w:firstLineChars="550"/>
        <w:rPr>
          <w:rFonts w:ascii="宋体" w:hAnsi="宋体" w:eastAsia="宋体" w:cs="宋体"/>
          <w:sz w:val="72"/>
          <w:szCs w:val="72"/>
        </w:rPr>
      </w:pPr>
    </w:p>
    <w:p>
      <w:pPr>
        <w:pStyle w:val="11"/>
        <w:ind w:firstLine="3960" w:firstLineChars="550"/>
        <w:rPr>
          <w:rFonts w:ascii="宋体" w:hAnsi="宋体" w:eastAsia="宋体" w:cs="宋体"/>
          <w:sz w:val="72"/>
          <w:szCs w:val="72"/>
        </w:rPr>
      </w:pPr>
      <w:r>
        <w:rPr>
          <w:rFonts w:hint="eastAsia" w:ascii="宋体" w:hAnsi="宋体" w:eastAsia="宋体" w:cs="宋体"/>
          <w:sz w:val="72"/>
          <w:szCs w:val="72"/>
        </w:rPr>
        <w:t>第五部分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pPr>
        <w:jc w:val="center"/>
        <w:rPr>
          <w:rFonts w:ascii="宋体" w:hAnsi="宋体" w:cs="宋体"/>
          <w:color w:val="000000"/>
          <w:kern w:val="0"/>
          <w:sz w:val="72"/>
          <w:szCs w:val="72"/>
        </w:rPr>
      </w:pPr>
    </w:p>
    <w:p>
      <w:pPr>
        <w:ind w:firstLine="880" w:firstLineChars="200"/>
        <w:jc w:val="center"/>
        <w:rPr>
          <w:rFonts w:ascii="黑体" w:hAnsi="黑体" w:eastAsia="黑体" w:cs="方正小标宋简体"/>
          <w:sz w:val="44"/>
          <w:szCs w:val="32"/>
        </w:rPr>
      </w:pPr>
    </w:p>
    <w:p>
      <w:pPr>
        <w:ind w:firstLine="880" w:firstLineChars="200"/>
        <w:jc w:val="center"/>
        <w:rPr>
          <w:rFonts w:ascii="黑体" w:hAnsi="黑体" w:eastAsia="黑体" w:cs="方正小标宋简体"/>
          <w:sz w:val="44"/>
          <w:szCs w:val="32"/>
        </w:rPr>
      </w:pPr>
    </w:p>
    <w:p>
      <w:pPr>
        <w:ind w:firstLine="880" w:firstLineChars="200"/>
        <w:jc w:val="center"/>
        <w:rPr>
          <w:rFonts w:ascii="黑体" w:hAnsi="黑体" w:eastAsia="黑体" w:cs="方正小标宋简体"/>
          <w:sz w:val="44"/>
          <w:szCs w:val="32"/>
        </w:rPr>
      </w:pPr>
    </w:p>
    <w:p>
      <w:pPr>
        <w:ind w:firstLine="880" w:firstLineChars="200"/>
        <w:jc w:val="center"/>
        <w:rPr>
          <w:rFonts w:ascii="黑体" w:hAnsi="黑体" w:eastAsia="黑体" w:cs="方正小标宋简体"/>
          <w:sz w:val="44"/>
          <w:szCs w:val="32"/>
        </w:rPr>
      </w:pPr>
    </w:p>
    <w:p>
      <w:pPr>
        <w:ind w:firstLine="880" w:firstLineChars="200"/>
        <w:jc w:val="center"/>
        <w:rPr>
          <w:rFonts w:ascii="黑体" w:hAnsi="黑体" w:eastAsia="黑体" w:cs="方正小标宋简体"/>
          <w:sz w:val="44"/>
          <w:szCs w:val="32"/>
        </w:rPr>
      </w:pPr>
    </w:p>
    <w:p>
      <w:pPr>
        <w:ind w:firstLine="880" w:firstLineChars="200"/>
        <w:jc w:val="center"/>
        <w:rPr>
          <w:rFonts w:ascii="黑体" w:hAnsi="黑体" w:eastAsia="黑体" w:cs="方正小标宋简体"/>
          <w:sz w:val="44"/>
          <w:szCs w:val="32"/>
        </w:rPr>
      </w:pPr>
      <w:r>
        <w:rPr>
          <w:rFonts w:hint="eastAsia" w:ascii="黑体" w:hAnsi="黑体" w:eastAsia="黑体" w:cs="方正小标宋简体"/>
          <w:sz w:val="44"/>
          <w:szCs w:val="32"/>
        </w:rPr>
        <w:t>湘潭县商务局2020年部门整体支出</w:t>
      </w:r>
    </w:p>
    <w:p>
      <w:pPr>
        <w:ind w:firstLine="880" w:firstLineChars="200"/>
        <w:jc w:val="center"/>
        <w:rPr>
          <w:rFonts w:ascii="黑体" w:hAnsi="黑体" w:eastAsia="黑体" w:cs="方正小标宋简体"/>
          <w:sz w:val="44"/>
          <w:szCs w:val="32"/>
        </w:rPr>
      </w:pPr>
      <w:r>
        <w:rPr>
          <w:rFonts w:hint="eastAsia" w:ascii="黑体" w:hAnsi="黑体" w:eastAsia="黑体" w:cs="方正小标宋简体"/>
          <w:sz w:val="44"/>
          <w:szCs w:val="32"/>
        </w:rPr>
        <w:t>绩效评价报告</w:t>
      </w:r>
    </w:p>
    <w:p>
      <w:pPr>
        <w:pStyle w:val="16"/>
        <w:jc w:val="center"/>
        <w:rPr>
          <w:rFonts w:ascii="楷体_GB2312" w:hAnsi="仿宋" w:eastAsia="楷体_GB2312"/>
          <w:b/>
          <w:kern w:val="0"/>
          <w:sz w:val="32"/>
          <w:szCs w:val="32"/>
        </w:rPr>
      </w:pPr>
    </w:p>
    <w:p>
      <w:pPr>
        <w:pStyle w:val="16"/>
        <w:numPr>
          <w:ilvl w:val="0"/>
          <w:numId w:val="1"/>
        </w:numPr>
        <w:ind w:firstLine="640" w:firstLineChars="200"/>
        <w:rPr>
          <w:rFonts w:ascii="仿宋_GB2312" w:hAnsi="仿宋" w:eastAsia="仿宋_GB2312"/>
          <w:kern w:val="0"/>
          <w:sz w:val="32"/>
          <w:szCs w:val="32"/>
        </w:rPr>
      </w:pPr>
      <w:r>
        <w:rPr>
          <w:rFonts w:hint="eastAsia" w:ascii="黑体" w:hAnsi="仿宋" w:eastAsia="黑体"/>
          <w:kern w:val="0"/>
          <w:sz w:val="32"/>
          <w:szCs w:val="32"/>
        </w:rPr>
        <w:t>部门基本情况</w:t>
      </w:r>
    </w:p>
    <w:p>
      <w:pPr>
        <w:pStyle w:val="16"/>
        <w:ind w:firstLine="640" w:firstLineChars="200"/>
        <w:rPr>
          <w:rFonts w:ascii="仿宋_GB2312" w:hAnsi="仿宋" w:eastAsia="仿宋_GB2312"/>
          <w:kern w:val="0"/>
          <w:sz w:val="32"/>
          <w:szCs w:val="32"/>
        </w:rPr>
      </w:pPr>
      <w:r>
        <w:rPr>
          <w:rFonts w:hint="eastAsia" w:ascii="仿宋_GB2312" w:hAnsi="仿宋" w:eastAsia="仿宋_GB2312"/>
          <w:kern w:val="0"/>
          <w:sz w:val="32"/>
          <w:szCs w:val="32"/>
        </w:rPr>
        <w:t>（一）在职人员情况及机构设置</w:t>
      </w:r>
    </w:p>
    <w:p>
      <w:pPr>
        <w:pStyle w:val="16"/>
        <w:ind w:firstLine="640" w:firstLineChars="200"/>
        <w:rPr>
          <w:rFonts w:ascii="仿宋" w:hAnsi="仿宋" w:eastAsia="仿宋" w:cs="方正小标宋简体"/>
          <w:sz w:val="32"/>
          <w:szCs w:val="32"/>
        </w:rPr>
      </w:pPr>
      <w:r>
        <w:rPr>
          <w:rFonts w:hint="eastAsia" w:ascii="仿宋" w:hAnsi="仿宋" w:eastAsia="仿宋" w:cs="方正小标宋简体"/>
          <w:sz w:val="32"/>
          <w:szCs w:val="32"/>
        </w:rPr>
        <w:t>1、人员编制</w:t>
      </w:r>
    </w:p>
    <w:p>
      <w:pPr>
        <w:pStyle w:val="6"/>
        <w:shd w:val="clear" w:color="auto" w:fill="FFFFFF"/>
        <w:spacing w:before="225" w:beforeAutospacing="0" w:afterAutospacing="0" w:line="510" w:lineRule="atLeast"/>
        <w:ind w:firstLine="640" w:firstLineChars="200"/>
        <w:rPr>
          <w:rFonts w:ascii="仿宋" w:hAnsi="仿宋" w:eastAsia="仿宋" w:cs="方正小标宋简体"/>
          <w:sz w:val="32"/>
          <w:szCs w:val="32"/>
        </w:rPr>
      </w:pPr>
      <w:r>
        <w:rPr>
          <w:rFonts w:hint="eastAsia" w:ascii="仿宋" w:hAnsi="仿宋" w:eastAsia="仿宋" w:cs="方正小标宋简体"/>
          <w:kern w:val="2"/>
          <w:sz w:val="32"/>
          <w:szCs w:val="32"/>
        </w:rPr>
        <w:t>2020年我局编制人数46人，实有在岗人员55人,其中统发人员44人，人事代理人员1人，劳务派遣人员4人，借调6人等。遗属补助1人，退休人员25人，离休人员 1人。</w:t>
      </w:r>
    </w:p>
    <w:p>
      <w:pPr>
        <w:spacing w:line="460" w:lineRule="atLeast"/>
        <w:ind w:firstLine="640" w:firstLineChars="200"/>
        <w:rPr>
          <w:rFonts w:ascii="仿宋" w:hAnsi="仿宋" w:eastAsia="仿宋" w:cs="方正小标宋简体"/>
          <w:sz w:val="32"/>
          <w:szCs w:val="32"/>
        </w:rPr>
      </w:pPr>
      <w:r>
        <w:rPr>
          <w:rFonts w:hint="eastAsia" w:ascii="仿宋" w:hAnsi="仿宋" w:eastAsia="仿宋" w:cs="方正小标宋简体"/>
          <w:sz w:val="32"/>
          <w:szCs w:val="32"/>
        </w:rPr>
        <w:t>2、内设机构</w:t>
      </w:r>
    </w:p>
    <w:p>
      <w:pPr>
        <w:pStyle w:val="6"/>
        <w:shd w:val="clear" w:color="auto" w:fill="FFFFFF"/>
        <w:spacing w:before="225" w:beforeAutospacing="0" w:afterAutospacing="0" w:line="510" w:lineRule="atLeast"/>
        <w:rPr>
          <w:rFonts w:ascii="仿宋" w:hAnsi="仿宋" w:eastAsia="仿宋" w:cs="方正小标宋简体"/>
          <w:kern w:val="2"/>
          <w:sz w:val="32"/>
          <w:szCs w:val="32"/>
        </w:rPr>
      </w:pPr>
      <w:r>
        <w:rPr>
          <w:rFonts w:hint="eastAsia" w:ascii="仿宋" w:hAnsi="仿宋" w:eastAsia="仿宋" w:cs="方正小标宋简体"/>
          <w:kern w:val="2"/>
          <w:sz w:val="32"/>
          <w:szCs w:val="32"/>
        </w:rPr>
        <w:t>　湘潭县商务局内设股室8个，下辖3个二级机构，分别是湘潭县投资促进服务中心、湘潭县槟榔产业服务中心、湘潭县对外劳务服务中心，以上内设股室和二级机构均为无独立经费核算机构，是我单位预算编制范围。</w:t>
      </w:r>
    </w:p>
    <w:p>
      <w:pPr>
        <w:pStyle w:val="6"/>
        <w:shd w:val="clear" w:color="auto" w:fill="FFFFFF"/>
        <w:spacing w:before="225" w:beforeAutospacing="0" w:afterAutospacing="0" w:line="510" w:lineRule="atLeast"/>
        <w:rPr>
          <w:rFonts w:ascii="仿宋" w:hAnsi="仿宋" w:eastAsia="仿宋" w:cs="方正小标宋简体"/>
          <w:kern w:val="2"/>
          <w:sz w:val="32"/>
          <w:szCs w:val="32"/>
        </w:rPr>
      </w:pPr>
    </w:p>
    <w:p>
      <w:pPr>
        <w:pStyle w:val="16"/>
        <w:ind w:firstLine="640" w:firstLineChars="200"/>
        <w:rPr>
          <w:rFonts w:ascii="仿宋_GB2312" w:hAnsi="仿宋" w:eastAsia="仿宋_GB2312"/>
          <w:kern w:val="0"/>
          <w:sz w:val="32"/>
          <w:szCs w:val="32"/>
        </w:rPr>
      </w:pPr>
      <w:r>
        <w:rPr>
          <w:rFonts w:hint="eastAsia" w:ascii="仿宋_GB2312" w:hAnsi="仿宋" w:eastAsia="仿宋_GB2312"/>
          <w:kern w:val="0"/>
          <w:sz w:val="32"/>
          <w:szCs w:val="32"/>
        </w:rPr>
        <w:t>（二）部门主要职能</w:t>
      </w:r>
    </w:p>
    <w:p>
      <w:pPr>
        <w:pStyle w:val="6"/>
        <w:shd w:val="clear" w:color="auto" w:fill="FFFFFF"/>
        <w:spacing w:before="225" w:beforeAutospacing="0" w:afterAutospacing="0" w:line="510" w:lineRule="atLeast"/>
        <w:rPr>
          <w:rFonts w:ascii="仿宋_GB2312" w:hAnsi="仿宋" w:eastAsia="仿宋_GB2312"/>
          <w:sz w:val="32"/>
          <w:szCs w:val="32"/>
        </w:rPr>
      </w:pPr>
      <w:r>
        <w:rPr>
          <w:rFonts w:hint="eastAsia" w:ascii="仿宋" w:hAnsi="仿宋" w:eastAsia="仿宋" w:cs="方正小标宋简体"/>
          <w:sz w:val="32"/>
          <w:szCs w:val="32"/>
        </w:rPr>
        <w:t xml:space="preserve"> </w:t>
      </w:r>
      <w:r>
        <w:rPr>
          <w:rFonts w:hint="eastAsia"/>
          <w:color w:val="333333"/>
          <w:sz w:val="32"/>
          <w:szCs w:val="32"/>
          <w:shd w:val="clear" w:color="auto" w:fill="FFFFFF"/>
        </w:rPr>
        <w:t>　</w:t>
      </w:r>
      <w:r>
        <w:rPr>
          <w:rFonts w:hint="eastAsia" w:ascii="仿宋_GB2312" w:hAnsi="仿宋" w:eastAsia="仿宋_GB2312"/>
          <w:sz w:val="32"/>
          <w:szCs w:val="32"/>
        </w:rPr>
        <w:t>（一）职能职责</w:t>
      </w:r>
    </w:p>
    <w:p>
      <w:pPr>
        <w:pStyle w:val="6"/>
        <w:shd w:val="clear" w:color="auto" w:fill="FFFFFF"/>
        <w:spacing w:before="225" w:beforeAutospacing="0" w:afterAutospacing="0" w:line="510" w:lineRule="atLeast"/>
        <w:rPr>
          <w:rFonts w:ascii="仿宋" w:hAnsi="仿宋" w:eastAsia="仿宋" w:cs="方正小标宋简体"/>
          <w:kern w:val="2"/>
          <w:sz w:val="32"/>
          <w:szCs w:val="32"/>
        </w:rPr>
      </w:pPr>
      <w:r>
        <w:rPr>
          <w:rFonts w:hint="eastAsia"/>
          <w:color w:val="333333"/>
          <w:sz w:val="32"/>
          <w:szCs w:val="32"/>
          <w:shd w:val="clear" w:color="auto" w:fill="FFFFFF"/>
        </w:rPr>
        <w:t>　</w:t>
      </w:r>
      <w:r>
        <w:rPr>
          <w:rFonts w:hint="eastAsia" w:ascii="仿宋" w:hAnsi="仿宋" w:eastAsia="仿宋" w:cs="方正小标宋简体"/>
          <w:kern w:val="2"/>
          <w:sz w:val="32"/>
          <w:szCs w:val="32"/>
        </w:rPr>
        <w:t>　1.贯彻落实国家、省、市有关内外贸易、对外投资、招商引资的发展战略、方针、政策；拟定全县商务经济、利用外资等相应的中长期发展规划以及规定、办法和措施。研究区域经济合作、现代流通方式的发展趋势并提出相关建议。</w:t>
      </w:r>
    </w:p>
    <w:p>
      <w:pPr>
        <w:pStyle w:val="6"/>
        <w:shd w:val="clear" w:color="auto" w:fill="FFFFFF"/>
        <w:spacing w:before="225" w:beforeAutospacing="0" w:afterAutospacing="0" w:line="510" w:lineRule="atLeast"/>
        <w:rPr>
          <w:rFonts w:ascii="仿宋" w:hAnsi="仿宋" w:eastAsia="仿宋" w:cs="方正小标宋简体"/>
          <w:kern w:val="2"/>
          <w:sz w:val="32"/>
          <w:szCs w:val="32"/>
        </w:rPr>
      </w:pPr>
      <w:r>
        <w:rPr>
          <w:rFonts w:hint="eastAsia" w:ascii="仿宋" w:hAnsi="仿宋" w:eastAsia="仿宋" w:cs="方正小标宋简体"/>
          <w:kern w:val="2"/>
          <w:sz w:val="32"/>
          <w:szCs w:val="32"/>
        </w:rPr>
        <w:t>　　2.负责推进流通产业结构调整，研究提出流通体制改革建议。指导商贸服务业和社区商业发展，提出促进商贸中小企业发展的建议；培育发展城乡市场，推进流通产业结构调整和连锁经营、物流配送、电子商务等现代流通方式的发展。指导全县流通领域信息网络和电子商务建设、指导、监督、规范全县商贸流通行业协会、学会等社团组织工作。</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3.拟定全县规范流通领域市场、流通秩序的有关规定。牵头协调整顿和规范市场经济秩序工作。指导、监督商务流通领域安全生产工作，拟订商务流通领域追溯体系建设规划并推进实施。推动商务领域信用建设，指导商业信用销售，建立市场诚信公共服务平台，按有关规定对特殊流通行业进行监督管理。</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4.拟订全县贸易发展规划，提出引导国内外资金投向市场体系建设的政策建议，指导城市商业网点、大宗产品批发市场（不含农贸市场）规划，推进全县商业体系建设，组织实施农村现代流通网络工程。</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5.承担组织实施重要消费品市场调控和重要生产资料流通管理的责任。负责建立健全生活必需品市场供应应急管理机制，监测分析市场运行、商品供求状况，调查分析商品价格信息进行预测、预警和信息引导。</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6.贯彻执行国家制定的进出口商品、加工贸易管理办法和进出口管理商品、技术目录，拟定促进外贸增长方式转变的政策措施，指导贸易促进活动和外贸促进体系建设。</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7.贯彻执行国家对外技术贸易、出口管制以及鼓励技术和成套设备进出口的政策，推进进出口贸易标准化工作。依法监督技术引进、设备进口、国家限制出口技术的工作。</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8.牵头拟定服务贸易发展和服务外包规划并开展相关工作，推动服务外包平台建设。</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9.指导全县对外经济技术合作，指导和监督管理全县对外承包工程、劳务合作等业务。牵头外派劳务和境外就业人员的权益保护工作。</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10.贯彻执行我国多双边（含区域、自由贸易区）经贸合作战略和政策，推进我县与其他国家（地区）的经贸往来与投资贸易合作。牵头承担全县商务领域涉及世界贸易组织事务的相关工作，负责对外经济贸易协调工作。</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11.配合省、市商务部门做好反倾销、反补贴、保障措施和其他与进出口公平贸易相关的工作，协助开展对外贸易调查和产业损害调查、产业安全应对等工作。</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12.指导、协调、组织参与以湘潭县名义在境内外举办的各种内外贸交易会、展览会、展销会等活动。</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13.宏观指导全县招商引资工作，组织拟订全县招商引资发展规划、政策措施，落实招商引资政策。负责全县招商信息交流工作。负责我县内外资及招商项目的协调和统计工作。负责考核全县各级各部门招商引资工作。承担县招商引资工作领导小组办公室的日常工作。</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14.分析研究全县外来投资情况，统一对外发布重点招商项目和招商信息。规范招商引资活动，指导投资促进活动。负责与境内外企业财团，各界人士联络。组织举办或参与各类招商活动。做好招商引资奖励的前期准备工作，跟踪调度重点招商项目并督促落实。</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15.监督检查外来投资企业执行有关法律法规规章、合同、章程的情况并协调解决有关问题。</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16.承担全县商务系统统计及信息发布工作。</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17.负责全县商务系统企业改制遗留问题的处理。</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18.完成县委、县人民政府交办的其他任务。</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19.职能转变。进一步加强全县招商引资工作。加强全县流通领域信息网络和电子商务建设。加强商品流通业和商贸服务业的行业管理。促进现代物流业发展，促进品牌建设和绿色流通发展，推进再生资源回收和流通领域节能减排工作。加强重要生活必需品的储备管理和市场调控工作。建立健全统一、开放、竟争、有序的市场体系。</w:t>
      </w:r>
    </w:p>
    <w:p>
      <w:pPr>
        <w:pStyle w:val="6"/>
        <w:shd w:val="clear" w:color="auto" w:fill="FFFFFF"/>
        <w:spacing w:before="225" w:beforeAutospacing="0" w:afterAutospacing="0" w:line="510" w:lineRule="atLeast"/>
        <w:ind w:firstLine="640"/>
        <w:rPr>
          <w:rFonts w:ascii="仿宋" w:hAnsi="仿宋" w:eastAsia="仿宋" w:cs="方正小标宋简体"/>
          <w:kern w:val="2"/>
          <w:sz w:val="32"/>
          <w:szCs w:val="32"/>
        </w:rPr>
      </w:pPr>
      <w:r>
        <w:rPr>
          <w:rFonts w:hint="eastAsia" w:ascii="仿宋" w:hAnsi="仿宋" w:eastAsia="仿宋" w:cs="方正小标宋简体"/>
          <w:kern w:val="2"/>
          <w:sz w:val="32"/>
          <w:szCs w:val="32"/>
        </w:rPr>
        <w:t>20.有关职责分工。与县发展和改革局有关职责分工。县发展和改革局、县商务局牵头会同外商投资涉及领域相关部门开展外商投资安全审查相关工作。县发展和改革局负责提出外商投资产业指导目录，并与县商务局联合发布。与县市场监督管理局有关职责分工。县商务局负责拟定药品流通发展规划和政策，县市场监督管理局在与药品零售环节的监督管理工作中配合执行药品流通发展规划和政策。</w:t>
      </w:r>
    </w:p>
    <w:p>
      <w:pPr>
        <w:pStyle w:val="6"/>
        <w:shd w:val="clear" w:color="auto" w:fill="FFFFFF"/>
        <w:spacing w:before="225" w:beforeAutospacing="0" w:afterAutospacing="0" w:line="510" w:lineRule="atLeast"/>
        <w:rPr>
          <w:rFonts w:ascii="仿宋" w:hAnsi="仿宋" w:eastAsia="仿宋" w:cs="方正小标宋简体"/>
          <w:kern w:val="2"/>
          <w:sz w:val="32"/>
          <w:szCs w:val="32"/>
        </w:rPr>
      </w:pPr>
    </w:p>
    <w:p>
      <w:pPr>
        <w:pStyle w:val="16"/>
        <w:ind w:firstLine="640" w:firstLineChars="200"/>
        <w:rPr>
          <w:rFonts w:ascii="仿宋" w:hAnsi="仿宋" w:eastAsia="仿宋" w:cs="方正小标宋简体"/>
          <w:sz w:val="32"/>
          <w:szCs w:val="32"/>
        </w:rPr>
      </w:pPr>
      <w:r>
        <w:rPr>
          <w:rFonts w:hint="eastAsia" w:ascii="仿宋" w:hAnsi="仿宋" w:eastAsia="仿宋" w:cs="方正小标宋简体"/>
          <w:sz w:val="32"/>
          <w:szCs w:val="32"/>
        </w:rPr>
        <w:t>二．绩效评价工作情况</w:t>
      </w:r>
    </w:p>
    <w:p>
      <w:pPr>
        <w:pStyle w:val="16"/>
        <w:ind w:firstLine="640" w:firstLineChars="200"/>
        <w:rPr>
          <w:rFonts w:ascii="仿宋" w:hAnsi="仿宋" w:eastAsia="仿宋" w:cs="方正小标宋简体"/>
          <w:sz w:val="32"/>
          <w:szCs w:val="32"/>
        </w:rPr>
      </w:pPr>
      <w:r>
        <w:rPr>
          <w:rFonts w:hint="eastAsia" w:ascii="仿宋" w:hAnsi="仿宋" w:eastAsia="仿宋" w:cs="方正小标宋简体"/>
          <w:sz w:val="32"/>
          <w:szCs w:val="32"/>
        </w:rPr>
        <w:t>（一）绩效评价工作组织情况</w:t>
      </w:r>
    </w:p>
    <w:p>
      <w:pPr>
        <w:ind w:firstLine="640"/>
        <w:rPr>
          <w:rFonts w:ascii="仿宋" w:hAnsi="仿宋" w:eastAsia="仿宋" w:cs="方正小标宋简体"/>
          <w:sz w:val="32"/>
          <w:szCs w:val="32"/>
        </w:rPr>
      </w:pPr>
      <w:r>
        <w:rPr>
          <w:rFonts w:ascii="仿宋" w:hAnsi="仿宋" w:eastAsia="仿宋" w:cs="方正小标宋简体"/>
          <w:sz w:val="32"/>
          <w:szCs w:val="32"/>
        </w:rPr>
        <w:t>1、前期准备</w:t>
      </w:r>
    </w:p>
    <w:p>
      <w:pPr>
        <w:ind w:firstLine="640"/>
        <w:rPr>
          <w:rFonts w:ascii="仿宋" w:hAnsi="仿宋" w:eastAsia="仿宋" w:cs="方正小标宋简体"/>
          <w:sz w:val="32"/>
          <w:szCs w:val="32"/>
        </w:rPr>
      </w:pPr>
      <w:r>
        <w:rPr>
          <w:rFonts w:ascii="仿宋" w:hAnsi="仿宋" w:eastAsia="仿宋" w:cs="方正小标宋简体"/>
          <w:sz w:val="32"/>
          <w:szCs w:val="32"/>
        </w:rPr>
        <w:t>组成</w:t>
      </w:r>
      <w:r>
        <w:rPr>
          <w:rFonts w:hint="eastAsia" w:ascii="仿宋" w:hAnsi="仿宋" w:eastAsia="仿宋" w:cs="方正小标宋简体"/>
          <w:sz w:val="32"/>
          <w:szCs w:val="32"/>
        </w:rPr>
        <w:t>湘潭商务局</w:t>
      </w:r>
      <w:r>
        <w:rPr>
          <w:rFonts w:ascii="仿宋" w:hAnsi="仿宋" w:eastAsia="仿宋" w:cs="方正小标宋简体"/>
          <w:sz w:val="32"/>
          <w:szCs w:val="32"/>
        </w:rPr>
        <w:t>绩效评价工作组，制定绩效工作方案。</w:t>
      </w:r>
    </w:p>
    <w:p>
      <w:pPr>
        <w:ind w:firstLine="640"/>
        <w:rPr>
          <w:rFonts w:ascii="仿宋" w:hAnsi="仿宋" w:eastAsia="仿宋" w:cs="方正小标宋简体"/>
          <w:sz w:val="32"/>
          <w:szCs w:val="32"/>
        </w:rPr>
      </w:pPr>
      <w:r>
        <w:rPr>
          <w:rFonts w:ascii="仿宋" w:hAnsi="仿宋" w:eastAsia="仿宋" w:cs="方正小标宋简体"/>
          <w:sz w:val="32"/>
          <w:szCs w:val="32"/>
        </w:rPr>
        <w:t>2、组织绩效评价</w:t>
      </w:r>
    </w:p>
    <w:p>
      <w:pPr>
        <w:ind w:firstLine="640"/>
        <w:rPr>
          <w:rFonts w:ascii="仿宋" w:hAnsi="仿宋" w:eastAsia="仿宋" w:cs="方正小标宋简体"/>
          <w:sz w:val="32"/>
          <w:szCs w:val="32"/>
        </w:rPr>
      </w:pPr>
      <w:r>
        <w:rPr>
          <w:rFonts w:ascii="仿宋" w:hAnsi="仿宋" w:eastAsia="仿宋" w:cs="方正小标宋简体"/>
          <w:sz w:val="32"/>
          <w:szCs w:val="32"/>
        </w:rPr>
        <w:t>（1）组织项目绩效评价方案的实施；</w:t>
      </w:r>
    </w:p>
    <w:p>
      <w:pPr>
        <w:ind w:firstLine="640"/>
        <w:rPr>
          <w:rFonts w:ascii="仿宋" w:hAnsi="仿宋" w:eastAsia="仿宋" w:cs="方正小标宋简体"/>
          <w:sz w:val="32"/>
          <w:szCs w:val="32"/>
        </w:rPr>
      </w:pPr>
      <w:r>
        <w:rPr>
          <w:rFonts w:ascii="仿宋" w:hAnsi="仿宋" w:eastAsia="仿宋" w:cs="方正小标宋简体"/>
          <w:sz w:val="32"/>
          <w:szCs w:val="32"/>
        </w:rPr>
        <w:t>（2）成立绩效评价工作组，进行人员分工；</w:t>
      </w:r>
    </w:p>
    <w:p>
      <w:pPr>
        <w:ind w:firstLine="640"/>
        <w:rPr>
          <w:rFonts w:ascii="仿宋" w:hAnsi="仿宋" w:eastAsia="仿宋" w:cs="方正小标宋简体"/>
          <w:sz w:val="32"/>
          <w:szCs w:val="32"/>
        </w:rPr>
      </w:pPr>
      <w:r>
        <w:rPr>
          <w:rFonts w:ascii="仿宋" w:hAnsi="仿宋" w:eastAsia="仿宋" w:cs="方正小标宋简体"/>
          <w:sz w:val="32"/>
          <w:szCs w:val="32"/>
        </w:rPr>
        <w:t>（3）召开项目绩效评价工作组会议，传达有关的文件精神和具体工作要求，介绍评价工作目标、任务和要求。</w:t>
      </w:r>
    </w:p>
    <w:p>
      <w:pPr>
        <w:ind w:firstLine="640"/>
        <w:rPr>
          <w:rFonts w:ascii="仿宋" w:hAnsi="仿宋" w:eastAsia="仿宋" w:cs="方正小标宋简体"/>
          <w:sz w:val="32"/>
          <w:szCs w:val="32"/>
        </w:rPr>
      </w:pPr>
      <w:r>
        <w:rPr>
          <w:rFonts w:ascii="仿宋" w:hAnsi="仿宋" w:eastAsia="仿宋" w:cs="方正小标宋简体"/>
          <w:sz w:val="32"/>
          <w:szCs w:val="32"/>
        </w:rPr>
        <w:t>3、分析总结</w:t>
      </w:r>
    </w:p>
    <w:p>
      <w:pPr>
        <w:ind w:firstLine="640"/>
        <w:rPr>
          <w:rFonts w:ascii="仿宋" w:hAnsi="仿宋" w:eastAsia="仿宋" w:cs="方正小标宋简体"/>
          <w:sz w:val="32"/>
          <w:szCs w:val="32"/>
        </w:rPr>
      </w:pPr>
      <w:r>
        <w:rPr>
          <w:rFonts w:hint="eastAsia" w:ascii="仿宋" w:hAnsi="仿宋" w:eastAsia="仿宋" w:cs="方正小标宋简体"/>
          <w:sz w:val="32"/>
          <w:szCs w:val="32"/>
        </w:rPr>
        <w:t>评价工作组在了解单位及项目基本情况上涉及绩效指标并制定评价方案（指标及方案报县财政局），对单位8个内设股室和3个二级机构职工以及多家服务单位进行群众满意度调查谈话或电话回访，对相关资料</w:t>
      </w:r>
      <w:r>
        <w:rPr>
          <w:rFonts w:ascii="仿宋" w:hAnsi="仿宋" w:eastAsia="仿宋" w:cs="方正小标宋简体"/>
          <w:sz w:val="32"/>
          <w:szCs w:val="32"/>
        </w:rPr>
        <w:t>进行数据分析</w:t>
      </w:r>
      <w:r>
        <w:rPr>
          <w:rFonts w:hint="eastAsia" w:ascii="仿宋" w:hAnsi="仿宋" w:eastAsia="仿宋" w:cs="方正小标宋简体"/>
          <w:sz w:val="32"/>
          <w:szCs w:val="32"/>
        </w:rPr>
        <w:t>、整理、分析、计算</w:t>
      </w:r>
      <w:r>
        <w:rPr>
          <w:rFonts w:ascii="仿宋" w:hAnsi="仿宋" w:eastAsia="仿宋" w:cs="方正小标宋简体"/>
          <w:sz w:val="32"/>
          <w:szCs w:val="32"/>
        </w:rPr>
        <w:t>，提出绩效自评报告初稿，根据绩效评价工作组的意见及考察、考评的结果进行整理、分析，</w:t>
      </w:r>
      <w:r>
        <w:rPr>
          <w:rFonts w:hint="eastAsia" w:ascii="仿宋" w:hAnsi="仿宋" w:eastAsia="仿宋" w:cs="方正小标宋简体"/>
          <w:sz w:val="32"/>
          <w:szCs w:val="32"/>
        </w:rPr>
        <w:t>形成</w:t>
      </w:r>
      <w:r>
        <w:rPr>
          <w:rFonts w:ascii="仿宋" w:hAnsi="仿宋" w:eastAsia="仿宋" w:cs="方正小标宋简体"/>
          <w:sz w:val="32"/>
          <w:szCs w:val="32"/>
        </w:rPr>
        <w:t>绩效自评报告。</w:t>
      </w:r>
    </w:p>
    <w:p>
      <w:pPr>
        <w:pStyle w:val="16"/>
        <w:ind w:firstLine="640" w:firstLineChars="200"/>
        <w:rPr>
          <w:rFonts w:ascii="仿宋" w:hAnsi="仿宋" w:eastAsia="仿宋" w:cs="方正小标宋简体"/>
          <w:sz w:val="32"/>
          <w:szCs w:val="32"/>
        </w:rPr>
      </w:pPr>
      <w:r>
        <w:rPr>
          <w:rFonts w:hint="eastAsia" w:ascii="仿宋" w:hAnsi="仿宋" w:eastAsia="仿宋" w:cs="方正小标宋简体"/>
          <w:sz w:val="32"/>
          <w:szCs w:val="32"/>
        </w:rPr>
        <w:t>（二）部门自评情况</w:t>
      </w:r>
    </w:p>
    <w:p>
      <w:pPr>
        <w:snapToGrid w:val="0"/>
        <w:spacing w:line="560" w:lineRule="exact"/>
        <w:ind w:firstLine="623"/>
        <w:rPr>
          <w:rFonts w:ascii="仿宋" w:hAnsi="仿宋" w:eastAsia="仿宋" w:cs="仿宋"/>
          <w:bCs/>
          <w:sz w:val="32"/>
          <w:szCs w:val="32"/>
        </w:rPr>
      </w:pPr>
      <w:r>
        <w:rPr>
          <w:rFonts w:hint="eastAsia" w:ascii="仿宋" w:hAnsi="仿宋" w:eastAsia="仿宋" w:cs="仿宋"/>
          <w:sz w:val="32"/>
          <w:szCs w:val="32"/>
        </w:rPr>
        <w:t>2020年我局整体支出资金安排及使用科学、规范、合理，产生的社会、经济等效益显著，圆满达到年初制定的绩效目标。根据</w:t>
      </w:r>
      <w:r>
        <w:rPr>
          <w:rFonts w:hint="eastAsia" w:ascii="仿宋" w:hAnsi="仿宋" w:eastAsia="仿宋" w:cs="仿宋"/>
          <w:bCs/>
          <w:sz w:val="32"/>
          <w:szCs w:val="32"/>
        </w:rPr>
        <w:t>《部门整体支出绩效评分表》自评得分100分，绩效评评价为“优”。</w:t>
      </w:r>
    </w:p>
    <w:p>
      <w:pPr>
        <w:pStyle w:val="2"/>
      </w:pPr>
    </w:p>
    <w:p>
      <w:pPr>
        <w:pStyle w:val="16"/>
        <w:ind w:firstLine="640" w:firstLineChars="200"/>
        <w:rPr>
          <w:rFonts w:ascii="黑体" w:hAnsi="仿宋" w:eastAsia="黑体"/>
          <w:kern w:val="0"/>
          <w:sz w:val="32"/>
          <w:szCs w:val="32"/>
        </w:rPr>
      </w:pPr>
      <w:r>
        <w:rPr>
          <w:rFonts w:hint="eastAsia" w:ascii="黑体" w:hAnsi="仿宋" w:eastAsia="黑体"/>
          <w:kern w:val="0"/>
          <w:sz w:val="32"/>
          <w:szCs w:val="32"/>
        </w:rPr>
        <w:t xml:space="preserve">三、部门整体支出绩效情况分析       </w:t>
      </w:r>
    </w:p>
    <w:p>
      <w:pPr>
        <w:spacing w:line="460" w:lineRule="atLeast"/>
        <w:ind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rPr>
        <w:t>（一）预算安排情况及资金用途</w:t>
      </w:r>
    </w:p>
    <w:p>
      <w:pPr>
        <w:spacing w:line="460" w:lineRule="atLeast"/>
        <w:ind w:firstLine="640" w:firstLineChars="200"/>
        <w:jc w:val="left"/>
        <w:rPr>
          <w:rFonts w:ascii="仿宋" w:hAnsi="仿宋" w:eastAsia="仿宋" w:cs="仿宋"/>
          <w:sz w:val="32"/>
          <w:szCs w:val="32"/>
        </w:rPr>
      </w:pPr>
      <w:r>
        <w:rPr>
          <w:rFonts w:hint="eastAsia" w:ascii="仿宋" w:hAnsi="仿宋" w:eastAsia="仿宋" w:cs="仿宋"/>
          <w:sz w:val="32"/>
          <w:szCs w:val="32"/>
        </w:rPr>
        <w:t>2020年我局年初部门预算857.91万元（其中基本支出490.75万元，专项支出367.16万元）。年初基本支出安排490.75万元，包含工资福利支出434.58万，商品服务支出53.23万，其他对个人和家庭的补助支出2.94万，</w:t>
      </w:r>
      <w:r>
        <w:rPr>
          <w:rFonts w:hint="eastAsia" w:ascii="仿宋" w:hAnsi="仿宋" w:eastAsia="仿宋" w:cs="仿宋"/>
          <w:color w:val="000000"/>
          <w:sz w:val="32"/>
          <w:szCs w:val="32"/>
        </w:rPr>
        <w:t>调整基本支出预算71.38 万元，</w:t>
      </w:r>
      <w:r>
        <w:rPr>
          <w:rFonts w:hint="eastAsia" w:ascii="仿宋" w:hAnsi="仿宋" w:eastAsia="仿宋" w:cs="仿宋"/>
          <w:sz w:val="32"/>
          <w:szCs w:val="32"/>
        </w:rPr>
        <w:t>基本支出预算主要用于维持</w:t>
      </w:r>
      <w:r>
        <w:rPr>
          <w:rFonts w:hint="eastAsia" w:ascii="仿宋" w:hAnsi="仿宋" w:eastAsia="仿宋" w:cs="仿宋"/>
          <w:color w:val="000000"/>
          <w:sz w:val="32"/>
          <w:szCs w:val="32"/>
        </w:rPr>
        <w:t>局机关正常行政运行人员工资支出、社会保障支出、办公费、印刷费、宣传费、机关水电费、公务接待费、差旅费等工资福利支出和商品与服务支出；年初专项支出安排367.16万元，调整项目支出部门预算</w:t>
      </w:r>
      <w:r>
        <w:rPr>
          <w:rFonts w:hint="eastAsia" w:ascii="仿宋" w:hAnsi="仿宋" w:eastAsia="仿宋" w:cs="仿宋"/>
          <w:sz w:val="32"/>
          <w:szCs w:val="32"/>
        </w:rPr>
        <w:t xml:space="preserve"> 300</w:t>
      </w:r>
      <w:r>
        <w:rPr>
          <w:rFonts w:hint="eastAsia" w:ascii="仿宋" w:hAnsi="仿宋" w:eastAsia="仿宋" w:cs="仿宋"/>
          <w:color w:val="000000"/>
          <w:sz w:val="32"/>
          <w:szCs w:val="32"/>
        </w:rPr>
        <w:t>万元，预算内省市级补助收入703万元。</w:t>
      </w:r>
      <w:r>
        <w:rPr>
          <w:rFonts w:hint="eastAsia" w:ascii="仿宋" w:hAnsi="仿宋" w:eastAsia="仿宋" w:cs="仿宋"/>
          <w:sz w:val="32"/>
          <w:szCs w:val="32"/>
        </w:rPr>
        <w:t>项目性经费用于保障部门职能职责，对符合政策的企业给予的政策性补贴及财政贴息、奖励资金支出等。</w:t>
      </w:r>
    </w:p>
    <w:p>
      <w:pPr>
        <w:spacing w:line="460" w:lineRule="atLeast"/>
        <w:ind w:firstLine="640" w:firstLineChars="200"/>
        <w:rPr>
          <w:rFonts w:ascii="仿宋" w:hAnsi="仿宋" w:eastAsia="仿宋" w:cs="仿宋"/>
          <w:b/>
          <w:bCs/>
          <w:color w:val="000000"/>
          <w:sz w:val="32"/>
          <w:szCs w:val="32"/>
        </w:rPr>
      </w:pPr>
      <w:r>
        <w:rPr>
          <w:rFonts w:hint="eastAsia" w:ascii="仿宋" w:hAnsi="仿宋" w:eastAsia="仿宋" w:cs="仿宋"/>
          <w:b/>
          <w:bCs/>
          <w:color w:val="000000"/>
          <w:sz w:val="32"/>
          <w:szCs w:val="32"/>
        </w:rPr>
        <w:t>1.基本经费绩效分析</w:t>
      </w:r>
    </w:p>
    <w:p>
      <w:pPr>
        <w:spacing w:line="460" w:lineRule="atLeast"/>
        <w:ind w:left="420" w:leftChars="200"/>
        <w:rPr>
          <w:rFonts w:ascii="仿宋" w:hAnsi="仿宋" w:eastAsia="仿宋" w:cs="仿宋"/>
          <w:color w:val="000000"/>
          <w:sz w:val="32"/>
          <w:szCs w:val="32"/>
        </w:rPr>
      </w:pPr>
      <w:r>
        <w:rPr>
          <w:rFonts w:hint="eastAsia" w:ascii="仿宋" w:hAnsi="仿宋" w:eastAsia="仿宋" w:cs="仿宋"/>
          <w:color w:val="000000"/>
          <w:sz w:val="32"/>
          <w:szCs w:val="32"/>
        </w:rPr>
        <w:t>（1）资金执行情况</w:t>
      </w:r>
    </w:p>
    <w:p>
      <w:pPr>
        <w:spacing w:line="46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2020年我局部门预算基本支出</w:t>
      </w:r>
      <w:r>
        <w:rPr>
          <w:rFonts w:hint="eastAsia" w:ascii="仿宋" w:hAnsi="仿宋" w:eastAsia="仿宋" w:cs="仿宋"/>
          <w:color w:val="000000"/>
          <w:kern w:val="0"/>
          <w:sz w:val="32"/>
          <w:szCs w:val="32"/>
        </w:rPr>
        <w:t>624</w:t>
      </w:r>
      <w:r>
        <w:rPr>
          <w:rFonts w:ascii="仿宋" w:hAnsi="仿宋" w:eastAsia="仿宋" w:cs="仿宋"/>
          <w:color w:val="000000"/>
          <w:kern w:val="0"/>
          <w:sz w:val="32"/>
          <w:szCs w:val="32"/>
        </w:rPr>
        <w:t>万元</w:t>
      </w:r>
      <w:r>
        <w:rPr>
          <w:rFonts w:hint="eastAsia" w:ascii="仿宋" w:hAnsi="仿宋" w:eastAsia="仿宋" w:cs="仿宋"/>
          <w:color w:val="000000"/>
          <w:kern w:val="0"/>
          <w:sz w:val="32"/>
          <w:szCs w:val="32"/>
        </w:rPr>
        <w:t>,</w:t>
      </w:r>
      <w:r>
        <w:rPr>
          <w:rFonts w:hint="eastAsia" w:ascii="仿宋" w:hAnsi="仿宋" w:eastAsia="仿宋" w:cs="仿宋"/>
          <w:color w:val="000000"/>
          <w:sz w:val="32"/>
          <w:szCs w:val="32"/>
        </w:rPr>
        <w:t>用于工资福利支出533.02 万元，商品服务支出 87.79万元，对个人及家庭补助支出 3.2万元。</w:t>
      </w:r>
    </w:p>
    <w:p>
      <w:pPr>
        <w:spacing w:line="460" w:lineRule="atLeast"/>
        <w:ind w:firstLine="320" w:firstLineChars="100"/>
        <w:rPr>
          <w:rFonts w:ascii="仿宋" w:hAnsi="仿宋" w:eastAsia="仿宋" w:cs="仿宋"/>
          <w:color w:val="000000"/>
          <w:sz w:val="32"/>
          <w:szCs w:val="32"/>
        </w:rPr>
      </w:pPr>
      <w:r>
        <w:rPr>
          <w:rFonts w:hint="eastAsia" w:ascii="仿宋" w:hAnsi="仿宋" w:eastAsia="仿宋" w:cs="仿宋"/>
          <w:color w:val="000000"/>
          <w:sz w:val="32"/>
          <w:szCs w:val="32"/>
        </w:rPr>
        <w:t>（2）项目主要绩效情况分析</w:t>
      </w:r>
    </w:p>
    <w:p>
      <w:pPr>
        <w:pStyle w:val="17"/>
        <w:spacing w:line="600" w:lineRule="atLeast"/>
        <w:ind w:firstLine="640" w:firstLineChars="200"/>
        <w:rPr>
          <w:rFonts w:ascii="仿宋" w:hAnsi="仿宋" w:eastAsia="仿宋" w:cs="仿宋"/>
          <w:color w:val="000000"/>
          <w:kern w:val="2"/>
          <w:sz w:val="32"/>
          <w:szCs w:val="32"/>
        </w:rPr>
      </w:pPr>
      <w:r>
        <w:rPr>
          <w:rFonts w:ascii="仿宋" w:hAnsi="仿宋" w:eastAsia="仿宋" w:cs="仿宋"/>
          <w:color w:val="000000"/>
          <w:kern w:val="2"/>
          <w:sz w:val="32"/>
          <w:szCs w:val="32"/>
        </w:rPr>
        <w:t>①</w:t>
      </w:r>
      <w:r>
        <w:rPr>
          <w:rFonts w:hint="eastAsia" w:ascii="仿宋" w:hAnsi="仿宋" w:eastAsia="仿宋" w:cs="仿宋"/>
          <w:color w:val="000000"/>
          <w:kern w:val="2"/>
          <w:sz w:val="32"/>
          <w:szCs w:val="32"/>
        </w:rPr>
        <w:t>经济性分析</w:t>
      </w:r>
    </w:p>
    <w:p>
      <w:pPr>
        <w:pStyle w:val="17"/>
        <w:spacing w:line="600" w:lineRule="atLeast"/>
        <w:ind w:firstLine="640" w:firstLineChars="200"/>
        <w:rPr>
          <w:rFonts w:ascii="仿宋" w:hAnsi="仿宋" w:eastAsia="仿宋" w:cs="仿宋"/>
          <w:color w:val="000000"/>
          <w:kern w:val="2"/>
          <w:sz w:val="32"/>
          <w:szCs w:val="32"/>
        </w:rPr>
      </w:pPr>
      <w:r>
        <w:rPr>
          <w:rFonts w:hint="eastAsia" w:ascii="仿宋" w:hAnsi="仿宋" w:eastAsia="仿宋" w:cs="仿宋"/>
          <w:color w:val="000000"/>
          <w:kern w:val="2"/>
          <w:sz w:val="32"/>
          <w:szCs w:val="32"/>
        </w:rPr>
        <w:t>我局始终认真贯彻执行《会计法》、《预算法》、《行政单位会计制度》等法律法规，各项经费支出严格按照政府采购、国库集中支付及预算管理等有关规定执行。同时我局先后制订了《湘潭商务局财务管理办法》、《湘潭县流通产业发展专项资金管理办法》、《湘潭县专项资金管理办法》、《湘潭县商务局差旅费管理办法》等相关制度，明确了经费审批权限及程序，经费预算、核算管理、资产购置与处置、财务监督等。特别是在“三公”经费管理方面，规范了公务接待和公务用车的审批管理，较好地控制了行政运行成本。</w:t>
      </w:r>
    </w:p>
    <w:p>
      <w:pPr>
        <w:pStyle w:val="17"/>
        <w:spacing w:line="600" w:lineRule="atLeast"/>
        <w:ind w:firstLine="640" w:firstLineChars="200"/>
        <w:rPr>
          <w:rFonts w:ascii="仿宋" w:hAnsi="仿宋" w:eastAsia="仿宋" w:cs="仿宋"/>
          <w:color w:val="000000"/>
          <w:kern w:val="2"/>
          <w:sz w:val="32"/>
          <w:szCs w:val="32"/>
        </w:rPr>
      </w:pPr>
      <w:r>
        <w:rPr>
          <w:rFonts w:ascii="仿宋" w:hAnsi="仿宋" w:eastAsia="仿宋" w:cs="仿宋"/>
          <w:color w:val="000000"/>
          <w:kern w:val="2"/>
          <w:sz w:val="32"/>
          <w:szCs w:val="32"/>
        </w:rPr>
        <w:t>②</w:t>
      </w:r>
      <w:r>
        <w:rPr>
          <w:rFonts w:hint="eastAsia" w:ascii="仿宋" w:hAnsi="仿宋" w:eastAsia="仿宋" w:cs="仿宋"/>
          <w:color w:val="000000"/>
          <w:kern w:val="2"/>
          <w:sz w:val="32"/>
          <w:szCs w:val="32"/>
        </w:rPr>
        <w:t>效率性分析</w:t>
      </w:r>
    </w:p>
    <w:p>
      <w:pPr>
        <w:pStyle w:val="17"/>
        <w:spacing w:line="600" w:lineRule="atLeast"/>
        <w:ind w:firstLine="640" w:firstLineChars="200"/>
        <w:rPr>
          <w:rFonts w:ascii="仿宋" w:hAnsi="仿宋" w:eastAsia="仿宋" w:cs="仿宋"/>
          <w:color w:val="000000"/>
          <w:kern w:val="2"/>
          <w:sz w:val="32"/>
          <w:szCs w:val="32"/>
        </w:rPr>
      </w:pPr>
      <w:r>
        <w:rPr>
          <w:rFonts w:hint="eastAsia" w:ascii="仿宋" w:hAnsi="仿宋" w:eastAsia="仿宋" w:cs="仿宋"/>
          <w:color w:val="000000"/>
          <w:kern w:val="2"/>
          <w:sz w:val="32"/>
          <w:szCs w:val="32"/>
        </w:rPr>
        <w:t>根据实际需求，按时支付各项支出。保证了局机关各项工作的正常运转和相关人员的福利待遇，完成质量基本达到绩效目标。</w:t>
      </w:r>
    </w:p>
    <w:p>
      <w:pPr>
        <w:pStyle w:val="17"/>
        <w:spacing w:line="600" w:lineRule="atLeast"/>
        <w:ind w:firstLine="640" w:firstLineChars="200"/>
        <w:rPr>
          <w:rFonts w:ascii="仿宋" w:hAnsi="仿宋" w:eastAsia="仿宋" w:cs="仿宋"/>
          <w:color w:val="000000"/>
          <w:kern w:val="2"/>
          <w:sz w:val="32"/>
          <w:szCs w:val="32"/>
        </w:rPr>
      </w:pPr>
      <w:r>
        <w:rPr>
          <w:rFonts w:ascii="仿宋" w:hAnsi="仿宋" w:eastAsia="仿宋" w:cs="仿宋"/>
          <w:color w:val="000000"/>
          <w:kern w:val="2"/>
          <w:sz w:val="32"/>
          <w:szCs w:val="32"/>
        </w:rPr>
        <w:t>③</w:t>
      </w:r>
      <w:r>
        <w:rPr>
          <w:rFonts w:hint="eastAsia" w:ascii="仿宋" w:hAnsi="仿宋" w:eastAsia="仿宋" w:cs="仿宋"/>
          <w:color w:val="000000"/>
          <w:kern w:val="2"/>
          <w:sz w:val="32"/>
          <w:szCs w:val="32"/>
        </w:rPr>
        <w:t>可持续性分析</w:t>
      </w:r>
    </w:p>
    <w:p>
      <w:pPr>
        <w:pStyle w:val="17"/>
        <w:spacing w:line="600" w:lineRule="atLeast"/>
        <w:ind w:firstLine="640" w:firstLineChars="200"/>
        <w:rPr>
          <w:rFonts w:ascii="仿宋" w:hAnsi="仿宋" w:eastAsia="仿宋" w:cs="仿宋"/>
          <w:color w:val="000000"/>
          <w:kern w:val="2"/>
          <w:sz w:val="32"/>
          <w:szCs w:val="32"/>
        </w:rPr>
      </w:pPr>
      <w:r>
        <w:rPr>
          <w:rFonts w:hint="eastAsia" w:ascii="仿宋" w:hAnsi="仿宋" w:eastAsia="仿宋" w:cs="仿宋"/>
          <w:color w:val="000000"/>
          <w:kern w:val="2"/>
          <w:sz w:val="32"/>
          <w:szCs w:val="32"/>
        </w:rPr>
        <w:t>2020年度我单位圆满完成预期目标，取得了较好的经济和社会评价，企业和群众满意度高。</w:t>
      </w:r>
    </w:p>
    <w:p>
      <w:pPr>
        <w:pStyle w:val="17"/>
        <w:spacing w:line="600" w:lineRule="atLeast"/>
        <w:ind w:firstLine="640" w:firstLineChars="200"/>
        <w:rPr>
          <w:rFonts w:ascii="仿宋" w:hAnsi="仿宋" w:eastAsia="仿宋" w:cs="仿宋"/>
          <w:color w:val="000000"/>
          <w:kern w:val="2"/>
          <w:sz w:val="32"/>
          <w:szCs w:val="32"/>
        </w:rPr>
      </w:pPr>
    </w:p>
    <w:p>
      <w:pPr>
        <w:spacing w:line="46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2.促开放型经济及招商引资工作经费项目</w:t>
      </w:r>
    </w:p>
    <w:p>
      <w:pPr>
        <w:spacing w:line="460" w:lineRule="atLeast"/>
        <w:ind w:firstLine="320" w:firstLineChars="100"/>
        <w:rPr>
          <w:rFonts w:ascii="仿宋" w:hAnsi="仿宋" w:eastAsia="仿宋" w:cs="仿宋"/>
          <w:color w:val="000000"/>
          <w:sz w:val="32"/>
          <w:szCs w:val="32"/>
        </w:rPr>
      </w:pPr>
      <w:r>
        <w:rPr>
          <w:rFonts w:hint="eastAsia" w:ascii="仿宋" w:hAnsi="仿宋" w:eastAsia="仿宋" w:cs="仿宋"/>
          <w:color w:val="000000"/>
          <w:sz w:val="32"/>
          <w:szCs w:val="32"/>
        </w:rPr>
        <w:t>（1）资金执行情况</w:t>
      </w:r>
    </w:p>
    <w:p>
      <w:pPr>
        <w:spacing w:line="460" w:lineRule="atLeast"/>
        <w:ind w:firstLine="960" w:firstLineChars="300"/>
        <w:rPr>
          <w:rFonts w:ascii="仿宋" w:hAnsi="仿宋" w:eastAsia="仿宋" w:cs="仿宋"/>
          <w:color w:val="000000"/>
          <w:sz w:val="32"/>
          <w:szCs w:val="32"/>
        </w:rPr>
      </w:pPr>
      <w:r>
        <w:rPr>
          <w:rFonts w:hint="eastAsia" w:ascii="仿宋" w:hAnsi="仿宋" w:eastAsia="仿宋" w:cs="仿宋"/>
          <w:color w:val="000000"/>
          <w:sz w:val="32"/>
          <w:szCs w:val="32"/>
        </w:rPr>
        <w:t>该项目年初预算安排130万元。资金具体用于办公支出5.76万元，印刷支出19.46万元，培训及会议费1.72万元，招商引资支出71.33万元，其他交通支出23.47万元，其他公杂费用支出1.5万元等。</w:t>
      </w:r>
    </w:p>
    <w:p>
      <w:pPr>
        <w:pStyle w:val="17"/>
        <w:numPr>
          <w:ilvl w:val="0"/>
          <w:numId w:val="2"/>
        </w:numPr>
        <w:spacing w:line="600" w:lineRule="atLeast"/>
        <w:ind w:firstLine="640"/>
        <w:rPr>
          <w:rFonts w:ascii="仿宋" w:hAnsi="仿宋" w:eastAsia="仿宋" w:cs="仿宋"/>
          <w:color w:val="000000"/>
          <w:kern w:val="2"/>
          <w:sz w:val="32"/>
          <w:szCs w:val="32"/>
        </w:rPr>
      </w:pPr>
      <w:r>
        <w:rPr>
          <w:rFonts w:hint="eastAsia" w:ascii="仿宋" w:hAnsi="仿宋" w:eastAsia="仿宋" w:cs="仿宋"/>
          <w:color w:val="000000"/>
          <w:kern w:val="2"/>
          <w:sz w:val="32"/>
          <w:szCs w:val="32"/>
        </w:rPr>
        <w:t>项目主要绩效情况分析</w:t>
      </w:r>
    </w:p>
    <w:p>
      <w:pPr>
        <w:pStyle w:val="17"/>
        <w:spacing w:line="600" w:lineRule="atLeast"/>
        <w:ind w:firstLine="640" w:firstLineChars="200"/>
        <w:rPr>
          <w:rFonts w:ascii="仿宋" w:hAnsi="仿宋" w:eastAsia="仿宋" w:cs="仿宋"/>
          <w:color w:val="000000"/>
          <w:kern w:val="2"/>
          <w:sz w:val="32"/>
          <w:szCs w:val="32"/>
        </w:rPr>
      </w:pPr>
      <w:r>
        <w:rPr>
          <w:rFonts w:ascii="仿宋" w:hAnsi="仿宋" w:eastAsia="仿宋" w:cs="仿宋"/>
          <w:color w:val="000000"/>
          <w:kern w:val="2"/>
          <w:sz w:val="32"/>
          <w:szCs w:val="32"/>
        </w:rPr>
        <w:t>①</w:t>
      </w:r>
      <w:r>
        <w:rPr>
          <w:rFonts w:hint="eastAsia" w:ascii="仿宋" w:hAnsi="仿宋" w:eastAsia="仿宋" w:cs="仿宋"/>
          <w:color w:val="000000"/>
          <w:kern w:val="2"/>
          <w:sz w:val="32"/>
          <w:szCs w:val="32"/>
        </w:rPr>
        <w:t>项目经济性分析</w:t>
      </w:r>
    </w:p>
    <w:p>
      <w:pPr>
        <w:spacing w:line="576" w:lineRule="exact"/>
        <w:ind w:firstLine="640" w:firstLineChars="200"/>
        <w:rPr>
          <w:rFonts w:ascii="仿宋" w:hAnsi="仿宋" w:eastAsia="仿宋" w:cs="仿宋_GB2312"/>
          <w:bCs/>
          <w:kern w:val="0"/>
          <w:sz w:val="32"/>
          <w:szCs w:val="32"/>
        </w:rPr>
      </w:pPr>
      <w:r>
        <w:rPr>
          <w:rFonts w:hint="eastAsia" w:ascii="仿宋" w:hAnsi="仿宋" w:eastAsia="仿宋" w:cs="仿宋_GB2312"/>
          <w:bCs/>
          <w:sz w:val="32"/>
          <w:szCs w:val="32"/>
        </w:rPr>
        <w:t>2020年度引进产业项目</w:t>
      </w:r>
      <w:r>
        <w:rPr>
          <w:rFonts w:ascii="仿宋" w:hAnsi="仿宋" w:eastAsia="仿宋" w:cs="仿宋_GB2312"/>
          <w:bCs/>
          <w:sz w:val="32"/>
          <w:szCs w:val="32"/>
        </w:rPr>
        <w:t>135</w:t>
      </w:r>
      <w:r>
        <w:rPr>
          <w:rFonts w:hint="eastAsia" w:ascii="仿宋" w:hAnsi="仿宋" w:eastAsia="仿宋" w:cs="仿宋_GB2312"/>
          <w:bCs/>
          <w:sz w:val="32"/>
          <w:szCs w:val="32"/>
        </w:rPr>
        <w:t>个，其中过亿元的项目</w:t>
      </w:r>
      <w:r>
        <w:rPr>
          <w:rFonts w:ascii="仿宋" w:hAnsi="仿宋" w:eastAsia="仿宋" w:cs="仿宋_GB2312"/>
          <w:bCs/>
          <w:sz w:val="32"/>
          <w:szCs w:val="32"/>
        </w:rPr>
        <w:t>25</w:t>
      </w:r>
      <w:r>
        <w:rPr>
          <w:rFonts w:hint="eastAsia" w:ascii="仿宋" w:hAnsi="仿宋" w:eastAsia="仿宋" w:cs="仿宋_GB2312"/>
          <w:bCs/>
          <w:sz w:val="32"/>
          <w:szCs w:val="32"/>
        </w:rPr>
        <w:t>个，三类500强企业</w:t>
      </w:r>
      <w:r>
        <w:rPr>
          <w:rFonts w:ascii="仿宋" w:hAnsi="仿宋" w:eastAsia="仿宋" w:cs="仿宋_GB2312"/>
          <w:bCs/>
          <w:sz w:val="32"/>
          <w:szCs w:val="32"/>
        </w:rPr>
        <w:t>4</w:t>
      </w:r>
      <w:r>
        <w:rPr>
          <w:rFonts w:hint="eastAsia" w:ascii="仿宋" w:hAnsi="仿宋" w:eastAsia="仿宋" w:cs="仿宋_GB2312"/>
          <w:bCs/>
          <w:sz w:val="32"/>
          <w:szCs w:val="32"/>
        </w:rPr>
        <w:t>个，实现年度招商到位资金</w:t>
      </w:r>
      <w:r>
        <w:rPr>
          <w:rFonts w:ascii="仿宋" w:hAnsi="仿宋" w:eastAsia="仿宋" w:cs="仿宋_GB2312"/>
          <w:bCs/>
          <w:sz w:val="32"/>
          <w:szCs w:val="32"/>
        </w:rPr>
        <w:t>89</w:t>
      </w:r>
      <w:r>
        <w:rPr>
          <w:rFonts w:hint="eastAsia" w:ascii="仿宋" w:hAnsi="仿宋" w:eastAsia="仿宋" w:cs="仿宋_GB2312"/>
          <w:bCs/>
          <w:sz w:val="32"/>
          <w:szCs w:val="32"/>
        </w:rPr>
        <w:t>亿元，直接利用外资1.</w:t>
      </w:r>
      <w:r>
        <w:rPr>
          <w:rFonts w:ascii="仿宋" w:hAnsi="仿宋" w:eastAsia="仿宋" w:cs="仿宋_GB2312"/>
          <w:bCs/>
          <w:sz w:val="32"/>
          <w:szCs w:val="32"/>
        </w:rPr>
        <w:t>7</w:t>
      </w:r>
      <w:r>
        <w:rPr>
          <w:rFonts w:hint="eastAsia" w:ascii="仿宋" w:hAnsi="仿宋" w:eastAsia="仿宋" w:cs="仿宋_GB2312"/>
          <w:bCs/>
          <w:sz w:val="32"/>
          <w:szCs w:val="32"/>
        </w:rPr>
        <w:t>亿美元，其中外商直接投资1</w:t>
      </w:r>
      <w:r>
        <w:rPr>
          <w:rFonts w:ascii="仿宋" w:hAnsi="仿宋" w:eastAsia="仿宋" w:cs="仿宋_GB2312"/>
          <w:bCs/>
          <w:sz w:val="32"/>
          <w:szCs w:val="32"/>
        </w:rPr>
        <w:t>538</w:t>
      </w:r>
      <w:r>
        <w:rPr>
          <w:rFonts w:hint="eastAsia" w:ascii="仿宋" w:hAnsi="仿宋" w:eastAsia="仿宋" w:cs="仿宋_GB2312"/>
          <w:bCs/>
          <w:sz w:val="32"/>
          <w:szCs w:val="32"/>
        </w:rPr>
        <w:t>万美元，参加省市招商活动</w:t>
      </w:r>
      <w:r>
        <w:rPr>
          <w:rFonts w:ascii="仿宋" w:hAnsi="仿宋" w:eastAsia="仿宋" w:cs="仿宋_GB2312"/>
          <w:bCs/>
          <w:sz w:val="32"/>
          <w:szCs w:val="32"/>
        </w:rPr>
        <w:t>4</w:t>
      </w:r>
      <w:r>
        <w:rPr>
          <w:rFonts w:hint="eastAsia" w:ascii="仿宋" w:hAnsi="仿宋" w:eastAsia="仿宋" w:cs="仿宋_GB2312"/>
          <w:bCs/>
          <w:sz w:val="32"/>
          <w:szCs w:val="32"/>
        </w:rPr>
        <w:t>次以上，举办专场招商活动2次以上，对接跟进企业及投资项目</w:t>
      </w:r>
      <w:r>
        <w:rPr>
          <w:rFonts w:ascii="仿宋" w:hAnsi="仿宋" w:eastAsia="仿宋" w:cs="仿宋_GB2312"/>
          <w:bCs/>
          <w:sz w:val="32"/>
          <w:szCs w:val="32"/>
        </w:rPr>
        <w:t>150</w:t>
      </w:r>
      <w:r>
        <w:rPr>
          <w:rFonts w:hint="eastAsia" w:ascii="仿宋" w:hAnsi="仿宋" w:eastAsia="仿宋" w:cs="仿宋_GB2312"/>
          <w:bCs/>
          <w:sz w:val="32"/>
          <w:szCs w:val="32"/>
        </w:rPr>
        <w:t>个以上。</w:t>
      </w:r>
    </w:p>
    <w:p>
      <w:pPr>
        <w:spacing w:line="576" w:lineRule="exact"/>
        <w:ind w:firstLine="640" w:firstLineChars="200"/>
        <w:rPr>
          <w:rFonts w:ascii="仿宋" w:hAnsi="仿宋" w:eastAsia="仿宋" w:cs="仿宋_GB2312"/>
          <w:bCs/>
          <w:kern w:val="0"/>
          <w:sz w:val="32"/>
          <w:szCs w:val="32"/>
        </w:rPr>
      </w:pPr>
      <w:r>
        <w:rPr>
          <w:rFonts w:ascii="仿宋" w:hAnsi="仿宋" w:eastAsia="仿宋" w:cs="仿宋_GB2312"/>
          <w:bCs/>
          <w:kern w:val="0"/>
          <w:sz w:val="32"/>
          <w:szCs w:val="32"/>
        </w:rPr>
        <w:t>全年对接企业5</w:t>
      </w:r>
      <w:r>
        <w:rPr>
          <w:rFonts w:hint="eastAsia" w:ascii="仿宋" w:hAnsi="仿宋" w:eastAsia="仿宋" w:cs="仿宋_GB2312"/>
          <w:bCs/>
          <w:kern w:val="0"/>
          <w:sz w:val="32"/>
          <w:szCs w:val="32"/>
        </w:rPr>
        <w:t>80</w:t>
      </w:r>
      <w:r>
        <w:rPr>
          <w:rFonts w:ascii="仿宋" w:hAnsi="仿宋" w:eastAsia="仿宋" w:cs="仿宋_GB2312"/>
          <w:bCs/>
          <w:kern w:val="0"/>
          <w:sz w:val="32"/>
          <w:szCs w:val="32"/>
        </w:rPr>
        <w:t>批次，收集项目信息、储备项目80个，邀请客商来</w:t>
      </w:r>
      <w:r>
        <w:rPr>
          <w:rFonts w:hint="eastAsia" w:ascii="仿宋" w:hAnsi="仿宋" w:eastAsia="仿宋" w:cs="仿宋_GB2312"/>
          <w:bCs/>
          <w:kern w:val="0"/>
          <w:sz w:val="32"/>
          <w:szCs w:val="32"/>
        </w:rPr>
        <w:t>县</w:t>
      </w:r>
      <w:r>
        <w:rPr>
          <w:rFonts w:ascii="仿宋" w:hAnsi="仿宋" w:eastAsia="仿宋" w:cs="仿宋_GB2312"/>
          <w:bCs/>
          <w:kern w:val="0"/>
          <w:sz w:val="32"/>
          <w:szCs w:val="32"/>
        </w:rPr>
        <w:t>考察洽谈55批次</w:t>
      </w:r>
      <w:r>
        <w:rPr>
          <w:rFonts w:hint="eastAsia" w:ascii="仿宋" w:hAnsi="仿宋" w:eastAsia="仿宋" w:cs="仿宋_GB2312"/>
          <w:bCs/>
          <w:kern w:val="0"/>
          <w:sz w:val="32"/>
          <w:szCs w:val="32"/>
        </w:rPr>
        <w:t>。</w:t>
      </w:r>
    </w:p>
    <w:p>
      <w:pPr>
        <w:spacing w:line="576" w:lineRule="exact"/>
        <w:ind w:firstLine="640" w:firstLineChars="200"/>
        <w:rPr>
          <w:rFonts w:ascii="仿宋" w:hAnsi="仿宋" w:eastAsia="仿宋" w:cs="仿宋_GB2312"/>
          <w:bCs/>
          <w:kern w:val="0"/>
          <w:sz w:val="32"/>
          <w:szCs w:val="32"/>
        </w:rPr>
      </w:pPr>
      <w:r>
        <w:rPr>
          <w:rFonts w:hint="eastAsia" w:ascii="仿宋" w:hAnsi="仿宋" w:eastAsia="仿宋" w:cs="仿宋_GB2312"/>
          <w:bCs/>
          <w:kern w:val="0"/>
          <w:sz w:val="32"/>
          <w:szCs w:val="32"/>
        </w:rPr>
        <w:t>20</w:t>
      </w:r>
      <w:r>
        <w:rPr>
          <w:rFonts w:ascii="仿宋" w:hAnsi="仿宋" w:eastAsia="仿宋" w:cs="仿宋_GB2312"/>
          <w:bCs/>
          <w:kern w:val="0"/>
          <w:sz w:val="32"/>
          <w:szCs w:val="32"/>
        </w:rPr>
        <w:t>20</w:t>
      </w:r>
      <w:r>
        <w:rPr>
          <w:rFonts w:hint="eastAsia" w:ascii="仿宋" w:hAnsi="仿宋" w:eastAsia="仿宋" w:cs="仿宋_GB2312"/>
          <w:bCs/>
          <w:kern w:val="0"/>
          <w:sz w:val="32"/>
          <w:szCs w:val="32"/>
        </w:rPr>
        <w:t>年</w:t>
      </w:r>
      <w:r>
        <w:rPr>
          <w:rFonts w:ascii="仿宋" w:hAnsi="仿宋" w:eastAsia="仿宋" w:cs="仿宋_GB2312"/>
          <w:bCs/>
          <w:kern w:val="0"/>
          <w:sz w:val="32"/>
          <w:szCs w:val="32"/>
        </w:rPr>
        <w:t>5</w:t>
      </w:r>
      <w:r>
        <w:rPr>
          <w:rFonts w:hint="eastAsia" w:ascii="仿宋" w:hAnsi="仿宋" w:eastAsia="仿宋" w:cs="仿宋_GB2312"/>
          <w:bCs/>
          <w:kern w:val="0"/>
          <w:sz w:val="32"/>
          <w:szCs w:val="32"/>
        </w:rPr>
        <w:t>月，参加沪洽周湘潭市专场推介会，并促中2个项目上台签约，签约金额</w:t>
      </w:r>
      <w:r>
        <w:rPr>
          <w:rFonts w:ascii="仿宋" w:hAnsi="仿宋" w:eastAsia="仿宋" w:cs="仿宋_GB2312"/>
          <w:bCs/>
          <w:kern w:val="0"/>
          <w:sz w:val="32"/>
          <w:szCs w:val="32"/>
        </w:rPr>
        <w:t>3</w:t>
      </w:r>
      <w:r>
        <w:rPr>
          <w:rFonts w:hint="eastAsia" w:ascii="仿宋" w:hAnsi="仿宋" w:eastAsia="仿宋" w:cs="仿宋_GB2312"/>
          <w:bCs/>
          <w:kern w:val="0"/>
          <w:sz w:val="32"/>
          <w:szCs w:val="32"/>
        </w:rPr>
        <w:t>.</w:t>
      </w:r>
      <w:r>
        <w:rPr>
          <w:rFonts w:ascii="仿宋" w:hAnsi="仿宋" w:eastAsia="仿宋" w:cs="仿宋_GB2312"/>
          <w:bCs/>
          <w:kern w:val="0"/>
          <w:sz w:val="32"/>
          <w:szCs w:val="32"/>
        </w:rPr>
        <w:t>5</w:t>
      </w:r>
      <w:r>
        <w:rPr>
          <w:rFonts w:hint="eastAsia" w:ascii="仿宋" w:hAnsi="仿宋" w:eastAsia="仿宋" w:cs="仿宋_GB2312"/>
          <w:bCs/>
          <w:kern w:val="0"/>
          <w:sz w:val="32"/>
          <w:szCs w:val="32"/>
        </w:rPr>
        <w:t>亿元；</w:t>
      </w:r>
    </w:p>
    <w:p>
      <w:pPr>
        <w:spacing w:line="576" w:lineRule="exact"/>
        <w:ind w:firstLine="640" w:firstLineChars="200"/>
        <w:rPr>
          <w:rFonts w:ascii="仿宋" w:hAnsi="仿宋" w:eastAsia="仿宋" w:cs="仿宋_GB2312"/>
          <w:bCs/>
          <w:kern w:val="0"/>
          <w:sz w:val="32"/>
          <w:szCs w:val="32"/>
        </w:rPr>
      </w:pPr>
      <w:r>
        <w:rPr>
          <w:rFonts w:hint="eastAsia" w:ascii="仿宋" w:hAnsi="仿宋" w:eastAsia="仿宋" w:cs="仿宋_GB2312"/>
          <w:bCs/>
          <w:kern w:val="0"/>
          <w:sz w:val="32"/>
          <w:szCs w:val="32"/>
        </w:rPr>
        <w:t>20</w:t>
      </w:r>
      <w:r>
        <w:rPr>
          <w:rFonts w:ascii="仿宋" w:hAnsi="仿宋" w:eastAsia="仿宋" w:cs="仿宋_GB2312"/>
          <w:bCs/>
          <w:kern w:val="0"/>
          <w:sz w:val="32"/>
          <w:szCs w:val="32"/>
        </w:rPr>
        <w:t>20</w:t>
      </w:r>
      <w:r>
        <w:rPr>
          <w:rFonts w:hint="eastAsia" w:ascii="仿宋" w:hAnsi="仿宋" w:eastAsia="仿宋" w:cs="仿宋_GB2312"/>
          <w:bCs/>
          <w:kern w:val="0"/>
          <w:sz w:val="32"/>
          <w:szCs w:val="32"/>
        </w:rPr>
        <w:t>年</w:t>
      </w:r>
      <w:r>
        <w:rPr>
          <w:rFonts w:ascii="仿宋" w:hAnsi="仿宋" w:eastAsia="仿宋" w:cs="仿宋_GB2312"/>
          <w:bCs/>
          <w:kern w:val="0"/>
          <w:sz w:val="32"/>
          <w:szCs w:val="32"/>
        </w:rPr>
        <w:t>6</w:t>
      </w:r>
      <w:r>
        <w:rPr>
          <w:rFonts w:hint="eastAsia" w:ascii="仿宋" w:hAnsi="仿宋" w:eastAsia="仿宋" w:cs="仿宋_GB2312"/>
          <w:bCs/>
          <w:kern w:val="0"/>
          <w:sz w:val="32"/>
          <w:szCs w:val="32"/>
        </w:rPr>
        <w:t>月，参加韶山举办的红色博览会，并促中1个项目上台签约，签约金额2亿元。</w:t>
      </w:r>
    </w:p>
    <w:p>
      <w:pPr>
        <w:spacing w:line="576" w:lineRule="exact"/>
        <w:ind w:firstLine="640" w:firstLineChars="200"/>
        <w:rPr>
          <w:rFonts w:ascii="仿宋" w:hAnsi="仿宋" w:eastAsia="仿宋" w:cs="仿宋_GB2312"/>
          <w:bCs/>
          <w:kern w:val="0"/>
          <w:sz w:val="32"/>
          <w:szCs w:val="32"/>
        </w:rPr>
      </w:pPr>
      <w:r>
        <w:rPr>
          <w:rFonts w:hint="eastAsia" w:ascii="仿宋" w:hAnsi="仿宋" w:eastAsia="仿宋" w:cs="仿宋_GB2312"/>
          <w:bCs/>
          <w:kern w:val="0"/>
          <w:sz w:val="32"/>
          <w:szCs w:val="32"/>
        </w:rPr>
        <w:t>20</w:t>
      </w:r>
      <w:r>
        <w:rPr>
          <w:rFonts w:ascii="仿宋" w:hAnsi="仿宋" w:eastAsia="仿宋" w:cs="仿宋_GB2312"/>
          <w:bCs/>
          <w:kern w:val="0"/>
          <w:sz w:val="32"/>
          <w:szCs w:val="32"/>
        </w:rPr>
        <w:t>20</w:t>
      </w:r>
      <w:r>
        <w:rPr>
          <w:rFonts w:hint="eastAsia" w:ascii="仿宋" w:hAnsi="仿宋" w:eastAsia="仿宋" w:cs="仿宋_GB2312"/>
          <w:bCs/>
          <w:kern w:val="0"/>
          <w:sz w:val="32"/>
          <w:szCs w:val="32"/>
        </w:rPr>
        <w:t>年</w:t>
      </w:r>
      <w:r>
        <w:rPr>
          <w:rFonts w:ascii="仿宋" w:hAnsi="仿宋" w:eastAsia="仿宋" w:cs="仿宋_GB2312"/>
          <w:bCs/>
          <w:kern w:val="0"/>
          <w:sz w:val="32"/>
          <w:szCs w:val="32"/>
        </w:rPr>
        <w:t>8</w:t>
      </w:r>
      <w:r>
        <w:rPr>
          <w:rFonts w:hint="eastAsia" w:ascii="仿宋" w:hAnsi="仿宋" w:eastAsia="仿宋" w:cs="仿宋_GB2312"/>
          <w:bCs/>
          <w:kern w:val="0"/>
          <w:sz w:val="32"/>
          <w:szCs w:val="32"/>
        </w:rPr>
        <w:t>月，成功举办第二届潭商大会-湘潭天易产业招商推介会，实现</w:t>
      </w:r>
      <w:r>
        <w:rPr>
          <w:rFonts w:ascii="仿宋" w:hAnsi="仿宋" w:eastAsia="仿宋" w:cs="仿宋_GB2312"/>
          <w:bCs/>
          <w:kern w:val="0"/>
          <w:sz w:val="32"/>
          <w:szCs w:val="32"/>
        </w:rPr>
        <w:t>5</w:t>
      </w:r>
      <w:r>
        <w:rPr>
          <w:rFonts w:hint="eastAsia" w:ascii="仿宋" w:hAnsi="仿宋" w:eastAsia="仿宋" w:cs="仿宋_GB2312"/>
          <w:bCs/>
          <w:kern w:val="0"/>
          <w:sz w:val="32"/>
          <w:szCs w:val="32"/>
        </w:rPr>
        <w:t>个项目集中签约，签约金额</w:t>
      </w:r>
      <w:r>
        <w:rPr>
          <w:rFonts w:ascii="仿宋" w:hAnsi="仿宋" w:eastAsia="仿宋" w:cs="仿宋_GB2312"/>
          <w:bCs/>
          <w:kern w:val="0"/>
          <w:sz w:val="32"/>
          <w:szCs w:val="32"/>
        </w:rPr>
        <w:t>16</w:t>
      </w:r>
      <w:r>
        <w:rPr>
          <w:rFonts w:hint="eastAsia" w:ascii="仿宋" w:hAnsi="仿宋" w:eastAsia="仿宋" w:cs="仿宋_GB2312"/>
          <w:bCs/>
          <w:kern w:val="0"/>
          <w:sz w:val="32"/>
          <w:szCs w:val="32"/>
        </w:rPr>
        <w:t>亿元。</w:t>
      </w:r>
    </w:p>
    <w:p>
      <w:pPr>
        <w:spacing w:line="576" w:lineRule="exact"/>
        <w:ind w:firstLine="640" w:firstLineChars="200"/>
        <w:rPr>
          <w:rFonts w:ascii="仿宋" w:hAnsi="仿宋" w:eastAsia="仿宋" w:cs="仿宋_GB2312"/>
          <w:bCs/>
          <w:kern w:val="0"/>
          <w:sz w:val="32"/>
          <w:szCs w:val="32"/>
        </w:rPr>
      </w:pPr>
      <w:r>
        <w:rPr>
          <w:rFonts w:hint="eastAsia" w:ascii="仿宋" w:hAnsi="仿宋" w:eastAsia="仿宋" w:cs="仿宋_GB2312"/>
          <w:bCs/>
          <w:kern w:val="0"/>
          <w:sz w:val="32"/>
          <w:szCs w:val="32"/>
        </w:rPr>
        <w:t>20</w:t>
      </w:r>
      <w:r>
        <w:rPr>
          <w:rFonts w:ascii="仿宋" w:hAnsi="仿宋" w:eastAsia="仿宋" w:cs="仿宋_GB2312"/>
          <w:bCs/>
          <w:kern w:val="0"/>
          <w:sz w:val="32"/>
          <w:szCs w:val="32"/>
        </w:rPr>
        <w:t>20</w:t>
      </w:r>
      <w:r>
        <w:rPr>
          <w:rFonts w:hint="eastAsia" w:ascii="仿宋" w:hAnsi="仿宋" w:eastAsia="仿宋" w:cs="仿宋_GB2312"/>
          <w:bCs/>
          <w:kern w:val="0"/>
          <w:sz w:val="32"/>
          <w:szCs w:val="32"/>
        </w:rPr>
        <w:t>年</w:t>
      </w:r>
      <w:r>
        <w:rPr>
          <w:rFonts w:ascii="仿宋" w:hAnsi="仿宋" w:eastAsia="仿宋" w:cs="仿宋_GB2312"/>
          <w:bCs/>
          <w:kern w:val="0"/>
          <w:sz w:val="32"/>
          <w:szCs w:val="32"/>
        </w:rPr>
        <w:t>10</w:t>
      </w:r>
      <w:r>
        <w:rPr>
          <w:rFonts w:hint="eastAsia" w:ascii="仿宋" w:hAnsi="仿宋" w:eastAsia="仿宋" w:cs="仿宋_GB2312"/>
          <w:bCs/>
          <w:kern w:val="0"/>
          <w:sz w:val="32"/>
          <w:szCs w:val="32"/>
        </w:rPr>
        <w:t>月，积极参加“深圳湘潭县跨境电商洽谈会”，积极宣传推介湘潭县。</w:t>
      </w:r>
    </w:p>
    <w:p>
      <w:pPr>
        <w:spacing w:line="576" w:lineRule="exact"/>
        <w:ind w:firstLine="640" w:firstLineChars="200"/>
        <w:rPr>
          <w:rFonts w:ascii="仿宋" w:hAnsi="仿宋" w:eastAsia="仿宋" w:cs="仿宋_GB2312"/>
          <w:bCs/>
          <w:kern w:val="0"/>
          <w:sz w:val="32"/>
          <w:szCs w:val="32"/>
        </w:rPr>
      </w:pPr>
      <w:r>
        <w:rPr>
          <w:rFonts w:ascii="仿宋" w:hAnsi="仿宋" w:eastAsia="仿宋" w:cs="仿宋_GB2312"/>
          <w:bCs/>
          <w:kern w:val="0"/>
          <w:sz w:val="32"/>
          <w:szCs w:val="32"/>
        </w:rPr>
        <w:t>2020</w:t>
      </w:r>
      <w:r>
        <w:rPr>
          <w:rFonts w:hint="eastAsia" w:ascii="仿宋" w:hAnsi="仿宋" w:eastAsia="仿宋" w:cs="仿宋_GB2312"/>
          <w:bCs/>
          <w:kern w:val="0"/>
          <w:sz w:val="32"/>
          <w:szCs w:val="32"/>
        </w:rPr>
        <w:t>年1</w:t>
      </w:r>
      <w:r>
        <w:rPr>
          <w:rFonts w:ascii="仿宋" w:hAnsi="仿宋" w:eastAsia="仿宋" w:cs="仿宋_GB2312"/>
          <w:bCs/>
          <w:kern w:val="0"/>
          <w:sz w:val="32"/>
          <w:szCs w:val="32"/>
        </w:rPr>
        <w:t>2</w:t>
      </w:r>
      <w:r>
        <w:rPr>
          <w:rFonts w:hint="eastAsia" w:ascii="仿宋" w:hAnsi="仿宋" w:eastAsia="仿宋" w:cs="仿宋_GB2312"/>
          <w:bCs/>
          <w:kern w:val="0"/>
          <w:sz w:val="32"/>
          <w:szCs w:val="32"/>
        </w:rPr>
        <w:t>月，成功举办“迎老乡、回故乡、建家乡”专题洽谈会。</w:t>
      </w:r>
    </w:p>
    <w:p>
      <w:pPr>
        <w:spacing w:line="576" w:lineRule="exact"/>
        <w:ind w:firstLine="640" w:firstLineChars="200"/>
        <w:rPr>
          <w:rFonts w:ascii="仿宋" w:hAnsi="仿宋" w:eastAsia="仿宋"/>
          <w:sz w:val="32"/>
          <w:szCs w:val="32"/>
        </w:rPr>
      </w:pPr>
      <w:r>
        <w:rPr>
          <w:rFonts w:hint="eastAsia" w:ascii="仿宋" w:hAnsi="仿宋" w:eastAsia="仿宋" w:cs="仿宋_GB2312"/>
          <w:bCs/>
          <w:kern w:val="0"/>
          <w:sz w:val="32"/>
          <w:szCs w:val="32"/>
        </w:rPr>
        <w:t>通过外出专场招商及小分队招商活动，开展了大量的宣传推广，提升了湘潭县的影响力，得到了国内大中型企业的高度认可。</w:t>
      </w:r>
    </w:p>
    <w:p>
      <w:pPr>
        <w:pStyle w:val="19"/>
        <w:spacing w:line="560" w:lineRule="exact"/>
        <w:ind w:firstLine="640" w:firstLineChars="200"/>
        <w:rPr>
          <w:rFonts w:ascii="仿宋" w:hAnsi="仿宋" w:eastAsia="仿宋" w:cs="仿宋"/>
          <w:kern w:val="2"/>
          <w:sz w:val="32"/>
          <w:szCs w:val="32"/>
        </w:rPr>
      </w:pPr>
      <w:r>
        <w:rPr>
          <w:rFonts w:ascii="仿宋" w:hAnsi="仿宋" w:eastAsia="仿宋" w:cs="仿宋"/>
          <w:kern w:val="2"/>
          <w:sz w:val="32"/>
          <w:szCs w:val="32"/>
        </w:rPr>
        <w:t>②</w:t>
      </w:r>
      <w:r>
        <w:rPr>
          <w:rFonts w:hint="eastAsia" w:ascii="仿宋" w:hAnsi="仿宋" w:eastAsia="仿宋" w:cs="仿宋"/>
          <w:kern w:val="2"/>
          <w:sz w:val="32"/>
          <w:szCs w:val="32"/>
        </w:rPr>
        <w:t>项目的效率性分析</w:t>
      </w:r>
    </w:p>
    <w:p>
      <w:pPr>
        <w:widowControl/>
        <w:spacing w:line="576" w:lineRule="exact"/>
        <w:ind w:firstLine="480" w:firstLineChars="150"/>
        <w:rPr>
          <w:rFonts w:ascii="仿宋" w:hAnsi="仿宋" w:eastAsia="仿宋" w:cs="仿宋_GB2312"/>
          <w:bCs/>
          <w:kern w:val="0"/>
          <w:sz w:val="32"/>
          <w:szCs w:val="32"/>
        </w:rPr>
      </w:pPr>
      <w:r>
        <w:rPr>
          <w:rFonts w:hint="eastAsia" w:ascii="仿宋" w:hAnsi="仿宋" w:eastAsia="仿宋" w:cs="宋体"/>
          <w:sz w:val="32"/>
          <w:szCs w:val="32"/>
        </w:rPr>
        <w:t>通过深化政府职能转变，打造服务型机关，全心全意为外来投资企业提供</w:t>
      </w:r>
      <w:r>
        <w:rPr>
          <w:rFonts w:ascii="仿宋" w:hAnsi="仿宋" w:eastAsia="仿宋"/>
          <w:sz w:val="32"/>
          <w:szCs w:val="32"/>
        </w:rPr>
        <w:t>“</w:t>
      </w:r>
      <w:r>
        <w:rPr>
          <w:rFonts w:hint="eastAsia" w:ascii="仿宋" w:hAnsi="仿宋" w:eastAsia="仿宋" w:cs="宋体"/>
          <w:sz w:val="32"/>
          <w:szCs w:val="32"/>
        </w:rPr>
        <w:t>保姆式服务</w:t>
      </w:r>
      <w:r>
        <w:rPr>
          <w:rFonts w:ascii="仿宋" w:hAnsi="仿宋" w:eastAsia="仿宋"/>
          <w:sz w:val="32"/>
          <w:szCs w:val="32"/>
        </w:rPr>
        <w:t>”</w:t>
      </w:r>
      <w:r>
        <w:rPr>
          <w:rFonts w:hint="eastAsia" w:ascii="仿宋" w:hAnsi="仿宋" w:eastAsia="仿宋" w:cs="宋体"/>
          <w:sz w:val="32"/>
          <w:szCs w:val="32"/>
        </w:rPr>
        <w:t>，派专人负责从项目签约、落地至投产前协调、服务和调度等工作，实行帮办代理、见章盖章、一站式服务模式，努力为客商和企业营造稳定的社会环境和高效的政务环境，</w:t>
      </w:r>
      <w:r>
        <w:rPr>
          <w:rFonts w:ascii="仿宋" w:hAnsi="仿宋" w:eastAsia="仿宋"/>
          <w:sz w:val="32"/>
          <w:szCs w:val="32"/>
        </w:rPr>
        <w:t xml:space="preserve"> 2020</w:t>
      </w:r>
      <w:r>
        <w:rPr>
          <w:rFonts w:hint="eastAsia" w:ascii="仿宋" w:hAnsi="仿宋" w:eastAsia="仿宋" w:cs="宋体"/>
          <w:sz w:val="32"/>
          <w:szCs w:val="32"/>
        </w:rPr>
        <w:t>年实现了项目落地率达到</w:t>
      </w:r>
      <w:r>
        <w:rPr>
          <w:rFonts w:ascii="仿宋" w:hAnsi="仿宋" w:eastAsia="仿宋"/>
          <w:sz w:val="32"/>
          <w:szCs w:val="32"/>
        </w:rPr>
        <w:t>90%</w:t>
      </w:r>
      <w:r>
        <w:rPr>
          <w:rFonts w:hint="eastAsia" w:ascii="仿宋" w:hAnsi="仿宋" w:eastAsia="仿宋" w:cs="宋体"/>
          <w:sz w:val="32"/>
          <w:szCs w:val="32"/>
        </w:rPr>
        <w:t>，项目履约率达到</w:t>
      </w:r>
      <w:r>
        <w:rPr>
          <w:rFonts w:ascii="仿宋" w:hAnsi="仿宋" w:eastAsia="仿宋"/>
          <w:sz w:val="32"/>
          <w:szCs w:val="32"/>
        </w:rPr>
        <w:t>70%</w:t>
      </w:r>
      <w:r>
        <w:rPr>
          <w:rFonts w:hint="eastAsia" w:ascii="仿宋" w:hAnsi="仿宋" w:eastAsia="仿宋" w:cs="宋体"/>
          <w:sz w:val="32"/>
          <w:szCs w:val="32"/>
        </w:rPr>
        <w:t>的良好成绩。</w:t>
      </w:r>
    </w:p>
    <w:p>
      <w:pPr>
        <w:pStyle w:val="19"/>
        <w:spacing w:line="560" w:lineRule="exact"/>
        <w:ind w:firstLine="640" w:firstLineChars="200"/>
        <w:rPr>
          <w:rFonts w:ascii="仿宋" w:hAnsi="仿宋" w:eastAsia="仿宋" w:cs="仿宋"/>
          <w:kern w:val="2"/>
          <w:sz w:val="32"/>
          <w:szCs w:val="32"/>
        </w:rPr>
      </w:pPr>
      <w:r>
        <w:rPr>
          <w:rFonts w:ascii="仿宋" w:hAnsi="仿宋" w:eastAsia="仿宋" w:cs="仿宋"/>
          <w:kern w:val="2"/>
          <w:sz w:val="32"/>
          <w:szCs w:val="32"/>
        </w:rPr>
        <w:t>③</w:t>
      </w:r>
      <w:r>
        <w:rPr>
          <w:rFonts w:hint="eastAsia" w:ascii="仿宋" w:hAnsi="仿宋" w:eastAsia="仿宋" w:cs="仿宋"/>
          <w:kern w:val="2"/>
          <w:sz w:val="32"/>
          <w:szCs w:val="32"/>
        </w:rPr>
        <w:t>项目的效益性分析</w:t>
      </w:r>
    </w:p>
    <w:p>
      <w:pPr>
        <w:pStyle w:val="2"/>
        <w:spacing w:line="560" w:lineRule="exact"/>
        <w:ind w:firstLine="640" w:firstLineChars="200"/>
        <w:rPr>
          <w:rFonts w:ascii="仿宋_GB2312" w:eastAsia="仿宋_GB2312" w:cs="仿宋_GB2312"/>
          <w:bCs/>
          <w:sz w:val="32"/>
          <w:szCs w:val="32"/>
          <w:shd w:val="clear" w:color="auto" w:fill="FFFFFF"/>
        </w:rPr>
      </w:pPr>
      <w:r>
        <w:rPr>
          <w:rFonts w:ascii="仿宋" w:hAnsi="仿宋" w:eastAsia="仿宋" w:cs="仿宋_GB2312"/>
          <w:sz w:val="32"/>
          <w:szCs w:val="32"/>
        </w:rPr>
        <w:t>紧紧围绕食品医药、装备制造、新材料、槟榔、海泡石、皮鞋、竹木、湘莲等产业优势，吸引上下游产品关联企业，形成生产配套或战略合作，延伸扩展产业了链条。</w:t>
      </w:r>
      <w:r>
        <w:rPr>
          <w:rFonts w:ascii="仿宋" w:hAnsi="仿宋" w:eastAsia="仿宋"/>
          <w:sz w:val="32"/>
          <w:szCs w:val="32"/>
        </w:rPr>
        <w:t>如</w:t>
      </w:r>
      <w:r>
        <w:rPr>
          <w:rFonts w:ascii="仿宋" w:hAnsi="仿宋" w:eastAsia="仿宋" w:cs="仿宋_GB2312"/>
          <w:sz w:val="32"/>
          <w:szCs w:val="32"/>
        </w:rPr>
        <w:t>围绕食品医药产业链，引进</w:t>
      </w:r>
      <w:r>
        <w:rPr>
          <w:rFonts w:ascii="仿宋" w:hAnsi="仿宋" w:eastAsia="仿宋"/>
          <w:sz w:val="32"/>
          <w:szCs w:val="32"/>
        </w:rPr>
        <w:t>了40家食品企业入驻佳海食品工业园，更有皇爷二期、广益科技高端食品研产项目、长沙狐狸爪、龙村食品、金佰胜节能食品加工设备入驻园区，稳步提升了园区食品医药产业整体实力</w:t>
      </w:r>
      <w:r>
        <w:rPr>
          <w:rFonts w:ascii="仿宋" w:hAnsi="仿宋" w:eastAsia="仿宋" w:cs="仿宋_GB2312"/>
          <w:sz w:val="32"/>
          <w:szCs w:val="32"/>
        </w:rPr>
        <w:t>。</w:t>
      </w:r>
      <w:r>
        <w:rPr>
          <w:rFonts w:ascii="仿宋" w:hAnsi="仿宋" w:eastAsia="仿宋" w:cs="宋体"/>
          <w:bCs/>
          <w:sz w:val="32"/>
          <w:szCs w:val="32"/>
        </w:rPr>
        <w:t>实</w:t>
      </w:r>
      <w:r>
        <w:rPr>
          <w:rFonts w:ascii="仿宋" w:hAnsi="仿宋" w:eastAsia="仿宋" w:cs="宋体"/>
          <w:sz w:val="32"/>
          <w:szCs w:val="32"/>
        </w:rPr>
        <w:t>行零土地型的平台型总部经济、楼宇经济既可解决园区土地瓶颈问题，又可做大项目</w:t>
      </w:r>
      <w:r>
        <w:rPr>
          <w:rFonts w:ascii="仿宋" w:hAnsi="仿宋" w:eastAsia="仿宋" w:cs="Calibri"/>
          <w:sz w:val="32"/>
          <w:szCs w:val="32"/>
        </w:rPr>
        <w:t>“</w:t>
      </w:r>
      <w:r>
        <w:rPr>
          <w:rFonts w:ascii="仿宋" w:hAnsi="仿宋" w:eastAsia="仿宋" w:cs="宋体"/>
          <w:sz w:val="32"/>
          <w:szCs w:val="32"/>
        </w:rPr>
        <w:t>朋友圈</w:t>
      </w:r>
      <w:r>
        <w:rPr>
          <w:rFonts w:ascii="仿宋" w:hAnsi="仿宋" w:eastAsia="仿宋" w:cs="Calibri"/>
          <w:sz w:val="32"/>
          <w:szCs w:val="32"/>
        </w:rPr>
        <w:t>”</w:t>
      </w:r>
      <w:r>
        <w:rPr>
          <w:rFonts w:ascii="仿宋" w:hAnsi="仿宋" w:eastAsia="仿宋" w:cs="宋体"/>
          <w:sz w:val="32"/>
          <w:szCs w:val="32"/>
        </w:rPr>
        <w:t>，做好价值的</w:t>
      </w:r>
      <w:r>
        <w:rPr>
          <w:rFonts w:ascii="仿宋" w:hAnsi="仿宋" w:eastAsia="仿宋" w:cs="Calibri"/>
          <w:sz w:val="32"/>
          <w:szCs w:val="32"/>
        </w:rPr>
        <w:t>“</w:t>
      </w:r>
      <w:r>
        <w:rPr>
          <w:rFonts w:ascii="仿宋" w:hAnsi="仿宋" w:eastAsia="仿宋" w:cs="宋体"/>
          <w:sz w:val="32"/>
          <w:szCs w:val="32"/>
        </w:rPr>
        <w:t>加法</w:t>
      </w:r>
      <w:r>
        <w:rPr>
          <w:rFonts w:ascii="仿宋" w:hAnsi="仿宋" w:eastAsia="仿宋" w:cs="Calibri"/>
          <w:sz w:val="32"/>
          <w:szCs w:val="32"/>
        </w:rPr>
        <w:t>”</w:t>
      </w:r>
      <w:r>
        <w:rPr>
          <w:rFonts w:ascii="仿宋" w:hAnsi="仿宋" w:eastAsia="仿宋" w:cs="宋体"/>
          <w:sz w:val="32"/>
          <w:szCs w:val="32"/>
        </w:rPr>
        <w:t>。今年，已成功签约永保保险代理有限公司湖南分公司总部经济项目、湖南云税互联网服务有限公司总部经济项目、电力安装工程总部基地项目、互联网</w:t>
      </w:r>
      <w:r>
        <w:rPr>
          <w:rFonts w:ascii="仿宋" w:hAnsi="仿宋" w:eastAsia="仿宋"/>
          <w:sz w:val="32"/>
          <w:szCs w:val="32"/>
        </w:rPr>
        <w:t>+</w:t>
      </w:r>
      <w:r>
        <w:rPr>
          <w:rFonts w:ascii="仿宋" w:hAnsi="仿宋" w:eastAsia="仿宋" w:cs="宋体"/>
          <w:sz w:val="32"/>
          <w:szCs w:val="32"/>
        </w:rPr>
        <w:t>秀场直播及直播带货和湖南省呼叫中心平台项目等</w:t>
      </w:r>
      <w:r>
        <w:rPr>
          <w:rFonts w:ascii="仿宋" w:hAnsi="仿宋" w:eastAsia="仿宋"/>
          <w:sz w:val="32"/>
          <w:szCs w:val="32"/>
        </w:rPr>
        <w:t>10</w:t>
      </w:r>
      <w:r>
        <w:rPr>
          <w:rFonts w:ascii="仿宋" w:hAnsi="仿宋" w:eastAsia="仿宋" w:cs="宋体"/>
          <w:sz w:val="32"/>
          <w:szCs w:val="32"/>
        </w:rPr>
        <w:t>个总部经济项目。助推我县</w:t>
      </w:r>
      <w:r>
        <w:rPr>
          <w:rFonts w:ascii="仿宋" w:hAnsi="仿宋" w:eastAsia="仿宋" w:cs="宋体"/>
          <w:bCs/>
          <w:sz w:val="32"/>
          <w:szCs w:val="32"/>
          <w:shd w:val="clear" w:color="auto" w:fill="FFFFFF"/>
        </w:rPr>
        <w:t>总部经济加快发展，对我县涵养税源、推动集约集聚发展、提升城市新形象、形成新的经济增长点、</w:t>
      </w:r>
      <w:r>
        <w:rPr>
          <w:rFonts w:ascii="仿宋" w:hAnsi="仿宋" w:eastAsia="仿宋" w:cs="宋体"/>
          <w:sz w:val="32"/>
          <w:szCs w:val="32"/>
        </w:rPr>
        <w:t>解决园区土地瓶颈问题等</w:t>
      </w:r>
      <w:r>
        <w:rPr>
          <w:rFonts w:ascii="仿宋" w:hAnsi="仿宋" w:eastAsia="仿宋" w:cs="宋体"/>
          <w:bCs/>
          <w:sz w:val="32"/>
          <w:szCs w:val="32"/>
          <w:shd w:val="clear" w:color="auto" w:fill="FFFFFF"/>
        </w:rPr>
        <w:t>具有重要意义。</w:t>
      </w:r>
    </w:p>
    <w:p>
      <w:pPr>
        <w:pStyle w:val="19"/>
        <w:spacing w:line="560" w:lineRule="exact"/>
        <w:ind w:firstLine="640" w:firstLineChars="200"/>
        <w:rPr>
          <w:rFonts w:ascii="仿宋" w:hAnsi="仿宋" w:eastAsia="仿宋" w:cs="仿宋"/>
          <w:kern w:val="2"/>
          <w:sz w:val="32"/>
          <w:szCs w:val="32"/>
        </w:rPr>
      </w:pPr>
    </w:p>
    <w:p>
      <w:pPr>
        <w:pStyle w:val="19"/>
        <w:spacing w:line="560" w:lineRule="exact"/>
        <w:ind w:firstLine="640"/>
        <w:rPr>
          <w:rFonts w:ascii="仿宋" w:hAnsi="仿宋" w:eastAsia="仿宋" w:cs="仿宋"/>
          <w:kern w:val="2"/>
          <w:sz w:val="32"/>
          <w:szCs w:val="32"/>
        </w:rPr>
      </w:pPr>
      <w:r>
        <w:rPr>
          <w:rFonts w:hint="eastAsia" w:ascii="仿宋" w:hAnsi="仿宋" w:eastAsia="仿宋" w:cs="仿宋"/>
          <w:kern w:val="2"/>
          <w:sz w:val="32"/>
          <w:szCs w:val="32"/>
        </w:rPr>
        <w:t>3.综合执法经费</w:t>
      </w:r>
    </w:p>
    <w:p>
      <w:pPr>
        <w:ind w:firstLine="640"/>
        <w:rPr>
          <w:rFonts w:ascii="仿宋" w:hAnsi="仿宋" w:eastAsia="仿宋" w:cs="仿宋"/>
          <w:color w:val="000000"/>
          <w:sz w:val="32"/>
          <w:szCs w:val="32"/>
        </w:rPr>
      </w:pPr>
      <w:r>
        <w:rPr>
          <w:rFonts w:hint="eastAsia" w:ascii="仿宋" w:hAnsi="仿宋" w:eastAsia="仿宋" w:cs="仿宋"/>
          <w:color w:val="000000"/>
          <w:sz w:val="32"/>
          <w:szCs w:val="32"/>
        </w:rPr>
        <w:t>（1）项目绩效目标</w:t>
      </w:r>
    </w:p>
    <w:p>
      <w:pPr>
        <w:ind w:firstLine="640"/>
        <w:rPr>
          <w:rFonts w:ascii="仿宋" w:hAnsi="仿宋" w:eastAsia="仿宋" w:cs="仿宋"/>
          <w:color w:val="000000"/>
          <w:sz w:val="32"/>
          <w:szCs w:val="32"/>
        </w:rPr>
      </w:pPr>
      <w:r>
        <w:rPr>
          <w:rFonts w:hint="eastAsia" w:ascii="仿宋" w:hAnsi="仿宋" w:eastAsia="仿宋" w:cs="仿宋"/>
          <w:color w:val="000000"/>
          <w:sz w:val="32"/>
          <w:szCs w:val="32"/>
        </w:rPr>
        <w:t>通过实施本项目，组织、指导局商贸系统生产经营企业抓好安全生产、消防安全、食品安全工作；协调整顿和规范市场经济秩序相关工作，维护城区及乡镇市场秩序；</w:t>
      </w:r>
    </w:p>
    <w:p>
      <w:pPr>
        <w:ind w:firstLine="640"/>
        <w:rPr>
          <w:rFonts w:ascii="仿宋" w:hAnsi="仿宋" w:eastAsia="仿宋" w:cs="仿宋"/>
          <w:color w:val="000000"/>
          <w:sz w:val="32"/>
          <w:szCs w:val="32"/>
        </w:rPr>
      </w:pPr>
      <w:r>
        <w:rPr>
          <w:rFonts w:hint="eastAsia" w:ascii="仿宋" w:hAnsi="仿宋" w:eastAsia="仿宋" w:cs="仿宋"/>
          <w:color w:val="000000"/>
          <w:sz w:val="32"/>
          <w:szCs w:val="32"/>
        </w:rPr>
        <w:t>（2）资金执行情况</w:t>
      </w:r>
    </w:p>
    <w:p>
      <w:pPr>
        <w:ind w:firstLine="640"/>
        <w:rPr>
          <w:rFonts w:ascii="仿宋" w:hAnsi="仿宋" w:eastAsia="仿宋" w:cs="仿宋"/>
          <w:color w:val="000000"/>
          <w:sz w:val="32"/>
          <w:szCs w:val="32"/>
        </w:rPr>
      </w:pPr>
      <w:r>
        <w:rPr>
          <w:rFonts w:hint="eastAsia" w:ascii="仿宋" w:hAnsi="仿宋" w:eastAsia="仿宋" w:cs="仿宋"/>
          <w:color w:val="000000"/>
          <w:sz w:val="32"/>
          <w:szCs w:val="32"/>
        </w:rPr>
        <w:t>本项目年初预算安排资金50万元，该项目资金主要用于办公费6.74万元，印刷费0.91万元，差旅费3.5万元，安全生产支出5.2万元，执法用车维修维护6.37万元，其他综合执法支出27万元等。</w:t>
      </w:r>
    </w:p>
    <w:p>
      <w:pPr>
        <w:ind w:firstLine="640"/>
        <w:rPr>
          <w:rFonts w:ascii="仿宋" w:hAnsi="仿宋" w:eastAsia="仿宋" w:cs="仿宋"/>
          <w:color w:val="000000"/>
          <w:sz w:val="32"/>
          <w:szCs w:val="32"/>
        </w:rPr>
      </w:pPr>
      <w:r>
        <w:rPr>
          <w:rFonts w:hint="eastAsia" w:ascii="仿宋" w:hAnsi="仿宋" w:eastAsia="仿宋" w:cs="仿宋"/>
          <w:color w:val="000000"/>
          <w:sz w:val="32"/>
          <w:szCs w:val="32"/>
        </w:rPr>
        <w:t>（3）项目主要绩效情况分析</w:t>
      </w:r>
    </w:p>
    <w:p>
      <w:pPr>
        <w:ind w:firstLine="640"/>
        <w:rPr>
          <w:rFonts w:ascii="仿宋" w:hAnsi="仿宋" w:eastAsia="仿宋" w:cs="仿宋"/>
          <w:color w:val="000000"/>
          <w:sz w:val="32"/>
          <w:szCs w:val="32"/>
        </w:rPr>
      </w:pPr>
      <w:r>
        <w:rPr>
          <w:rFonts w:ascii="仿宋" w:hAnsi="仿宋" w:eastAsia="仿宋" w:cs="仿宋"/>
          <w:color w:val="000000"/>
          <w:sz w:val="32"/>
          <w:szCs w:val="32"/>
        </w:rPr>
        <w:t>①</w:t>
      </w:r>
      <w:r>
        <w:rPr>
          <w:rFonts w:hint="eastAsia" w:ascii="仿宋" w:hAnsi="仿宋" w:eastAsia="仿宋" w:cs="仿宋"/>
          <w:color w:val="000000"/>
          <w:sz w:val="32"/>
          <w:szCs w:val="32"/>
        </w:rPr>
        <w:t>项目经济性分析</w:t>
      </w:r>
    </w:p>
    <w:p>
      <w:pPr>
        <w:shd w:val="clear" w:color="auto" w:fill="FFFFFF"/>
        <w:ind w:firstLine="640" w:firstLineChars="200"/>
        <w:rPr>
          <w:rFonts w:ascii="仿宋" w:hAnsi="仿宋" w:eastAsia="仿宋" w:cs="仿宋"/>
          <w:color w:val="000000"/>
          <w:sz w:val="32"/>
          <w:szCs w:val="32"/>
        </w:rPr>
      </w:pPr>
      <w:r>
        <w:rPr>
          <w:rFonts w:ascii="仿宋" w:hAnsi="仿宋" w:eastAsia="仿宋" w:cs="仿宋"/>
          <w:color w:val="000000"/>
          <w:sz w:val="32"/>
          <w:szCs w:val="32"/>
        </w:rPr>
        <w:t>该项目预算成本控制在</w:t>
      </w:r>
      <w:r>
        <w:rPr>
          <w:rFonts w:hint="eastAsia" w:ascii="仿宋" w:hAnsi="仿宋" w:eastAsia="仿宋" w:cs="仿宋"/>
          <w:color w:val="000000"/>
          <w:sz w:val="32"/>
          <w:szCs w:val="32"/>
        </w:rPr>
        <w:t>50</w:t>
      </w:r>
      <w:r>
        <w:rPr>
          <w:rFonts w:ascii="仿宋" w:hAnsi="仿宋" w:eastAsia="仿宋" w:cs="仿宋"/>
          <w:color w:val="000000"/>
          <w:sz w:val="32"/>
          <w:szCs w:val="32"/>
        </w:rPr>
        <w:t>万以内, 全部用于差旅费、办公</w:t>
      </w:r>
      <w:r>
        <w:rPr>
          <w:rFonts w:hint="eastAsia" w:ascii="仿宋" w:hAnsi="仿宋" w:eastAsia="仿宋" w:cs="仿宋"/>
          <w:color w:val="000000"/>
          <w:sz w:val="32"/>
          <w:szCs w:val="32"/>
        </w:rPr>
        <w:t>支出</w:t>
      </w:r>
      <w:r>
        <w:rPr>
          <w:rFonts w:ascii="仿宋" w:hAnsi="仿宋" w:eastAsia="仿宋" w:cs="仿宋"/>
          <w:color w:val="000000"/>
          <w:sz w:val="32"/>
          <w:szCs w:val="32"/>
        </w:rPr>
        <w:t>，业务培训及</w:t>
      </w:r>
      <w:r>
        <w:rPr>
          <w:rFonts w:hint="eastAsia" w:ascii="仿宋" w:hAnsi="仿宋" w:eastAsia="仿宋" w:cs="仿宋"/>
          <w:color w:val="000000"/>
          <w:sz w:val="32"/>
          <w:szCs w:val="32"/>
        </w:rPr>
        <w:t>其它对企事业单位补助</w:t>
      </w:r>
      <w:r>
        <w:rPr>
          <w:rFonts w:ascii="仿宋" w:hAnsi="仿宋" w:eastAsia="仿宋" w:cs="仿宋"/>
          <w:color w:val="000000"/>
          <w:sz w:val="32"/>
          <w:szCs w:val="32"/>
        </w:rPr>
        <w:t>等。在工作中通过成本比较的方式,对项目成本进行了控制,有效节约了成本</w:t>
      </w:r>
      <w:r>
        <w:rPr>
          <w:rFonts w:hint="eastAsia" w:ascii="仿宋" w:hAnsi="仿宋" w:eastAsia="仿宋" w:cs="仿宋"/>
          <w:color w:val="000000"/>
          <w:sz w:val="32"/>
          <w:szCs w:val="32"/>
        </w:rPr>
        <w:t>，</w:t>
      </w:r>
      <w:r>
        <w:rPr>
          <w:rFonts w:hint="eastAsia" w:ascii="仿宋" w:hAnsi="仿宋" w:eastAsia="仿宋" w:cs="宋体"/>
          <w:bCs/>
          <w:kern w:val="0"/>
          <w:sz w:val="32"/>
          <w:szCs w:val="32"/>
        </w:rPr>
        <w:t>全年对加油站、商场超市、再生资源、报废汽车、二手车经营者等种类经营主体开展检查巡查500余家次，发现和消除各类隐患40余处，</w:t>
      </w:r>
      <w:r>
        <w:rPr>
          <w:rFonts w:hint="eastAsia" w:ascii="仿宋" w:hAnsi="仿宋" w:eastAsia="仿宋" w:cs="仿宋"/>
          <w:color w:val="000000"/>
          <w:sz w:val="32"/>
          <w:szCs w:val="32"/>
        </w:rPr>
        <w:t>执行到位罚款6万元。</w:t>
      </w:r>
    </w:p>
    <w:p>
      <w:pPr>
        <w:ind w:firstLine="640"/>
        <w:rPr>
          <w:rFonts w:ascii="仿宋" w:hAnsi="仿宋" w:eastAsia="仿宋" w:cs="仿宋"/>
          <w:color w:val="000000"/>
          <w:sz w:val="32"/>
          <w:szCs w:val="32"/>
        </w:rPr>
      </w:pPr>
      <w:r>
        <w:rPr>
          <w:rFonts w:hint="eastAsia" w:ascii="仿宋" w:hAnsi="仿宋" w:eastAsia="仿宋" w:cs="仿宋"/>
          <w:color w:val="000000"/>
          <w:sz w:val="32"/>
          <w:szCs w:val="32"/>
        </w:rPr>
        <w:t xml:space="preserve"> </w:t>
      </w:r>
      <w:r>
        <w:rPr>
          <w:rFonts w:ascii="仿宋" w:hAnsi="仿宋" w:eastAsia="仿宋" w:cs="仿宋"/>
          <w:color w:val="000000"/>
          <w:sz w:val="32"/>
          <w:szCs w:val="32"/>
        </w:rPr>
        <w:t>②</w:t>
      </w:r>
      <w:r>
        <w:rPr>
          <w:rFonts w:hint="eastAsia" w:ascii="仿宋" w:hAnsi="仿宋" w:eastAsia="仿宋" w:cs="仿宋"/>
          <w:color w:val="000000"/>
          <w:sz w:val="32"/>
          <w:szCs w:val="32"/>
        </w:rPr>
        <w:t>项目效率性分析</w:t>
      </w:r>
    </w:p>
    <w:p>
      <w:pPr>
        <w:spacing w:line="576"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项目实施进度：该项目是按照省、市综合执法监督检查工作的安排逐步进行，到2020年10月底已完成了各项执法工作考核验收。</w:t>
      </w:r>
      <w:r>
        <w:rPr>
          <w:rFonts w:hint="eastAsia" w:ascii="仿宋" w:hAnsi="仿宋" w:eastAsia="仿宋" w:cs="宋体"/>
          <w:bCs/>
          <w:kern w:val="0"/>
          <w:sz w:val="32"/>
          <w:szCs w:val="32"/>
        </w:rPr>
        <w:t>深入开展成品油领域“自流黑”等各类专项整治，开展经营性巡查，加强对加油站的日常安全监管，出动执法人员60余人次，检查油站、运油车等各类经营主体80余家次，与消防、安监等部门联合执法两次，打击取缔私设加油点一处，积极推动我县加油站历史遗留问题的解决，保证了商务系统市场稳定。</w:t>
      </w:r>
    </w:p>
    <w:p>
      <w:pPr>
        <w:ind w:firstLine="640"/>
        <w:rPr>
          <w:rFonts w:ascii="仿宋" w:hAnsi="仿宋" w:eastAsia="仿宋" w:cs="仿宋"/>
          <w:color w:val="000000"/>
          <w:sz w:val="32"/>
          <w:szCs w:val="32"/>
        </w:rPr>
      </w:pPr>
      <w:r>
        <w:rPr>
          <w:rFonts w:ascii="仿宋" w:hAnsi="仿宋" w:eastAsia="仿宋" w:cs="仿宋"/>
          <w:color w:val="000000"/>
          <w:sz w:val="32"/>
          <w:szCs w:val="32"/>
        </w:rPr>
        <w:t>③</w:t>
      </w:r>
      <w:r>
        <w:rPr>
          <w:rFonts w:hint="eastAsia" w:ascii="仿宋" w:hAnsi="仿宋" w:eastAsia="仿宋" w:cs="仿宋"/>
          <w:color w:val="000000"/>
          <w:sz w:val="32"/>
          <w:szCs w:val="32"/>
        </w:rPr>
        <w:t>项目效益性分析</w:t>
      </w:r>
    </w:p>
    <w:p>
      <w:pPr>
        <w:shd w:val="clear" w:color="auto" w:fill="FFFFFF"/>
        <w:ind w:firstLine="640" w:firstLineChars="200"/>
        <w:rPr>
          <w:rFonts w:ascii="仿宋" w:hAnsi="仿宋" w:eastAsia="仿宋" w:cs="宋体"/>
          <w:bCs/>
          <w:kern w:val="0"/>
          <w:sz w:val="32"/>
          <w:szCs w:val="32"/>
        </w:rPr>
      </w:pPr>
      <w:r>
        <w:rPr>
          <w:rFonts w:hint="eastAsia" w:ascii="仿宋" w:hAnsi="仿宋" w:eastAsia="仿宋" w:cs="仿宋"/>
          <w:color w:val="000000"/>
          <w:sz w:val="32"/>
          <w:szCs w:val="32"/>
        </w:rPr>
        <w:t>通过该项目的实施全面推进依法行政，对商务领域违法行为进行查处，督促其整改到位，确保我县商务领域市场秩序良好，</w:t>
      </w:r>
      <w:r>
        <w:rPr>
          <w:rFonts w:ascii="仿宋" w:hAnsi="仿宋" w:eastAsia="仿宋" w:cs="仿宋"/>
          <w:color w:val="000000"/>
          <w:sz w:val="32"/>
          <w:szCs w:val="32"/>
        </w:rPr>
        <w:t>推动企业守法成为常态，协同推进经济发展</w:t>
      </w:r>
      <w:r>
        <w:rPr>
          <w:rFonts w:hint="eastAsia" w:ascii="仿宋" w:hAnsi="仿宋" w:eastAsia="仿宋" w:cs="仿宋"/>
          <w:color w:val="000000"/>
          <w:sz w:val="32"/>
          <w:szCs w:val="32"/>
        </w:rPr>
        <w:t>及守法安全经营</w:t>
      </w:r>
      <w:r>
        <w:rPr>
          <w:rFonts w:ascii="仿宋" w:hAnsi="仿宋" w:eastAsia="仿宋" w:cs="仿宋"/>
          <w:color w:val="000000"/>
          <w:sz w:val="32"/>
          <w:szCs w:val="32"/>
        </w:rPr>
        <w:t>，提高企业</w:t>
      </w:r>
      <w:r>
        <w:rPr>
          <w:rFonts w:hint="eastAsia" w:ascii="仿宋" w:hAnsi="仿宋" w:eastAsia="仿宋" w:cs="仿宋"/>
          <w:color w:val="000000"/>
          <w:sz w:val="32"/>
          <w:szCs w:val="32"/>
        </w:rPr>
        <w:t>安全生产</w:t>
      </w:r>
      <w:r>
        <w:rPr>
          <w:rFonts w:ascii="仿宋" w:hAnsi="仿宋" w:eastAsia="仿宋" w:cs="仿宋"/>
          <w:color w:val="000000"/>
          <w:sz w:val="32"/>
          <w:szCs w:val="32"/>
        </w:rPr>
        <w:t>发展水平</w:t>
      </w:r>
      <w:r>
        <w:rPr>
          <w:rFonts w:hint="eastAsia" w:ascii="仿宋" w:hAnsi="仿宋" w:eastAsia="仿宋" w:cs="仿宋"/>
          <w:color w:val="000000"/>
          <w:sz w:val="32"/>
          <w:szCs w:val="32"/>
        </w:rPr>
        <w:t>，有效净化了市场环境，2020年，</w:t>
      </w:r>
      <w:r>
        <w:rPr>
          <w:rFonts w:hint="eastAsia" w:ascii="仿宋" w:hAnsi="仿宋" w:eastAsia="仿宋" w:cs="宋体"/>
          <w:bCs/>
          <w:kern w:val="0"/>
          <w:sz w:val="32"/>
          <w:szCs w:val="32"/>
        </w:rPr>
        <w:t>局党委把安全生产作列入重要议题，定期召开专题会议， “始终把人民群众的生命财产安全放在首位”等安全生产理念牢固树立。经常组织商务领域安全生产专题培训，今年以来，我局已召集加油站，商场，再生资源，二手汽车等行业经营者开展了两轮安全培训，商务领域安全生产的责任意识，安全素养大大提高，</w:t>
      </w:r>
      <w:r>
        <w:rPr>
          <w:rFonts w:hint="eastAsia" w:ascii="仿宋" w:hAnsi="仿宋" w:eastAsia="仿宋" w:cs="仿宋"/>
          <w:color w:val="000000"/>
          <w:sz w:val="32"/>
          <w:szCs w:val="32"/>
        </w:rPr>
        <w:t>群众满意率达100%。</w:t>
      </w:r>
    </w:p>
    <w:p>
      <w:pPr>
        <w:pStyle w:val="2"/>
        <w:ind w:left="800"/>
        <w:rPr>
          <w:rFonts w:ascii="仿宋" w:hAnsi="仿宋" w:eastAsia="仿宋" w:cs="仿宋"/>
          <w:color w:val="000000"/>
          <w:sz w:val="32"/>
          <w:szCs w:val="32"/>
        </w:rPr>
      </w:pPr>
    </w:p>
    <w:p>
      <w:pPr>
        <w:widowControl/>
        <w:ind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rPr>
        <w:t>4. 电商产业发展资金、农村淘宝特色农副产品品牌引导资金及基层公共服务全覆盖专项建设经费</w:t>
      </w:r>
    </w:p>
    <w:p>
      <w:pPr>
        <w:ind w:firstLine="640"/>
        <w:rPr>
          <w:rFonts w:ascii="仿宋" w:hAnsi="仿宋" w:eastAsia="仿宋" w:cs="仿宋"/>
          <w:color w:val="000000"/>
          <w:sz w:val="32"/>
          <w:szCs w:val="32"/>
        </w:rPr>
      </w:pPr>
      <w:r>
        <w:rPr>
          <w:rFonts w:hint="eastAsia" w:ascii="仿宋" w:hAnsi="仿宋" w:eastAsia="仿宋" w:cs="仿宋"/>
          <w:color w:val="000000"/>
          <w:sz w:val="32"/>
          <w:szCs w:val="32"/>
        </w:rPr>
        <w:t>（1）项目绩效目标</w:t>
      </w:r>
    </w:p>
    <w:p>
      <w:pPr>
        <w:pStyle w:val="16"/>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通过农村淘宝及电子商务产业发展,促进湘潭县特色产品销售，使整个湘潭县的环境、经济、文化等各个方面的风采和特色通过“淘宝网”这个魅力平台向全世界传播,打造湘潭县电子商务品牌名片。</w:t>
      </w:r>
    </w:p>
    <w:p>
      <w:pPr>
        <w:ind w:firstLine="640"/>
        <w:rPr>
          <w:rFonts w:ascii="仿宋" w:hAnsi="仿宋" w:eastAsia="仿宋" w:cs="仿宋"/>
          <w:color w:val="000000"/>
          <w:sz w:val="32"/>
          <w:szCs w:val="32"/>
        </w:rPr>
      </w:pPr>
      <w:r>
        <w:rPr>
          <w:rFonts w:hint="eastAsia" w:ascii="仿宋" w:hAnsi="仿宋" w:eastAsia="仿宋" w:cs="仿宋"/>
          <w:color w:val="000000"/>
          <w:sz w:val="32"/>
          <w:szCs w:val="32"/>
        </w:rPr>
        <w:t>（2）资金执行情况</w:t>
      </w:r>
    </w:p>
    <w:p>
      <w:pPr>
        <w:ind w:firstLine="640"/>
        <w:rPr>
          <w:rFonts w:ascii="仿宋" w:hAnsi="仿宋" w:eastAsia="仿宋" w:cs="仿宋"/>
          <w:color w:val="000000"/>
          <w:sz w:val="32"/>
          <w:szCs w:val="32"/>
        </w:rPr>
      </w:pPr>
      <w:r>
        <w:rPr>
          <w:rFonts w:hint="eastAsia" w:ascii="仿宋" w:hAnsi="仿宋" w:eastAsia="仿宋" w:cs="仿宋"/>
          <w:color w:val="000000"/>
          <w:sz w:val="32"/>
          <w:szCs w:val="32"/>
        </w:rPr>
        <w:t>本项目年初预算安排资金160万元，用于2020年电商产业发展引导支出，具体为差旅支出6.52，印刷支出5.97万、培训费3.15万元，劳务费5.38万元，其他交通支出2.06万元，对其他企事业单位的补贴130万元，办公设备购置1.67万元等。</w:t>
      </w:r>
    </w:p>
    <w:p>
      <w:pPr>
        <w:ind w:firstLine="640"/>
        <w:rPr>
          <w:rFonts w:ascii="仿宋" w:hAnsi="仿宋" w:eastAsia="仿宋" w:cs="仿宋"/>
          <w:color w:val="000000"/>
          <w:sz w:val="32"/>
          <w:szCs w:val="32"/>
        </w:rPr>
      </w:pPr>
      <w:r>
        <w:rPr>
          <w:rFonts w:hint="eastAsia" w:ascii="仿宋" w:hAnsi="仿宋" w:eastAsia="仿宋" w:cs="仿宋"/>
          <w:color w:val="000000"/>
          <w:sz w:val="32"/>
          <w:szCs w:val="32"/>
        </w:rPr>
        <w:t>（3）项目主要绩效情况分析</w:t>
      </w:r>
    </w:p>
    <w:p>
      <w:pPr>
        <w:ind w:firstLine="640"/>
        <w:rPr>
          <w:rFonts w:ascii="仿宋" w:hAnsi="仿宋" w:eastAsia="仿宋" w:cs="仿宋"/>
          <w:color w:val="000000"/>
          <w:sz w:val="32"/>
          <w:szCs w:val="32"/>
        </w:rPr>
      </w:pPr>
      <w:r>
        <w:rPr>
          <w:rFonts w:ascii="仿宋" w:hAnsi="仿宋" w:eastAsia="仿宋" w:cs="仿宋"/>
          <w:color w:val="000000"/>
          <w:sz w:val="32"/>
          <w:szCs w:val="32"/>
        </w:rPr>
        <w:t>①</w:t>
      </w:r>
      <w:r>
        <w:rPr>
          <w:rFonts w:hint="eastAsia" w:ascii="仿宋" w:hAnsi="仿宋" w:eastAsia="仿宋" w:cs="仿宋"/>
          <w:color w:val="000000"/>
          <w:sz w:val="32"/>
          <w:szCs w:val="32"/>
        </w:rPr>
        <w:t>项目经济性分析</w:t>
      </w:r>
    </w:p>
    <w:p>
      <w:pPr>
        <w:pStyle w:val="2"/>
        <w:ind w:firstLine="640" w:firstLineChars="200"/>
        <w:rPr>
          <w:rFonts w:ascii="仿宋" w:hAnsi="仿宋" w:eastAsia="仿宋" w:cs="仿宋"/>
          <w:color w:val="000000"/>
          <w:sz w:val="32"/>
          <w:szCs w:val="32"/>
        </w:rPr>
      </w:pPr>
      <w:r>
        <w:rPr>
          <w:rFonts w:ascii="仿宋" w:hAnsi="仿宋" w:eastAsia="仿宋" w:cs="仿宋"/>
          <w:color w:val="000000"/>
          <w:sz w:val="32"/>
          <w:szCs w:val="32"/>
        </w:rPr>
        <w:t>该项目预算160万, 全部用于其它对企事业单位补助。2020年，全面推动一门式基层公共服务全覆盖，我县创新推动四站融合（电商服务站、供销服务站、金融服务站、物流服务站）建设，指导县内电商企业新建仓储3500平方米，基层村部建设45个四站融合站点，6月上旬，分别与京东、拼多多平台合作，推出了2档县长直播活动，其中京东直播现场2个多小时总观看人数突破62.5万人，点赞、评论互动数达158万人，成交单数达到25109单，合计成交金额105.6万元，针对现在最热门的直播带货及短视频制作，2020年我县组织两次村播培训，共培训180余人次，将我县非标农产品卖出去，促进农产品上行，助力乡村振兴。</w:t>
      </w:r>
    </w:p>
    <w:p>
      <w:pPr>
        <w:spacing w:line="460" w:lineRule="atLeast"/>
        <w:ind w:firstLine="640" w:firstLineChars="200"/>
        <w:rPr>
          <w:rFonts w:ascii="仿宋" w:hAnsi="仿宋" w:eastAsia="仿宋" w:cs="仿宋"/>
          <w:color w:val="000000"/>
          <w:sz w:val="32"/>
          <w:szCs w:val="32"/>
        </w:rPr>
      </w:pPr>
      <w:r>
        <w:rPr>
          <w:rFonts w:ascii="仿宋" w:hAnsi="仿宋" w:eastAsia="仿宋" w:cs="仿宋"/>
          <w:color w:val="000000"/>
          <w:sz w:val="32"/>
          <w:szCs w:val="32"/>
        </w:rPr>
        <w:t>②</w:t>
      </w:r>
      <w:r>
        <w:rPr>
          <w:rFonts w:hint="eastAsia" w:ascii="仿宋" w:hAnsi="仿宋" w:eastAsia="仿宋" w:cs="仿宋"/>
          <w:color w:val="000000"/>
          <w:sz w:val="32"/>
          <w:szCs w:val="32"/>
        </w:rPr>
        <w:t>项目效率性分析</w:t>
      </w:r>
    </w:p>
    <w:p>
      <w:pPr>
        <w:spacing w:line="46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2020年发生新冠肺炎疫情以来，为做好全县人民群众生活必需品的物资保障，尽量减少人员频繁接触，避免交叉感染，我县借助健全的电商服务体系和基础，整合物流资源，大力宣传发动，通过线上线下结合，以银河商贸为主的各大电商平台主动为广大群众提供无接触送货和免费代购服务，高峰期日订单数激增到平时的3-5倍，平台日交易额上升2-4倍，但疫情期间快递没有中断一天，有力确保了特殊时期老百姓生活稳定。同时建立健全县域电商精准扶贫机制。以电商精准扶贫为抓手，与20余家优秀电商企业及17个乡镇建立帮扶机制，其中石鼓镇将军村等28个省定贫困村结对帮扶销售贫困村的农副产品，通过部署安排、多轮走访、调度督促，连续五年位列全省电商扶贫考核优秀行列。</w:t>
      </w:r>
    </w:p>
    <w:p>
      <w:pPr>
        <w:spacing w:line="460" w:lineRule="atLeast"/>
        <w:ind w:firstLine="640" w:firstLineChars="200"/>
        <w:rPr>
          <w:rFonts w:ascii="仿宋" w:hAnsi="仿宋" w:eastAsia="仿宋" w:cs="仿宋"/>
          <w:color w:val="000000"/>
          <w:sz w:val="32"/>
          <w:szCs w:val="32"/>
        </w:rPr>
      </w:pPr>
      <w:r>
        <w:rPr>
          <w:rFonts w:ascii="仿宋" w:hAnsi="仿宋" w:eastAsia="仿宋" w:cs="仿宋"/>
          <w:color w:val="000000"/>
          <w:sz w:val="32"/>
          <w:szCs w:val="32"/>
        </w:rPr>
        <w:t>③</w:t>
      </w:r>
      <w:r>
        <w:rPr>
          <w:rFonts w:hint="eastAsia" w:ascii="仿宋" w:hAnsi="仿宋" w:eastAsia="仿宋" w:cs="仿宋"/>
          <w:color w:val="000000"/>
          <w:sz w:val="32"/>
          <w:szCs w:val="32"/>
        </w:rPr>
        <w:t>项目效益性分析</w:t>
      </w:r>
    </w:p>
    <w:p>
      <w:pPr>
        <w:pStyle w:val="2"/>
        <w:ind w:firstLine="640" w:firstLineChars="200"/>
      </w:pPr>
      <w:r>
        <w:rPr>
          <w:rFonts w:ascii="仿宋" w:hAnsi="仿宋" w:eastAsia="仿宋" w:cs="仿宋"/>
          <w:color w:val="000000"/>
          <w:sz w:val="32"/>
          <w:szCs w:val="32"/>
        </w:rPr>
        <w:t>以电商扶贫为着力点，建立健全对口帮扶机制。根据国家和省市相关帮扶政策要求，湘潭县与国家级贫困县贵州威宁县开展对口帮扶工作。一是成立工作小组，安排专人对接对口贫困县扶贫工作，协调各部门职能，形成发展合力，及时沟通解决相关问题；二是积极开展产业帮扶。利用湘潭县自身优势，组织县内电商企业积极帮助销售威宁县特色产品，帮助开设了京东·威宁特产馆，组织威宁县县长直播带货活动；三是积极帮扶培训农村电商人才。通过集中培训的方式，组织一期威宁电商人才集训营，为威宁当地电商产业发展提供了良好的技能支撑。</w:t>
      </w:r>
    </w:p>
    <w:p>
      <w:pPr>
        <w:spacing w:line="600" w:lineRule="exact"/>
        <w:ind w:left="420" w:leftChars="200" w:firstLine="320" w:firstLineChars="100"/>
        <w:rPr>
          <w:rFonts w:ascii="仿宋" w:hAnsi="仿宋" w:eastAsia="仿宋" w:cs="仿宋"/>
          <w:color w:val="000000"/>
          <w:sz w:val="32"/>
          <w:szCs w:val="32"/>
        </w:rPr>
      </w:pPr>
      <w:r>
        <w:rPr>
          <w:rFonts w:hint="eastAsia" w:ascii="仿宋" w:hAnsi="仿宋" w:eastAsia="仿宋" w:cs="仿宋"/>
          <w:color w:val="000000"/>
          <w:sz w:val="32"/>
          <w:szCs w:val="32"/>
        </w:rPr>
        <w:t>④项目的可持续性</w:t>
      </w:r>
    </w:p>
    <w:p>
      <w:pPr>
        <w:pStyle w:val="2"/>
        <w:ind w:firstLine="640" w:firstLineChars="200"/>
        <w:rPr>
          <w:rFonts w:ascii="仿宋" w:hAnsi="仿宋" w:eastAsia="仿宋" w:cs="仿宋"/>
          <w:color w:val="000000"/>
          <w:sz w:val="32"/>
          <w:szCs w:val="32"/>
        </w:rPr>
      </w:pPr>
      <w:r>
        <w:rPr>
          <w:rFonts w:ascii="仿宋" w:hAnsi="仿宋" w:eastAsia="仿宋" w:cs="仿宋"/>
          <w:color w:val="000000"/>
          <w:sz w:val="32"/>
          <w:szCs w:val="32"/>
        </w:rPr>
        <w:t>为确保项目实施后实现可持续发展，我县将每年合理安排电商发展专项资金，为项目可持续发展提供政策和资金保障。</w:t>
      </w:r>
    </w:p>
    <w:p>
      <w:pPr>
        <w:pStyle w:val="2"/>
        <w:ind w:firstLine="640" w:firstLineChars="200"/>
        <w:rPr>
          <w:rFonts w:ascii="仿宋" w:hAnsi="仿宋" w:eastAsia="仿宋" w:cs="仿宋"/>
          <w:color w:val="000000"/>
          <w:sz w:val="32"/>
          <w:szCs w:val="32"/>
        </w:rPr>
      </w:pPr>
    </w:p>
    <w:p>
      <w:pPr>
        <w:pStyle w:val="2"/>
        <w:tabs>
          <w:tab w:val="left" w:pos="312"/>
        </w:tabs>
        <w:ind w:firstLine="640" w:firstLineChars="200"/>
        <w:rPr>
          <w:rFonts w:ascii="仿宋" w:hAnsi="仿宋" w:eastAsia="仿宋" w:cs="仿宋"/>
          <w:color w:val="000000"/>
          <w:sz w:val="32"/>
          <w:szCs w:val="32"/>
        </w:rPr>
      </w:pPr>
      <w:r>
        <w:rPr>
          <w:rFonts w:ascii="仿宋" w:hAnsi="仿宋" w:eastAsia="仿宋" w:cs="仿宋"/>
          <w:color w:val="000000"/>
          <w:sz w:val="32"/>
          <w:szCs w:val="32"/>
        </w:rPr>
        <w:t>5.解决防疫物资采购经费</w:t>
      </w:r>
    </w:p>
    <w:p>
      <w:pPr>
        <w:pStyle w:val="12"/>
        <w:spacing w:line="600" w:lineRule="exact"/>
        <w:ind w:left="420" w:leftChars="200" w:firstLine="313" w:firstLineChars="98"/>
        <w:rPr>
          <w:rFonts w:ascii="仿宋" w:hAnsi="仿宋" w:eastAsia="仿宋"/>
          <w:b/>
          <w:sz w:val="32"/>
          <w:szCs w:val="32"/>
        </w:rPr>
      </w:pPr>
      <w:r>
        <w:rPr>
          <w:rFonts w:hint="eastAsia" w:ascii="仿宋" w:hAnsi="仿宋" w:eastAsia="仿宋"/>
          <w:b/>
          <w:sz w:val="32"/>
          <w:szCs w:val="32"/>
        </w:rPr>
        <w:t>（1）项目资金投入情况</w:t>
      </w:r>
    </w:p>
    <w:p>
      <w:pPr>
        <w:spacing w:line="600" w:lineRule="exact"/>
        <w:ind w:firstLine="640" w:firstLineChars="200"/>
        <w:rPr>
          <w:rFonts w:ascii="仿宋" w:hAnsi="仿宋" w:eastAsia="仿宋" w:cs="宋体"/>
          <w:kern w:val="0"/>
          <w:sz w:val="32"/>
          <w:szCs w:val="32"/>
        </w:rPr>
      </w:pPr>
      <w:r>
        <w:rPr>
          <w:rFonts w:hint="eastAsia" w:ascii="仿宋" w:hAnsi="仿宋" w:eastAsia="仿宋"/>
          <w:sz w:val="32"/>
          <w:szCs w:val="32"/>
        </w:rPr>
        <w:t>2020年度县商务局</w:t>
      </w:r>
      <w:r>
        <w:rPr>
          <w:rFonts w:hint="eastAsia" w:ascii="仿宋" w:hAnsi="仿宋" w:eastAsia="仿宋" w:cs="宋体"/>
          <w:kern w:val="0"/>
          <w:sz w:val="32"/>
          <w:szCs w:val="32"/>
        </w:rPr>
        <w:t>采购防疫物资经费总预算20万元，资金到位20万元，到位率100%。</w:t>
      </w:r>
    </w:p>
    <w:p>
      <w:pPr>
        <w:pStyle w:val="12"/>
        <w:spacing w:line="600" w:lineRule="exact"/>
        <w:ind w:left="420" w:leftChars="200" w:firstLine="320" w:firstLineChars="100"/>
        <w:rPr>
          <w:rFonts w:ascii="仿宋" w:hAnsi="仿宋" w:eastAsia="仿宋" w:cs="宋体"/>
          <w:kern w:val="0"/>
          <w:sz w:val="32"/>
          <w:szCs w:val="32"/>
        </w:rPr>
      </w:pPr>
      <w:r>
        <w:rPr>
          <w:rFonts w:hint="eastAsia" w:ascii="仿宋" w:hAnsi="仿宋" w:eastAsia="仿宋" w:cs="宋体"/>
          <w:kern w:val="0"/>
          <w:sz w:val="32"/>
          <w:szCs w:val="32"/>
        </w:rPr>
        <w:t>（2）项目资金执行情况</w:t>
      </w:r>
    </w:p>
    <w:p>
      <w:pPr>
        <w:pStyle w:val="12"/>
        <w:spacing w:line="600" w:lineRule="exact"/>
        <w:ind w:left="420" w:leftChars="200" w:firstLine="640"/>
        <w:rPr>
          <w:rFonts w:ascii="仿宋" w:hAnsi="仿宋" w:eastAsia="仿宋" w:cs="宋体"/>
          <w:kern w:val="0"/>
          <w:sz w:val="32"/>
          <w:szCs w:val="32"/>
        </w:rPr>
      </w:pPr>
      <w:r>
        <w:rPr>
          <w:rFonts w:hint="eastAsia" w:ascii="仿宋" w:hAnsi="仿宋" w:eastAsia="仿宋" w:cs="宋体"/>
          <w:kern w:val="0"/>
          <w:sz w:val="32"/>
          <w:szCs w:val="32"/>
        </w:rPr>
        <w:t>截止到2020年12月30日，2020年度抗疫特别国债资金用于疫情防控资金总计20万元、共计执行20万元，执行率100%，具体如下：主要有用于商务领域防疫物资（防护服、口罩、体温计、消毒液等）18万元；社区疫情防控经费2万元。</w:t>
      </w:r>
    </w:p>
    <w:p>
      <w:pPr>
        <w:pStyle w:val="12"/>
        <w:spacing w:line="600" w:lineRule="exact"/>
        <w:ind w:left="420" w:leftChars="200" w:firstLine="320" w:firstLineChars="100"/>
        <w:rPr>
          <w:rFonts w:ascii="仿宋" w:hAnsi="仿宋" w:eastAsia="仿宋" w:cs="宋体"/>
          <w:kern w:val="0"/>
          <w:sz w:val="32"/>
          <w:szCs w:val="32"/>
        </w:rPr>
      </w:pPr>
      <w:r>
        <w:rPr>
          <w:rFonts w:hint="eastAsia" w:ascii="仿宋" w:hAnsi="仿宋" w:eastAsia="仿宋" w:cs="宋体"/>
          <w:kern w:val="0"/>
          <w:sz w:val="32"/>
          <w:szCs w:val="32"/>
        </w:rPr>
        <w:t>（3）项目资金管理情况</w:t>
      </w:r>
    </w:p>
    <w:p>
      <w:pPr>
        <w:pStyle w:val="12"/>
        <w:spacing w:line="600" w:lineRule="exact"/>
        <w:ind w:left="420" w:leftChars="200" w:firstLine="640"/>
        <w:rPr>
          <w:rFonts w:ascii="仿宋" w:hAnsi="仿宋" w:eastAsia="仿宋" w:cs="仿宋"/>
          <w:color w:val="000000"/>
          <w:sz w:val="32"/>
          <w:szCs w:val="32"/>
        </w:rPr>
      </w:pPr>
      <w:r>
        <w:rPr>
          <w:rFonts w:hint="eastAsia" w:ascii="仿宋" w:hAnsi="仿宋" w:eastAsia="仿宋" w:cs="宋体"/>
          <w:kern w:val="0"/>
          <w:sz w:val="32"/>
          <w:szCs w:val="32"/>
        </w:rPr>
        <w:t>2020年，我局对抗疫特别国债资金项目经费实行专款专用，全部由拨付专项用于疫情，资金拨付严格按照指标专</w:t>
      </w:r>
      <w:r>
        <w:rPr>
          <w:rFonts w:hint="eastAsia" w:ascii="仿宋" w:hAnsi="仿宋" w:eastAsia="仿宋" w:cs="仿宋"/>
          <w:color w:val="000000"/>
          <w:sz w:val="32"/>
          <w:szCs w:val="32"/>
        </w:rPr>
        <w:t>款专用。</w:t>
      </w:r>
    </w:p>
    <w:p>
      <w:pPr>
        <w:pStyle w:val="12"/>
        <w:shd w:val="clear" w:color="auto" w:fill="FFFFFF"/>
        <w:ind w:left="420" w:leftChars="200" w:firstLine="320" w:firstLineChars="100"/>
        <w:rPr>
          <w:rFonts w:ascii="仿宋" w:hAnsi="仿宋" w:eastAsia="仿宋" w:cs="仿宋"/>
          <w:color w:val="000000"/>
          <w:sz w:val="32"/>
          <w:szCs w:val="32"/>
        </w:rPr>
      </w:pPr>
      <w:r>
        <w:rPr>
          <w:rFonts w:hint="eastAsia" w:ascii="仿宋" w:hAnsi="仿宋" w:eastAsia="仿宋" w:cs="仿宋"/>
          <w:color w:val="000000"/>
          <w:sz w:val="32"/>
          <w:szCs w:val="32"/>
        </w:rPr>
        <w:t>（4）总体绩效目标完成情况</w:t>
      </w:r>
    </w:p>
    <w:p>
      <w:pPr>
        <w:shd w:val="clear" w:color="auto" w:fill="FFFFFF"/>
        <w:spacing w:line="360" w:lineRule="auto"/>
        <w:ind w:firstLine="800" w:firstLineChars="250"/>
        <w:rPr>
          <w:rFonts w:ascii="仿宋" w:hAnsi="仿宋" w:eastAsia="仿宋" w:cs="仿宋"/>
          <w:color w:val="000000"/>
          <w:sz w:val="32"/>
          <w:szCs w:val="32"/>
        </w:rPr>
      </w:pPr>
      <w:r>
        <w:rPr>
          <w:rFonts w:hint="eastAsia" w:ascii="仿宋" w:hAnsi="仿宋" w:eastAsia="仿宋" w:cs="仿宋"/>
          <w:color w:val="000000"/>
          <w:sz w:val="32"/>
          <w:szCs w:val="32"/>
        </w:rPr>
        <w:t>针对国内爆发新冠肺炎疫情，切实做好新冠肺炎疫情防控工作，我局成立疫情防控工作领导小组，制定专项工作方案，组织召开调度会20余次，与乡镇、商贸流通领域企业联系2000余次，跟踪督导400余次。开展联防联控200余次，编发《每日简报》48期。主动服务企业复工复产，累计给防疫一线工作人员、商贸流通领域企业、脱贫攻坚联点乡镇配发口罩3万余个、酒精1000余斤、84消毒液1000余斤、体温枪9支、手套、护目镜、防护服等1批。组织县餐饮协会配送爱心盒饭3000余份。</w:t>
      </w:r>
      <w:r>
        <w:rPr>
          <w:rFonts w:ascii="仿宋" w:hAnsi="仿宋" w:eastAsia="仿宋" w:cs="仿宋"/>
          <w:color w:val="000000"/>
          <w:sz w:val="32"/>
          <w:szCs w:val="32"/>
        </w:rPr>
        <w:t>倡议开展集体用餐配送服务</w:t>
      </w:r>
      <w:r>
        <w:rPr>
          <w:rFonts w:hint="eastAsia" w:ascii="仿宋" w:hAnsi="仿宋" w:eastAsia="仿宋" w:cs="仿宋"/>
          <w:color w:val="000000"/>
          <w:sz w:val="32"/>
          <w:szCs w:val="32"/>
        </w:rPr>
        <w:t>，首批5家餐饮单位累计配送2万份。全力协助企业复工复产，27家实绩生产型外贸企业最早复工，其工作成效被《省委要情汇报》、湖南日报等采用。积极组织全局党员干部参加抗击疫情募捐工作，接收59名在职及离退休党员干部捐款15920元。选派12名优秀干部到企业开展帮扶，指导帮助企业做好防疫监督和信息收集工作，驻企联络员独创的“销售四步法”，得到企业认可。</w:t>
      </w:r>
      <w:r>
        <w:rPr>
          <w:rFonts w:hint="eastAsia" w:ascii="仿宋" w:hAnsi="仿宋" w:eastAsia="仿宋" w:cs="仿宋"/>
          <w:color w:val="000000"/>
          <w:sz w:val="32"/>
          <w:szCs w:val="32"/>
          <w:lang w:eastAsia="zh-CN"/>
        </w:rPr>
        <w:t>“</w:t>
      </w:r>
      <w:bookmarkStart w:id="2" w:name="_GoBack"/>
      <w:bookmarkEnd w:id="2"/>
      <w:r>
        <w:rPr>
          <w:rFonts w:hint="eastAsia" w:ascii="仿宋" w:hAnsi="仿宋" w:eastAsia="仿宋" w:cs="仿宋"/>
          <w:color w:val="000000"/>
          <w:sz w:val="32"/>
          <w:szCs w:val="32"/>
        </w:rPr>
        <w:t>六稳</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六保</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方面：一是帮助企业走出去。组织我县特色产品和特色企业参会参展，提高市场认知度拓宽销售渠道。二是把消费者引回来。着力打造莲乡特色消费平台，将我县特色餐饮、购物、农业、人文旅游、垂钓、娱乐、休闲等精品项目在平台展示推广，吸引特色消费。组织举办在有吸引力，有影响力的节会、展会活动，聚集人气，促进消费。组织重点行业领域大型促销活动，倡导全县41家加油站参加夜间加油优惠活动；组织餐协等行业协会举办“美食嘉年华”“消费促进月”活动。因“两稳一促”工作具体示范性，十月份作为基层代表在湖南省商务厅工作座谈会上作典型性经验介绍。</w:t>
      </w:r>
    </w:p>
    <w:p>
      <w:pPr>
        <w:pStyle w:val="12"/>
        <w:spacing w:line="360" w:lineRule="auto"/>
        <w:ind w:left="420" w:firstLine="0" w:firstLineChars="0"/>
        <w:rPr>
          <w:rFonts w:ascii="仿宋" w:hAnsi="仿宋" w:eastAsia="仿宋" w:cs="仿宋"/>
          <w:color w:val="000000"/>
          <w:sz w:val="32"/>
          <w:szCs w:val="32"/>
        </w:rPr>
      </w:pPr>
      <w:r>
        <w:rPr>
          <w:rFonts w:hint="eastAsia" w:ascii="仿宋" w:hAnsi="仿宋" w:eastAsia="仿宋" w:cs="仿宋"/>
          <w:color w:val="000000"/>
          <w:sz w:val="32"/>
          <w:szCs w:val="32"/>
        </w:rPr>
        <w:t>（5）绩效指标完成情况</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本项目共设置以及指标2个，二级指标9个，三级指标9个；指标完成率为100%，数量指标-督查检查达100次，实际400余次，完成率400%；政策宣传达10次，实际完成20次，指标完成率200%；质量指标-物资合格率达100%，实际达标率100%；时效指标-完成时间2020年6月前，实际2020年月前完成资金支付，指标完成100%；成本指标-采购批次达20次，实际完成100%；效益指标-发展和完善疫情防控工作体系，对人民生命安全负责，维护群众身体健康，完成率100%；可持续影响指标-引导商务领域加油站、商超等行业稳定发展，完成率100%；满意度指标-人民群众满意度100%，完成率100%。</w:t>
      </w:r>
    </w:p>
    <w:p>
      <w:pPr>
        <w:pStyle w:val="2"/>
      </w:pPr>
    </w:p>
    <w:p>
      <w:pPr>
        <w:pStyle w:val="18"/>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6.改制遗留问题及信访维稳工作经费</w:t>
      </w:r>
    </w:p>
    <w:p>
      <w:pPr>
        <w:spacing w:line="360" w:lineRule="auto"/>
        <w:ind w:firstLine="320" w:firstLineChars="100"/>
        <w:rPr>
          <w:rFonts w:ascii="仿宋" w:hAnsi="仿宋" w:eastAsia="仿宋" w:cs="仿宋"/>
          <w:color w:val="000000"/>
          <w:sz w:val="32"/>
          <w:szCs w:val="32"/>
        </w:rPr>
      </w:pPr>
      <w:r>
        <w:rPr>
          <w:rFonts w:hint="eastAsia" w:ascii="仿宋" w:hAnsi="仿宋" w:eastAsia="仿宋" w:cs="仿宋"/>
          <w:color w:val="000000"/>
          <w:sz w:val="32"/>
          <w:szCs w:val="32"/>
        </w:rPr>
        <w:t>（1）项目绩效目标</w:t>
      </w:r>
    </w:p>
    <w:p>
      <w:pPr>
        <w:pStyle w:val="18"/>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项目绩效总目标：使我局信访工作基本做到有规可依，推动信访工作的开展，增强工作可操作性，提高信访工作整体水平，确保全年局机关各项工作持续稳定。</w:t>
      </w:r>
    </w:p>
    <w:p>
      <w:pPr>
        <w:pStyle w:val="18"/>
        <w:spacing w:line="360" w:lineRule="auto"/>
        <w:ind w:firstLine="640" w:firstLineChars="200"/>
        <w:rPr>
          <w:rFonts w:ascii="仿宋" w:hAnsi="仿宋" w:eastAsia="仿宋" w:cs="仿宋"/>
          <w:color w:val="000000"/>
          <w:sz w:val="32"/>
          <w:szCs w:val="32"/>
        </w:rPr>
      </w:pPr>
      <w:r>
        <w:rPr>
          <w:rFonts w:ascii="仿宋" w:hAnsi="仿宋" w:eastAsia="仿宋" w:cs="仿宋"/>
          <w:color w:val="000000"/>
          <w:sz w:val="32"/>
          <w:szCs w:val="32"/>
        </w:rPr>
        <w:t>项目年度绩效目标：切实加大不稳定因素的排查、化解、稳控工作力度；确保全年系统稳定，积极化解各类矛盾纠纷。</w:t>
      </w:r>
    </w:p>
    <w:p>
      <w:pPr>
        <w:numPr>
          <w:ilvl w:val="0"/>
          <w:numId w:val="3"/>
        </w:numPr>
        <w:spacing w:line="460" w:lineRule="atLeast"/>
        <w:ind w:firstLine="320" w:firstLineChars="100"/>
        <w:rPr>
          <w:rFonts w:ascii="仿宋" w:hAnsi="仿宋" w:eastAsia="仿宋" w:cs="仿宋"/>
          <w:color w:val="000000"/>
          <w:sz w:val="32"/>
          <w:szCs w:val="32"/>
        </w:rPr>
      </w:pPr>
      <w:r>
        <w:rPr>
          <w:rFonts w:hint="eastAsia" w:ascii="仿宋" w:hAnsi="仿宋" w:eastAsia="仿宋" w:cs="仿宋"/>
          <w:color w:val="000000"/>
          <w:sz w:val="32"/>
          <w:szCs w:val="32"/>
        </w:rPr>
        <w:t>资金执行情况</w:t>
      </w:r>
    </w:p>
    <w:p>
      <w:pPr>
        <w:spacing w:line="46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2020年信访维稳专项资金20万元，资金主要用于企业改制维稳、扶贫等中心工作，资金按照财政专项资金审批程序下达，并做到了专款专用，具体支出如下：对个人及家庭补助支出（驻村等）15.8万元，差旅及交通费支出0.69万，办公费0.81万，委托劳务费4.32万元等。</w:t>
      </w:r>
    </w:p>
    <w:p>
      <w:pPr>
        <w:pStyle w:val="17"/>
        <w:numPr>
          <w:ilvl w:val="0"/>
          <w:numId w:val="2"/>
        </w:numPr>
        <w:spacing w:line="600" w:lineRule="atLeast"/>
        <w:ind w:firstLine="640"/>
        <w:rPr>
          <w:rFonts w:ascii="仿宋" w:hAnsi="仿宋" w:eastAsia="仿宋" w:cs="仿宋"/>
          <w:color w:val="000000"/>
          <w:kern w:val="2"/>
          <w:sz w:val="32"/>
          <w:szCs w:val="32"/>
        </w:rPr>
      </w:pPr>
      <w:r>
        <w:rPr>
          <w:rFonts w:hint="eastAsia" w:ascii="仿宋" w:hAnsi="仿宋" w:eastAsia="仿宋" w:cs="仿宋"/>
          <w:color w:val="000000"/>
          <w:kern w:val="2"/>
          <w:sz w:val="32"/>
          <w:szCs w:val="32"/>
        </w:rPr>
        <w:t>项目主要绩效情况分析</w:t>
      </w:r>
    </w:p>
    <w:p>
      <w:pPr>
        <w:pStyle w:val="19"/>
        <w:spacing w:line="560" w:lineRule="exact"/>
        <w:ind w:firstLine="640" w:firstLineChars="200"/>
        <w:rPr>
          <w:rFonts w:ascii="仿宋" w:hAnsi="仿宋" w:eastAsia="仿宋" w:cs="仿宋"/>
          <w:kern w:val="2"/>
          <w:sz w:val="32"/>
          <w:szCs w:val="32"/>
        </w:rPr>
      </w:pPr>
      <w:r>
        <w:rPr>
          <w:rFonts w:ascii="仿宋" w:hAnsi="仿宋" w:eastAsia="仿宋" w:cs="仿宋"/>
          <w:kern w:val="2"/>
          <w:sz w:val="32"/>
          <w:szCs w:val="32"/>
        </w:rPr>
        <w:t>①</w:t>
      </w:r>
      <w:r>
        <w:rPr>
          <w:rFonts w:hint="eastAsia" w:ascii="仿宋" w:hAnsi="仿宋" w:eastAsia="仿宋" w:cs="仿宋"/>
          <w:kern w:val="2"/>
          <w:sz w:val="32"/>
          <w:szCs w:val="32"/>
        </w:rPr>
        <w:t>项目经济性分析</w:t>
      </w:r>
    </w:p>
    <w:p>
      <w:pPr>
        <w:pStyle w:val="19"/>
        <w:spacing w:line="560" w:lineRule="exact"/>
        <w:rPr>
          <w:rFonts w:ascii="仿宋" w:hAnsi="仿宋" w:eastAsia="仿宋" w:cs="仿宋"/>
          <w:kern w:val="2"/>
          <w:sz w:val="32"/>
          <w:szCs w:val="32"/>
        </w:rPr>
      </w:pPr>
      <w:r>
        <w:rPr>
          <w:rFonts w:hint="eastAsia" w:ascii="仿宋" w:hAnsi="仿宋" w:eastAsia="仿宋" w:cs="仿宋"/>
          <w:kern w:val="2"/>
          <w:sz w:val="32"/>
          <w:szCs w:val="32"/>
        </w:rPr>
        <w:t xml:space="preserve">    我单位下属企业改制后，遗留问题多，信访维稳压力大。本项目的实施能积极化解矛盾纠纷，确保全系统的平安稳定，以利工作正常开展，确保一方平安。资金全部用于改制遗留问题的处理及信访维稳工作过程中产生的相关费用。</w:t>
      </w:r>
    </w:p>
    <w:p>
      <w:pPr>
        <w:pStyle w:val="19"/>
        <w:spacing w:line="560" w:lineRule="exact"/>
        <w:rPr>
          <w:rFonts w:ascii="仿宋" w:hAnsi="仿宋" w:eastAsia="仿宋" w:cs="仿宋"/>
          <w:kern w:val="2"/>
          <w:sz w:val="32"/>
          <w:szCs w:val="32"/>
        </w:rPr>
      </w:pPr>
      <w:r>
        <w:rPr>
          <w:rFonts w:hint="eastAsia" w:ascii="仿宋" w:hAnsi="仿宋" w:eastAsia="仿宋" w:cs="仿宋"/>
          <w:kern w:val="2"/>
          <w:sz w:val="32"/>
          <w:szCs w:val="32"/>
        </w:rPr>
        <w:t xml:space="preserve">    </w:t>
      </w:r>
      <w:r>
        <w:rPr>
          <w:rFonts w:ascii="仿宋" w:hAnsi="仿宋" w:eastAsia="仿宋" w:cs="仿宋"/>
          <w:kern w:val="2"/>
          <w:sz w:val="32"/>
          <w:szCs w:val="32"/>
        </w:rPr>
        <w:t>②</w:t>
      </w:r>
      <w:r>
        <w:rPr>
          <w:rFonts w:hint="eastAsia" w:ascii="仿宋" w:hAnsi="仿宋" w:eastAsia="仿宋" w:cs="仿宋"/>
          <w:kern w:val="2"/>
          <w:sz w:val="32"/>
          <w:szCs w:val="32"/>
        </w:rPr>
        <w:t>项目效率性分析</w:t>
      </w:r>
    </w:p>
    <w:p>
      <w:pPr>
        <w:pStyle w:val="19"/>
        <w:spacing w:line="560" w:lineRule="exact"/>
        <w:rPr>
          <w:rFonts w:ascii="仿宋" w:hAnsi="仿宋" w:eastAsia="仿宋" w:cs="仿宋"/>
          <w:kern w:val="2"/>
          <w:sz w:val="32"/>
          <w:szCs w:val="32"/>
        </w:rPr>
      </w:pPr>
      <w:r>
        <w:rPr>
          <w:rFonts w:hint="eastAsia" w:ascii="仿宋" w:hAnsi="仿宋" w:eastAsia="仿宋" w:cs="仿宋"/>
          <w:kern w:val="2"/>
          <w:sz w:val="32"/>
          <w:szCs w:val="32"/>
        </w:rPr>
        <w:t xml:space="preserve">    本项目的确立符合综治维稳及信访有关规定，能有效缓解矛盾的产生，构建和谐社会。</w:t>
      </w:r>
    </w:p>
    <w:p>
      <w:pPr>
        <w:pStyle w:val="19"/>
        <w:spacing w:line="560" w:lineRule="exact"/>
        <w:ind w:firstLine="640"/>
        <w:rPr>
          <w:rFonts w:ascii="仿宋" w:hAnsi="仿宋" w:eastAsia="仿宋" w:cs="仿宋"/>
          <w:kern w:val="2"/>
          <w:sz w:val="32"/>
          <w:szCs w:val="32"/>
        </w:rPr>
      </w:pPr>
      <w:r>
        <w:rPr>
          <w:rFonts w:hint="eastAsia" w:ascii="仿宋" w:hAnsi="仿宋" w:eastAsia="仿宋" w:cs="仿宋"/>
          <w:kern w:val="2"/>
          <w:sz w:val="32"/>
          <w:szCs w:val="32"/>
        </w:rPr>
        <w:t>全年信访维稳专项资金支出依据合规，无虚列项目支出情况、无截留挤占挪用情况、无超标准开支情况、无超预算情况。</w:t>
      </w:r>
    </w:p>
    <w:p>
      <w:pPr>
        <w:spacing w:line="576" w:lineRule="exact"/>
        <w:rPr>
          <w:rFonts w:ascii="仿宋" w:hAnsi="仿宋" w:eastAsia="仿宋" w:cs="仿宋"/>
          <w:color w:val="000000"/>
          <w:sz w:val="32"/>
          <w:szCs w:val="32"/>
        </w:rPr>
      </w:pPr>
    </w:p>
    <w:p>
      <w:pPr>
        <w:spacing w:line="46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四．部门整体支出取得成绩</w:t>
      </w:r>
    </w:p>
    <w:p>
      <w:pPr>
        <w:spacing w:line="46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我局</w:t>
      </w:r>
      <w:r>
        <w:rPr>
          <w:rFonts w:ascii="仿宋" w:hAnsi="仿宋" w:eastAsia="仿宋" w:cs="仿宋"/>
          <w:color w:val="000000"/>
          <w:sz w:val="32"/>
          <w:szCs w:val="32"/>
        </w:rPr>
        <w:t>根据</w:t>
      </w:r>
      <w:r>
        <w:rPr>
          <w:rFonts w:hint="eastAsia" w:ascii="仿宋" w:hAnsi="仿宋" w:eastAsia="仿宋" w:cs="仿宋"/>
          <w:color w:val="000000"/>
          <w:sz w:val="32"/>
          <w:szCs w:val="32"/>
        </w:rPr>
        <w:t>2020</w:t>
      </w:r>
      <w:r>
        <w:rPr>
          <w:rFonts w:ascii="仿宋" w:hAnsi="仿宋" w:eastAsia="仿宋" w:cs="仿宋"/>
          <w:color w:val="000000"/>
          <w:sz w:val="32"/>
          <w:szCs w:val="32"/>
        </w:rPr>
        <w:t>年</w:t>
      </w:r>
      <w:r>
        <w:rPr>
          <w:rFonts w:hint="eastAsia" w:ascii="仿宋" w:hAnsi="仿宋" w:eastAsia="仿宋" w:cs="仿宋"/>
          <w:color w:val="000000"/>
          <w:sz w:val="32"/>
          <w:szCs w:val="32"/>
        </w:rPr>
        <w:t>县委、县政府</w:t>
      </w:r>
      <w:r>
        <w:rPr>
          <w:rFonts w:ascii="仿宋" w:hAnsi="仿宋" w:eastAsia="仿宋" w:cs="仿宋"/>
          <w:color w:val="000000"/>
          <w:sz w:val="32"/>
          <w:szCs w:val="32"/>
        </w:rPr>
        <w:t>工作任务指标的要求，对照</w:t>
      </w:r>
      <w:r>
        <w:rPr>
          <w:rFonts w:hint="eastAsia" w:ascii="仿宋" w:hAnsi="仿宋" w:eastAsia="仿宋" w:cs="仿宋"/>
          <w:color w:val="000000"/>
          <w:sz w:val="32"/>
          <w:szCs w:val="32"/>
        </w:rPr>
        <w:t>年度</w:t>
      </w:r>
      <w:r>
        <w:rPr>
          <w:rFonts w:ascii="仿宋" w:hAnsi="仿宋" w:eastAsia="仿宋" w:cs="仿宋"/>
          <w:color w:val="000000"/>
          <w:sz w:val="32"/>
          <w:szCs w:val="32"/>
        </w:rPr>
        <w:t>绩效目标开展绩效自评</w:t>
      </w:r>
      <w:r>
        <w:rPr>
          <w:rFonts w:hint="eastAsia" w:ascii="仿宋" w:hAnsi="仿宋" w:eastAsia="仿宋" w:cs="仿宋"/>
          <w:color w:val="000000"/>
          <w:sz w:val="32"/>
          <w:szCs w:val="32"/>
        </w:rPr>
        <w:t>，</w:t>
      </w:r>
      <w:r>
        <w:rPr>
          <w:rFonts w:ascii="仿宋" w:hAnsi="仿宋" w:eastAsia="仿宋" w:cs="仿宋"/>
          <w:color w:val="000000"/>
          <w:sz w:val="32"/>
          <w:szCs w:val="32"/>
        </w:rPr>
        <w:t>20</w:t>
      </w:r>
      <w:r>
        <w:rPr>
          <w:rFonts w:hint="eastAsia" w:ascii="仿宋" w:hAnsi="仿宋" w:eastAsia="仿宋" w:cs="仿宋"/>
          <w:color w:val="000000"/>
          <w:sz w:val="32"/>
          <w:szCs w:val="32"/>
        </w:rPr>
        <w:t>20</w:t>
      </w:r>
      <w:r>
        <w:rPr>
          <w:rFonts w:ascii="仿宋" w:hAnsi="仿宋" w:eastAsia="仿宋" w:cs="仿宋"/>
          <w:color w:val="000000"/>
          <w:sz w:val="32"/>
          <w:szCs w:val="32"/>
        </w:rPr>
        <w:t>年绩效指标完成情况</w:t>
      </w:r>
      <w:r>
        <w:rPr>
          <w:rFonts w:hint="eastAsia" w:ascii="仿宋" w:hAnsi="仿宋" w:eastAsia="仿宋" w:cs="仿宋"/>
          <w:color w:val="000000"/>
          <w:sz w:val="32"/>
          <w:szCs w:val="32"/>
        </w:rPr>
        <w:t>如下</w:t>
      </w:r>
      <w:r>
        <w:rPr>
          <w:rFonts w:ascii="仿宋" w:hAnsi="仿宋" w:eastAsia="仿宋" w:cs="仿宋"/>
          <w:color w:val="000000"/>
          <w:sz w:val="32"/>
          <w:szCs w:val="32"/>
        </w:rPr>
        <w:t>：产出指标任务完成率100%</w:t>
      </w:r>
      <w:r>
        <w:rPr>
          <w:rFonts w:hint="eastAsia" w:ascii="仿宋" w:hAnsi="仿宋" w:eastAsia="仿宋" w:cs="仿宋"/>
          <w:color w:val="000000"/>
          <w:sz w:val="32"/>
          <w:szCs w:val="32"/>
        </w:rPr>
        <w:t>，</w:t>
      </w:r>
      <w:r>
        <w:rPr>
          <w:rFonts w:ascii="仿宋" w:hAnsi="仿宋" w:eastAsia="仿宋" w:cs="仿宋"/>
          <w:color w:val="000000"/>
          <w:sz w:val="32"/>
          <w:szCs w:val="32"/>
        </w:rPr>
        <w:t>效益指标按时完成</w:t>
      </w:r>
      <w:r>
        <w:rPr>
          <w:rFonts w:hint="eastAsia" w:ascii="仿宋" w:hAnsi="仿宋" w:eastAsia="仿宋" w:cs="仿宋"/>
          <w:color w:val="000000"/>
          <w:sz w:val="32"/>
          <w:szCs w:val="32"/>
        </w:rPr>
        <w:t>，</w:t>
      </w:r>
      <w:r>
        <w:rPr>
          <w:rFonts w:ascii="仿宋" w:hAnsi="仿宋" w:eastAsia="仿宋" w:cs="仿宋"/>
          <w:color w:val="000000"/>
          <w:sz w:val="32"/>
          <w:szCs w:val="32"/>
        </w:rPr>
        <w:t>满意度指标达到预期效果</w:t>
      </w:r>
      <w:r>
        <w:rPr>
          <w:rFonts w:hint="eastAsia" w:ascii="仿宋" w:hAnsi="仿宋" w:eastAsia="仿宋" w:cs="仿宋"/>
          <w:color w:val="000000"/>
          <w:sz w:val="32"/>
          <w:szCs w:val="32"/>
        </w:rPr>
        <w:t>。</w:t>
      </w:r>
    </w:p>
    <w:p>
      <w:pPr>
        <w:spacing w:line="460" w:lineRule="atLeast"/>
        <w:ind w:firstLine="640" w:firstLineChars="200"/>
        <w:rPr>
          <w:rFonts w:ascii="仿宋" w:hAnsi="仿宋" w:eastAsia="仿宋" w:cs="仿宋"/>
          <w:color w:val="000000"/>
          <w:sz w:val="32"/>
          <w:szCs w:val="32"/>
        </w:rPr>
      </w:pPr>
      <w:r>
        <w:rPr>
          <w:rFonts w:ascii="仿宋" w:hAnsi="仿宋" w:eastAsia="仿宋" w:cs="仿宋"/>
          <w:color w:val="000000"/>
          <w:sz w:val="32"/>
          <w:szCs w:val="32"/>
        </w:rPr>
        <w:t>预算安排资金在本年度内达到了预期的产出和效果工作目标，较好的完成了年初确定的各项工作任务：</w:t>
      </w:r>
    </w:p>
    <w:p>
      <w:pPr>
        <w:spacing w:line="46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w:t>
      </w:r>
      <w:r>
        <w:rPr>
          <w:rFonts w:ascii="仿宋" w:hAnsi="仿宋" w:eastAsia="仿宋" w:cs="仿宋"/>
          <w:color w:val="000000"/>
          <w:sz w:val="32"/>
          <w:szCs w:val="32"/>
        </w:rPr>
        <w:t>社会消费品零售总额完成情况</w:t>
      </w:r>
    </w:p>
    <w:p>
      <w:pPr>
        <w:spacing w:line="576"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总额实现108.95亿元，</w:t>
      </w:r>
      <w:r>
        <w:rPr>
          <w:rFonts w:hint="eastAsia" w:ascii="仿宋" w:hAnsi="仿宋" w:eastAsia="仿宋"/>
          <w:sz w:val="32"/>
          <w:szCs w:val="32"/>
        </w:rPr>
        <w:t>增幅在全市五个县（市、区）中排名并列第一，</w:t>
      </w:r>
      <w:r>
        <w:rPr>
          <w:rFonts w:hint="eastAsia" w:ascii="仿宋" w:hAnsi="仿宋" w:eastAsia="仿宋" w:cs="仿宋"/>
          <w:color w:val="000000"/>
          <w:sz w:val="32"/>
          <w:szCs w:val="32"/>
        </w:rPr>
        <w:t>培育限额商贸流通企业13家。</w:t>
      </w:r>
    </w:p>
    <w:p>
      <w:pPr>
        <w:spacing w:line="46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w:t>
      </w:r>
      <w:r>
        <w:rPr>
          <w:rFonts w:ascii="仿宋" w:hAnsi="仿宋" w:eastAsia="仿宋" w:cs="仿宋"/>
          <w:color w:val="000000"/>
          <w:sz w:val="32"/>
          <w:szCs w:val="32"/>
        </w:rPr>
        <w:t>对外贸易额完成情况</w:t>
      </w:r>
    </w:p>
    <w:p>
      <w:pPr>
        <w:spacing w:line="460" w:lineRule="atLeast"/>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全年完成进出口总额27970万美元，同比增长27.22%，全年产生实绩的企业45家。新办外贸备案登记企业18家，新增破零企业15家，新增倍增企业6家。二是深化外经贸企业引进。成功引进外向型企业湖南朗道物联科技有限公司，至12月底实现进出口额4400万美元。三是持续提升涉企服务。积极开展外贸企业走访调研，落实我县支持鼓励开放型经济发展资金的申报工作，全年为外贸企业申请项目资金200余万元；为企业提供资询及疑难解答100余家次，组织培训100人次。</w:t>
      </w:r>
    </w:p>
    <w:p>
      <w:pPr>
        <w:spacing w:line="460" w:lineRule="atLeast"/>
        <w:ind w:left="478" w:leftChars="228" w:firstLine="160" w:firstLineChars="50"/>
        <w:rPr>
          <w:rFonts w:ascii="仿宋" w:hAnsi="仿宋" w:eastAsia="仿宋" w:cs="仿宋"/>
          <w:color w:val="000000"/>
          <w:sz w:val="32"/>
          <w:szCs w:val="32"/>
        </w:rPr>
      </w:pPr>
      <w:r>
        <w:rPr>
          <w:rFonts w:hint="eastAsia" w:ascii="仿宋" w:hAnsi="仿宋" w:eastAsia="仿宋" w:cs="仿宋"/>
          <w:color w:val="000000"/>
          <w:sz w:val="32"/>
          <w:szCs w:val="32"/>
        </w:rPr>
        <w:t>3.</w:t>
      </w:r>
      <w:r>
        <w:rPr>
          <w:rFonts w:ascii="仿宋" w:hAnsi="仿宋" w:eastAsia="仿宋" w:cs="仿宋"/>
          <w:color w:val="000000"/>
          <w:sz w:val="32"/>
          <w:szCs w:val="32"/>
        </w:rPr>
        <w:t>招商引资完成情况</w:t>
      </w:r>
    </w:p>
    <w:p>
      <w:pPr>
        <w:spacing w:line="576" w:lineRule="exact"/>
        <w:ind w:firstLine="640" w:firstLineChars="200"/>
        <w:rPr>
          <w:rFonts w:ascii="仿宋" w:hAnsi="仿宋" w:eastAsia="仿宋" w:cs="仿宋"/>
          <w:bCs/>
          <w:color w:val="000000"/>
          <w:sz w:val="32"/>
          <w:szCs w:val="32"/>
        </w:rPr>
      </w:pPr>
      <w:r>
        <w:rPr>
          <w:rFonts w:hint="eastAsia" w:ascii="仿宋" w:hAnsi="仿宋" w:eastAsia="仿宋" w:cs="仿宋"/>
          <w:color w:val="000000"/>
          <w:sz w:val="32"/>
          <w:szCs w:val="32"/>
        </w:rPr>
        <w:t>2020年我局坚持项目招商工作机制。按照“比信息采集、比项目签约、比资金到位”的要求，全力开展招商引资竞赛，突出产业招商、精准招商、专业招商等主题，</w:t>
      </w:r>
      <w:r>
        <w:rPr>
          <w:rFonts w:hint="eastAsia" w:ascii="仿宋" w:hAnsi="仿宋" w:eastAsia="仿宋" w:cs="仿宋"/>
          <w:bCs/>
          <w:color w:val="000000"/>
          <w:sz w:val="32"/>
          <w:szCs w:val="32"/>
        </w:rPr>
        <w:t>全县共引进新项目135个，其中入驻标准厂房和闲置厂房的项目63个； “三类500强”项目引进4个，其中首次落户1个；亿元以上项目25个；全年到位省外境内资金89.96亿元，同比增长30.05%，在全市五个县市区中完成率、增幅均排名第二；2020年省级签约合同项目6个，市级签约合同项目8个；2019、2020年省级重大签约项目、“三类500强”项目资金到位率、增长率均超过20%；全年实际利用外资17658万美元，同比增长17.33%，全市五个县市区中完成率、同比增幅均排名第一。我县完成外商直接投资1538万美元，站湘潭市整个外商直投总额近一半，实现质的飞跃、量的突破。</w:t>
      </w:r>
    </w:p>
    <w:p>
      <w:pPr>
        <w:spacing w:line="46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4.电子商务</w:t>
      </w:r>
      <w:r>
        <w:rPr>
          <w:rFonts w:ascii="仿宋" w:hAnsi="仿宋" w:eastAsia="仿宋" w:cs="仿宋"/>
          <w:color w:val="000000"/>
          <w:sz w:val="32"/>
          <w:szCs w:val="32"/>
        </w:rPr>
        <w:t>完成情况</w:t>
      </w:r>
    </w:p>
    <w:p>
      <w:pPr>
        <w:shd w:val="clear" w:color="auto" w:fill="FFFFFF"/>
        <w:ind w:firstLine="640" w:firstLineChars="200"/>
        <w:rPr>
          <w:rFonts w:ascii="仿宋" w:hAnsi="仿宋" w:eastAsia="仿宋" w:cs="宋体"/>
          <w:kern w:val="0"/>
          <w:sz w:val="32"/>
          <w:szCs w:val="32"/>
        </w:rPr>
      </w:pPr>
      <w:r>
        <w:rPr>
          <w:rFonts w:hint="eastAsia" w:ascii="仿宋" w:hAnsi="仿宋" w:eastAsia="仿宋" w:cs="宋体"/>
          <w:kern w:val="0"/>
          <w:sz w:val="32"/>
          <w:szCs w:val="32"/>
        </w:rPr>
        <w:t>加强政策指导，推动电商快速发展。出台《湘潭县电子商务发展三年</w:t>
      </w:r>
      <w:r>
        <w:rPr>
          <w:rFonts w:ascii="仿宋" w:hAnsi="仿宋" w:eastAsia="仿宋" w:cs="宋体"/>
          <w:kern w:val="0"/>
          <w:sz w:val="32"/>
          <w:szCs w:val="32"/>
        </w:rPr>
        <w:t>行动</w:t>
      </w:r>
      <w:r>
        <w:rPr>
          <w:rFonts w:hint="eastAsia" w:ascii="仿宋" w:hAnsi="仿宋" w:eastAsia="仿宋" w:cs="宋体"/>
          <w:kern w:val="0"/>
          <w:sz w:val="32"/>
          <w:szCs w:val="32"/>
        </w:rPr>
        <w:t>计划</w:t>
      </w:r>
      <w:r>
        <w:rPr>
          <w:rFonts w:ascii="仿宋" w:hAnsi="仿宋" w:eastAsia="仿宋" w:cs="宋体"/>
          <w:kern w:val="0"/>
          <w:sz w:val="32"/>
          <w:szCs w:val="32"/>
        </w:rPr>
        <w:t>（</w:t>
      </w:r>
      <w:r>
        <w:rPr>
          <w:rFonts w:hint="eastAsia" w:ascii="仿宋" w:hAnsi="仿宋" w:eastAsia="仿宋" w:cs="宋体"/>
          <w:kern w:val="0"/>
          <w:sz w:val="32"/>
          <w:szCs w:val="32"/>
        </w:rPr>
        <w:t>2020-2022年</w:t>
      </w:r>
      <w:r>
        <w:rPr>
          <w:rFonts w:ascii="仿宋" w:hAnsi="仿宋" w:eastAsia="仿宋" w:cs="宋体"/>
          <w:kern w:val="0"/>
          <w:sz w:val="32"/>
          <w:szCs w:val="32"/>
        </w:rPr>
        <w:t>）</w:t>
      </w:r>
      <w:r>
        <w:rPr>
          <w:rFonts w:hint="eastAsia" w:ascii="仿宋" w:hAnsi="仿宋" w:eastAsia="仿宋" w:cs="宋体"/>
          <w:kern w:val="0"/>
          <w:sz w:val="32"/>
          <w:szCs w:val="32"/>
        </w:rPr>
        <w:t>》及《关于加快发展电子商务的实施办法（试行</w:t>
      </w:r>
      <w:r>
        <w:rPr>
          <w:rFonts w:ascii="仿宋" w:hAnsi="仿宋" w:eastAsia="仿宋" w:cs="宋体"/>
          <w:kern w:val="0"/>
          <w:sz w:val="32"/>
          <w:szCs w:val="32"/>
        </w:rPr>
        <w:t>）</w:t>
      </w:r>
      <w:r>
        <w:rPr>
          <w:rFonts w:hint="eastAsia" w:ascii="仿宋" w:hAnsi="仿宋" w:eastAsia="仿宋" w:cs="宋体"/>
          <w:kern w:val="0"/>
          <w:sz w:val="32"/>
          <w:szCs w:val="32"/>
        </w:rPr>
        <w:t>》等政策措施，拟定将传统产业借助电子商务、农产品上行作为重点任务，对具有一定规模和带头示范作用的电商企业或孵化基地进行扶持。二是建立电商公共服务中心，协助企业拓展网络销售市场。通过升格电商服务中心，加速农村电子商务的推广和推进，油纸伞、湘莲、茶油、竹木等特色产品，借助电子商务拓展网络市场，成效明显，5月，因农村电商工作成效显著受国务院真抓实干表彰；8月获评全国电子商务进农村综合示范县；9月阿里巴巴集团认定湘潭县易俗河镇为“淘宝镇”。</w:t>
      </w:r>
    </w:p>
    <w:p>
      <w:pPr>
        <w:spacing w:line="46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5.综合执法工作成效</w:t>
      </w:r>
    </w:p>
    <w:p>
      <w:pPr>
        <w:spacing w:line="576"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2020年，我局对全县68家加油站（点）开展拉网式专项检查。牵头开展成品油“自流黑”、报废汽车拆解、外派劳务等市场检查工作，督促相关企业按照行业标准规范整改到位，牵头开展我县加油站历史遗留问题处置工作，确保了商务系统行业有序运行。</w:t>
      </w:r>
    </w:p>
    <w:p>
      <w:pPr>
        <w:tabs>
          <w:tab w:val="left" w:pos="312"/>
        </w:tabs>
        <w:spacing w:line="460" w:lineRule="atLeast"/>
        <w:ind w:left="640" w:leftChars="305" w:firstLine="320" w:firstLineChars="100"/>
        <w:rPr>
          <w:rFonts w:ascii="仿宋" w:hAnsi="仿宋" w:eastAsia="仿宋" w:cs="仿宋"/>
          <w:color w:val="000000"/>
          <w:sz w:val="32"/>
          <w:szCs w:val="32"/>
        </w:rPr>
      </w:pPr>
      <w:r>
        <w:rPr>
          <w:rFonts w:hint="eastAsia" w:ascii="仿宋" w:hAnsi="仿宋" w:eastAsia="仿宋" w:cs="仿宋"/>
          <w:color w:val="000000"/>
          <w:sz w:val="32"/>
          <w:szCs w:val="32"/>
        </w:rPr>
        <w:t>6. 槟榔行业</w:t>
      </w:r>
    </w:p>
    <w:p>
      <w:pPr>
        <w:spacing w:line="460" w:lineRule="atLeast"/>
        <w:ind w:left="420" w:leftChars="200"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2020年我局开展了“数字电影”进槟榔企业活动，组织召开了县槟榔产业调度会议、县槟榔产业发展工作交流会，确立县内槟榔行业龙头企业联合办公长效机制，拟定了《槟榔行业税收奖励办法》，</w:t>
      </w:r>
      <w:r>
        <w:rPr>
          <w:rFonts w:ascii="仿宋" w:hAnsi="仿宋" w:eastAsia="仿宋" w:cs="仿宋"/>
          <w:color w:val="000000"/>
          <w:sz w:val="32"/>
          <w:szCs w:val="32"/>
        </w:rPr>
        <w:t>争取引进省槟榔检测中心</w:t>
      </w:r>
      <w:r>
        <w:rPr>
          <w:rFonts w:hint="eastAsia" w:ascii="仿宋" w:hAnsi="仿宋" w:eastAsia="仿宋" w:cs="仿宋"/>
          <w:color w:val="000000"/>
          <w:sz w:val="32"/>
          <w:szCs w:val="32"/>
        </w:rPr>
        <w:t>，</w:t>
      </w:r>
      <w:r>
        <w:rPr>
          <w:rFonts w:ascii="仿宋" w:hAnsi="仿宋" w:eastAsia="仿宋" w:cs="仿宋"/>
          <w:color w:val="000000"/>
          <w:sz w:val="32"/>
          <w:szCs w:val="32"/>
        </w:rPr>
        <w:t>申报注册“湘潭槟榔”地理标志证</w:t>
      </w:r>
      <w:r>
        <w:rPr>
          <w:rFonts w:hint="eastAsia" w:ascii="仿宋" w:hAnsi="仿宋" w:eastAsia="仿宋" w:cs="仿宋"/>
          <w:color w:val="000000"/>
          <w:sz w:val="32"/>
          <w:szCs w:val="32"/>
        </w:rPr>
        <w:t>明</w:t>
      </w:r>
      <w:r>
        <w:rPr>
          <w:rFonts w:ascii="仿宋" w:hAnsi="仿宋" w:eastAsia="仿宋" w:cs="仿宋"/>
          <w:color w:val="000000"/>
          <w:sz w:val="32"/>
          <w:szCs w:val="32"/>
        </w:rPr>
        <w:t>商标</w:t>
      </w:r>
      <w:r>
        <w:rPr>
          <w:rFonts w:hint="eastAsia" w:ascii="仿宋" w:hAnsi="仿宋" w:eastAsia="仿宋" w:cs="仿宋"/>
          <w:color w:val="000000"/>
          <w:sz w:val="32"/>
          <w:szCs w:val="32"/>
        </w:rPr>
        <w:t>。</w:t>
      </w:r>
    </w:p>
    <w:p>
      <w:pPr>
        <w:pStyle w:val="16"/>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五．存在的问题和建议</w:t>
      </w:r>
    </w:p>
    <w:p>
      <w:pPr>
        <w:pStyle w:val="16"/>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（一）预算执行存在偏差。公用经费的控制和核算还有待进一步加强，预算资金安排中，行政经费安排不足。</w:t>
      </w:r>
    </w:p>
    <w:p>
      <w:pPr>
        <w:spacing w:line="46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（二）财务</w:t>
      </w:r>
      <w:r>
        <w:rPr>
          <w:rFonts w:ascii="仿宋" w:hAnsi="仿宋" w:eastAsia="仿宋" w:cs="仿宋"/>
          <w:color w:val="000000"/>
          <w:sz w:val="32"/>
          <w:szCs w:val="32"/>
        </w:rPr>
        <w:t>政策学习</w:t>
      </w:r>
      <w:r>
        <w:rPr>
          <w:rFonts w:hint="eastAsia" w:ascii="仿宋" w:hAnsi="仿宋" w:eastAsia="仿宋" w:cs="仿宋"/>
          <w:color w:val="000000"/>
          <w:sz w:val="32"/>
          <w:szCs w:val="32"/>
        </w:rPr>
        <w:t>及培训力度不够</w:t>
      </w:r>
      <w:r>
        <w:rPr>
          <w:rFonts w:ascii="仿宋" w:hAnsi="仿宋" w:eastAsia="仿宋" w:cs="仿宋"/>
          <w:color w:val="000000"/>
          <w:sz w:val="32"/>
          <w:szCs w:val="32"/>
        </w:rPr>
        <w:t>，提高财务人员素质</w:t>
      </w:r>
      <w:r>
        <w:rPr>
          <w:rFonts w:hint="eastAsia" w:ascii="仿宋" w:hAnsi="仿宋" w:eastAsia="仿宋" w:cs="仿宋"/>
          <w:color w:val="000000"/>
          <w:sz w:val="32"/>
          <w:szCs w:val="32"/>
        </w:rPr>
        <w:t>以及</w:t>
      </w:r>
      <w:r>
        <w:rPr>
          <w:rFonts w:ascii="仿宋" w:hAnsi="仿宋" w:eastAsia="仿宋" w:cs="仿宋"/>
          <w:color w:val="000000"/>
          <w:sz w:val="32"/>
          <w:szCs w:val="32"/>
        </w:rPr>
        <w:t>财务核算</w:t>
      </w:r>
      <w:r>
        <w:rPr>
          <w:rFonts w:hint="eastAsia" w:ascii="仿宋" w:hAnsi="仿宋" w:eastAsia="仿宋" w:cs="仿宋"/>
          <w:color w:val="000000"/>
          <w:sz w:val="32"/>
          <w:szCs w:val="32"/>
        </w:rPr>
        <w:t>能力仍需提高</w:t>
      </w:r>
      <w:r>
        <w:rPr>
          <w:rFonts w:ascii="仿宋" w:hAnsi="仿宋" w:eastAsia="仿宋" w:cs="仿宋"/>
          <w:color w:val="000000"/>
          <w:sz w:val="32"/>
          <w:szCs w:val="32"/>
        </w:rPr>
        <w:t>。</w:t>
      </w:r>
    </w:p>
    <w:p>
      <w:pPr>
        <w:pStyle w:val="16"/>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六．改进措施</w:t>
      </w:r>
    </w:p>
    <w:p>
      <w:pPr>
        <w:pStyle w:val="16"/>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规范账务处理，提高财务信息质量。严格按照《会计法》、《行政单位会计制度》、《行政单位财务规则》等规定执行财务核算，并结合实际情况，完整、准确地披露相关信息，尽可能地做到决算与预算相衔接。</w:t>
      </w:r>
    </w:p>
    <w:p>
      <w:pPr>
        <w:spacing w:line="46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（二）进一步贯彻落实中央八项规定和省委九条规定，建立本部门“三公经费”等公务支出管理制度及厉行节约制度，加强经费审批和控制，规范支出标准与范围，并严格执行。</w:t>
      </w:r>
    </w:p>
    <w:p>
      <w:pPr>
        <w:pStyle w:val="16"/>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 xml:space="preserve">（三）加强岗位实务学习与培训工作。 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    </w:t>
      </w:r>
    </w:p>
    <w:p>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altName w:val="微软雅黑"/>
    <w:panose1 w:val="00000000000000000000"/>
    <w:charset w:val="86"/>
    <w:family w:val="auto"/>
    <w:pitch w:val="default"/>
    <w:sig w:usb0="00000000" w:usb1="00000000" w:usb2="00000010" w:usb3="00000000" w:csb0="0004009F" w:csb1="00000000"/>
  </w:font>
  <w:font w:name="Arial">
    <w:panose1 w:val="020B0604020202020204"/>
    <w:charset w:val="00"/>
    <w:family w:val="swiss"/>
    <w:pitch w:val="default"/>
    <w:sig w:usb0="E0002EFF" w:usb1="C000785B" w:usb2="00000009" w:usb3="00000000" w:csb0="400001FF" w:csb1="FFFF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9AEBDA"/>
    <w:multiLevelType w:val="singleLevel"/>
    <w:tmpl w:val="CA9AEBDA"/>
    <w:lvl w:ilvl="0" w:tentative="0">
      <w:start w:val="2"/>
      <w:numFmt w:val="decimal"/>
      <w:suff w:val="nothing"/>
      <w:lvlText w:val="（%1）"/>
      <w:lvlJc w:val="left"/>
    </w:lvl>
  </w:abstractNum>
  <w:abstractNum w:abstractNumId="1">
    <w:nsid w:val="3302B887"/>
    <w:multiLevelType w:val="singleLevel"/>
    <w:tmpl w:val="3302B887"/>
    <w:lvl w:ilvl="0" w:tentative="0">
      <w:start w:val="2"/>
      <w:numFmt w:val="decimal"/>
      <w:lvlText w:val="(%1)"/>
      <w:lvlJc w:val="left"/>
      <w:pPr>
        <w:tabs>
          <w:tab w:val="left" w:pos="312"/>
        </w:tabs>
      </w:pPr>
    </w:lvl>
  </w:abstractNum>
  <w:abstractNum w:abstractNumId="2">
    <w:nsid w:val="4941F832"/>
    <w:multiLevelType w:val="singleLevel"/>
    <w:tmpl w:val="4941F832"/>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hM2RkMWNkMjZkOWE2MjExNDBlMWEyYTY0MjVhZjAifQ=="/>
  </w:docVars>
  <w:rsids>
    <w:rsidRoot w:val="004506F9"/>
    <w:rsid w:val="00011092"/>
    <w:rsid w:val="0002229B"/>
    <w:rsid w:val="000273BD"/>
    <w:rsid w:val="000415B7"/>
    <w:rsid w:val="00041E3F"/>
    <w:rsid w:val="00046FF1"/>
    <w:rsid w:val="00050A73"/>
    <w:rsid w:val="00055DAA"/>
    <w:rsid w:val="00061F7B"/>
    <w:rsid w:val="000658A3"/>
    <w:rsid w:val="00074155"/>
    <w:rsid w:val="00092080"/>
    <w:rsid w:val="000969EB"/>
    <w:rsid w:val="000A3F69"/>
    <w:rsid w:val="000C14B9"/>
    <w:rsid w:val="000D6672"/>
    <w:rsid w:val="00103957"/>
    <w:rsid w:val="0011146B"/>
    <w:rsid w:val="001172BD"/>
    <w:rsid w:val="00133349"/>
    <w:rsid w:val="00142D16"/>
    <w:rsid w:val="00152C6D"/>
    <w:rsid w:val="00161642"/>
    <w:rsid w:val="00162D39"/>
    <w:rsid w:val="001678BD"/>
    <w:rsid w:val="00196067"/>
    <w:rsid w:val="001A57F1"/>
    <w:rsid w:val="001A67DB"/>
    <w:rsid w:val="001B132D"/>
    <w:rsid w:val="001C3C29"/>
    <w:rsid w:val="001C4DC5"/>
    <w:rsid w:val="001D51E5"/>
    <w:rsid w:val="001E080D"/>
    <w:rsid w:val="001E53D0"/>
    <w:rsid w:val="001F0C3B"/>
    <w:rsid w:val="001F5B81"/>
    <w:rsid w:val="00202C82"/>
    <w:rsid w:val="00214427"/>
    <w:rsid w:val="00221F53"/>
    <w:rsid w:val="00222FCB"/>
    <w:rsid w:val="00226CB7"/>
    <w:rsid w:val="00245831"/>
    <w:rsid w:val="00264552"/>
    <w:rsid w:val="00264EF9"/>
    <w:rsid w:val="00265724"/>
    <w:rsid w:val="00272E5C"/>
    <w:rsid w:val="00272F89"/>
    <w:rsid w:val="0027426B"/>
    <w:rsid w:val="00297A46"/>
    <w:rsid w:val="002A7045"/>
    <w:rsid w:val="002B12FD"/>
    <w:rsid w:val="002D749C"/>
    <w:rsid w:val="002E0A30"/>
    <w:rsid w:val="002E1884"/>
    <w:rsid w:val="002E2FB0"/>
    <w:rsid w:val="003130C4"/>
    <w:rsid w:val="00316C4B"/>
    <w:rsid w:val="0032192B"/>
    <w:rsid w:val="003479BD"/>
    <w:rsid w:val="0037197D"/>
    <w:rsid w:val="003768D5"/>
    <w:rsid w:val="003B7A2C"/>
    <w:rsid w:val="003C47E6"/>
    <w:rsid w:val="003C4FC2"/>
    <w:rsid w:val="003E3C30"/>
    <w:rsid w:val="00412624"/>
    <w:rsid w:val="004131C0"/>
    <w:rsid w:val="00416E61"/>
    <w:rsid w:val="0042790C"/>
    <w:rsid w:val="004506F9"/>
    <w:rsid w:val="00462C17"/>
    <w:rsid w:val="004717A2"/>
    <w:rsid w:val="00473CA2"/>
    <w:rsid w:val="00473DF3"/>
    <w:rsid w:val="00483250"/>
    <w:rsid w:val="00487911"/>
    <w:rsid w:val="00491741"/>
    <w:rsid w:val="0049506D"/>
    <w:rsid w:val="004B50AE"/>
    <w:rsid w:val="004C0240"/>
    <w:rsid w:val="004E330E"/>
    <w:rsid w:val="004F713B"/>
    <w:rsid w:val="00500E5F"/>
    <w:rsid w:val="005027CF"/>
    <w:rsid w:val="005037F7"/>
    <w:rsid w:val="005122EF"/>
    <w:rsid w:val="0051441A"/>
    <w:rsid w:val="00517C33"/>
    <w:rsid w:val="00523644"/>
    <w:rsid w:val="005277EA"/>
    <w:rsid w:val="0054069E"/>
    <w:rsid w:val="00544866"/>
    <w:rsid w:val="005677A0"/>
    <w:rsid w:val="005767CC"/>
    <w:rsid w:val="00580C97"/>
    <w:rsid w:val="00590D9F"/>
    <w:rsid w:val="00595D26"/>
    <w:rsid w:val="005965E7"/>
    <w:rsid w:val="005A74E6"/>
    <w:rsid w:val="005B404E"/>
    <w:rsid w:val="005C45AE"/>
    <w:rsid w:val="005D4D55"/>
    <w:rsid w:val="005E2CFB"/>
    <w:rsid w:val="005F3D1C"/>
    <w:rsid w:val="005F5836"/>
    <w:rsid w:val="00613661"/>
    <w:rsid w:val="0062378F"/>
    <w:rsid w:val="00630397"/>
    <w:rsid w:val="00641842"/>
    <w:rsid w:val="006423C9"/>
    <w:rsid w:val="006474E1"/>
    <w:rsid w:val="00651EEC"/>
    <w:rsid w:val="00657821"/>
    <w:rsid w:val="00665BD4"/>
    <w:rsid w:val="00665D17"/>
    <w:rsid w:val="00691E8C"/>
    <w:rsid w:val="006A22C4"/>
    <w:rsid w:val="006A351B"/>
    <w:rsid w:val="006B0422"/>
    <w:rsid w:val="006C1B53"/>
    <w:rsid w:val="006D7730"/>
    <w:rsid w:val="006E5284"/>
    <w:rsid w:val="006F10EB"/>
    <w:rsid w:val="006F3EB5"/>
    <w:rsid w:val="00702E34"/>
    <w:rsid w:val="00704395"/>
    <w:rsid w:val="00713386"/>
    <w:rsid w:val="00717621"/>
    <w:rsid w:val="00720FF1"/>
    <w:rsid w:val="0072284F"/>
    <w:rsid w:val="00727A53"/>
    <w:rsid w:val="007359C3"/>
    <w:rsid w:val="00744BF4"/>
    <w:rsid w:val="007612A8"/>
    <w:rsid w:val="00787947"/>
    <w:rsid w:val="00787B42"/>
    <w:rsid w:val="007C4539"/>
    <w:rsid w:val="007D5FB5"/>
    <w:rsid w:val="007F3657"/>
    <w:rsid w:val="00812ED5"/>
    <w:rsid w:val="0082728C"/>
    <w:rsid w:val="008277D9"/>
    <w:rsid w:val="00833741"/>
    <w:rsid w:val="0084478C"/>
    <w:rsid w:val="0085167A"/>
    <w:rsid w:val="0086638C"/>
    <w:rsid w:val="008A0B94"/>
    <w:rsid w:val="008A3E8D"/>
    <w:rsid w:val="008C246D"/>
    <w:rsid w:val="008E7ACF"/>
    <w:rsid w:val="0090380D"/>
    <w:rsid w:val="009237C4"/>
    <w:rsid w:val="00944C48"/>
    <w:rsid w:val="00950252"/>
    <w:rsid w:val="00967F5D"/>
    <w:rsid w:val="009811E6"/>
    <w:rsid w:val="00982F1F"/>
    <w:rsid w:val="0098332D"/>
    <w:rsid w:val="00997D7A"/>
    <w:rsid w:val="009A0F95"/>
    <w:rsid w:val="009B3ADF"/>
    <w:rsid w:val="009B4491"/>
    <w:rsid w:val="009C3B52"/>
    <w:rsid w:val="009D09F6"/>
    <w:rsid w:val="009D2977"/>
    <w:rsid w:val="009E6817"/>
    <w:rsid w:val="009E6E9A"/>
    <w:rsid w:val="00A01D2B"/>
    <w:rsid w:val="00A10EE6"/>
    <w:rsid w:val="00A42218"/>
    <w:rsid w:val="00A67587"/>
    <w:rsid w:val="00A70249"/>
    <w:rsid w:val="00A70B02"/>
    <w:rsid w:val="00A71D9F"/>
    <w:rsid w:val="00A92E9F"/>
    <w:rsid w:val="00AB5DE8"/>
    <w:rsid w:val="00AC51C6"/>
    <w:rsid w:val="00B12A20"/>
    <w:rsid w:val="00B33BEA"/>
    <w:rsid w:val="00B3554B"/>
    <w:rsid w:val="00B36887"/>
    <w:rsid w:val="00B57C9F"/>
    <w:rsid w:val="00B63572"/>
    <w:rsid w:val="00B845B3"/>
    <w:rsid w:val="00B85D8B"/>
    <w:rsid w:val="00B97D92"/>
    <w:rsid w:val="00BB2628"/>
    <w:rsid w:val="00BB2F42"/>
    <w:rsid w:val="00BB4A40"/>
    <w:rsid w:val="00BB4B14"/>
    <w:rsid w:val="00BB6654"/>
    <w:rsid w:val="00BD65E8"/>
    <w:rsid w:val="00BD6C3E"/>
    <w:rsid w:val="00BE3674"/>
    <w:rsid w:val="00C10681"/>
    <w:rsid w:val="00C3049A"/>
    <w:rsid w:val="00C31B1E"/>
    <w:rsid w:val="00C77645"/>
    <w:rsid w:val="00C84484"/>
    <w:rsid w:val="00CC61BD"/>
    <w:rsid w:val="00CE04C3"/>
    <w:rsid w:val="00CE76A0"/>
    <w:rsid w:val="00D06CD1"/>
    <w:rsid w:val="00D148C6"/>
    <w:rsid w:val="00D17A56"/>
    <w:rsid w:val="00D17A8A"/>
    <w:rsid w:val="00D23ECB"/>
    <w:rsid w:val="00D36FB2"/>
    <w:rsid w:val="00D415BA"/>
    <w:rsid w:val="00D4194D"/>
    <w:rsid w:val="00D5679D"/>
    <w:rsid w:val="00D644EE"/>
    <w:rsid w:val="00DD06FF"/>
    <w:rsid w:val="00DD31D9"/>
    <w:rsid w:val="00DD5FE9"/>
    <w:rsid w:val="00DD6FFF"/>
    <w:rsid w:val="00DD7D85"/>
    <w:rsid w:val="00DF0A12"/>
    <w:rsid w:val="00DF6B0D"/>
    <w:rsid w:val="00DF7D13"/>
    <w:rsid w:val="00E00C7A"/>
    <w:rsid w:val="00E02C8F"/>
    <w:rsid w:val="00E37D6C"/>
    <w:rsid w:val="00E55B68"/>
    <w:rsid w:val="00E67BE6"/>
    <w:rsid w:val="00E8683C"/>
    <w:rsid w:val="00EA2B72"/>
    <w:rsid w:val="00EB088B"/>
    <w:rsid w:val="00EB5CCE"/>
    <w:rsid w:val="00EC0288"/>
    <w:rsid w:val="00EE3CA7"/>
    <w:rsid w:val="00EF6064"/>
    <w:rsid w:val="00F25650"/>
    <w:rsid w:val="00F51D7C"/>
    <w:rsid w:val="00F74360"/>
    <w:rsid w:val="00F7634E"/>
    <w:rsid w:val="00FB462F"/>
    <w:rsid w:val="00FE1586"/>
    <w:rsid w:val="00FE16FA"/>
    <w:rsid w:val="00FE328A"/>
    <w:rsid w:val="00FE6269"/>
    <w:rsid w:val="284E65ED"/>
    <w:rsid w:val="474B2221"/>
    <w:rsid w:val="563B2410"/>
    <w:rsid w:val="5C86208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endnote text"/>
    <w:basedOn w:val="1"/>
    <w:link w:val="15"/>
    <w:unhideWhenUsed/>
    <w:qFormat/>
    <w:uiPriority w:val="0"/>
    <w:pPr>
      <w:snapToGrid w:val="0"/>
      <w:jc w:val="left"/>
    </w:pPr>
    <w:rPr>
      <w:rFonts w:cs="Times New Roman"/>
      <w:szCs w:val="24"/>
    </w:rPr>
  </w:style>
  <w:style w:type="paragraph" w:styleId="3">
    <w:name w:val="Balloon Text"/>
    <w:basedOn w:val="1"/>
    <w:link w:val="13"/>
    <w:semiHidden/>
    <w:qFormat/>
    <w:uiPriority w:val="99"/>
    <w:rPr>
      <w:rFonts w:cs="Times New Roman"/>
      <w:kern w:val="0"/>
      <w:sz w:val="18"/>
      <w:szCs w:val="18"/>
    </w:rPr>
  </w:style>
  <w:style w:type="paragraph" w:styleId="4">
    <w:name w:val="footer"/>
    <w:basedOn w:val="1"/>
    <w:link w:val="10"/>
    <w:qFormat/>
    <w:uiPriority w:val="99"/>
    <w:pPr>
      <w:tabs>
        <w:tab w:val="center" w:pos="4153"/>
        <w:tab w:val="right" w:pos="8306"/>
      </w:tabs>
      <w:snapToGrid w:val="0"/>
      <w:jc w:val="left"/>
    </w:pPr>
    <w:rPr>
      <w:rFonts w:cs="Times New Roman"/>
      <w:kern w:val="0"/>
      <w:sz w:val="18"/>
      <w:szCs w:val="18"/>
    </w:rPr>
  </w:style>
  <w:style w:type="paragraph" w:styleId="5">
    <w:name w:val="header"/>
    <w:basedOn w:val="1"/>
    <w:link w:val="9"/>
    <w:qFormat/>
    <w:uiPriority w:val="99"/>
    <w:pPr>
      <w:pBdr>
        <w:bottom w:val="single" w:color="auto" w:sz="6" w:space="1"/>
      </w:pBdr>
      <w:tabs>
        <w:tab w:val="center" w:pos="4153"/>
        <w:tab w:val="right" w:pos="8306"/>
      </w:tabs>
      <w:snapToGrid w:val="0"/>
      <w:jc w:val="center"/>
    </w:pPr>
    <w:rPr>
      <w:rFonts w:cs="Times New Roman"/>
      <w:kern w:val="0"/>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9">
    <w:name w:val="页眉 Char"/>
    <w:link w:val="5"/>
    <w:qFormat/>
    <w:locked/>
    <w:uiPriority w:val="99"/>
    <w:rPr>
      <w:sz w:val="18"/>
      <w:szCs w:val="18"/>
    </w:rPr>
  </w:style>
  <w:style w:type="character" w:customStyle="1" w:styleId="10">
    <w:name w:val="页脚 Char"/>
    <w:link w:val="4"/>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link w:val="3"/>
    <w:semiHidden/>
    <w:qFormat/>
    <w:locked/>
    <w:uiPriority w:val="99"/>
    <w:rPr>
      <w:sz w:val="18"/>
      <w:szCs w:val="18"/>
    </w:rPr>
  </w:style>
  <w:style w:type="paragraph" w:customStyle="1" w:styleId="14">
    <w:name w:val="List Paragraph1"/>
    <w:basedOn w:val="1"/>
    <w:qFormat/>
    <w:uiPriority w:val="99"/>
    <w:pPr>
      <w:ind w:firstLine="420" w:firstLineChars="200"/>
    </w:pPr>
  </w:style>
  <w:style w:type="character" w:customStyle="1" w:styleId="15">
    <w:name w:val="尾注文本 Char"/>
    <w:link w:val="2"/>
    <w:uiPriority w:val="0"/>
    <w:rPr>
      <w:kern w:val="2"/>
      <w:sz w:val="21"/>
      <w:szCs w:val="24"/>
    </w:rPr>
  </w:style>
  <w:style w:type="paragraph" w:styleId="16">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7">
    <w:name w:val="p0"/>
    <w:basedOn w:val="1"/>
    <w:qFormat/>
    <w:uiPriority w:val="0"/>
    <w:pPr>
      <w:widowControl/>
    </w:pPr>
    <w:rPr>
      <w:rFonts w:cs="Times New Roman"/>
      <w:kern w:val="0"/>
    </w:rPr>
  </w:style>
  <w:style w:type="paragraph" w:customStyle="1" w:styleId="18">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
    <w:name w:val="无间隔*"/>
    <w:qFormat/>
    <w:uiPriority w:val="0"/>
    <w:pPr>
      <w:widowControl w:val="0"/>
      <w:jc w:val="both"/>
    </w:pPr>
    <w:rPr>
      <w:rFonts w:ascii="Calibri" w:hAnsi="Calibri" w:eastAsia="宋体" w:cs="Times New Roman"/>
      <w:color w:val="000000"/>
      <w:kern w:val="1"/>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E40E48D-27FC-4457-A7E1-79122120AD1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43</Pages>
  <Words>18349</Words>
  <Characters>22037</Characters>
  <Lines>180</Lines>
  <Paragraphs>50</Paragraphs>
  <TotalTime>1096</TotalTime>
  <ScaleCrop>false</ScaleCrop>
  <LinksUpToDate>false</LinksUpToDate>
  <CharactersWithSpaces>23423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月牙湾</cp:lastModifiedBy>
  <cp:lastPrinted>2021-07-28T00:12:00Z</cp:lastPrinted>
  <dcterms:modified xsi:type="dcterms:W3CDTF">2023-09-11T03:51:17Z</dcterms:modified>
  <cp:revision>138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2052-11.1.0.14309</vt:lpwstr>
  </property>
  <property fmtid="{D5CDD505-2E9C-101B-9397-08002B2CF9AE}" pid="4" name="ICV">
    <vt:lpwstr>22C77C2A86C84B62A2B95DE1518669CB_13</vt:lpwstr>
  </property>
</Properties>
</file>