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right="26"/>
        <w:rPr>
          <w:rFonts w:hint="eastAsia" w:ascii="黑体" w:hAnsi="黑体" w:eastAsia="黑体"/>
          <w:color w:val="000000"/>
          <w:sz w:val="28"/>
          <w:szCs w:val="28"/>
        </w:rPr>
      </w:pPr>
    </w:p>
    <w:tbl>
      <w:tblPr>
        <w:tblStyle w:val="10"/>
        <w:tblW w:w="9928" w:type="dxa"/>
        <w:jc w:val="center"/>
        <w:tblLayout w:type="fixed"/>
        <w:tblCellMar>
          <w:top w:w="0" w:type="dxa"/>
          <w:left w:w="108" w:type="dxa"/>
          <w:bottom w:w="0" w:type="dxa"/>
          <w:right w:w="108" w:type="dxa"/>
        </w:tblCellMar>
      </w:tblPr>
      <w:tblGrid>
        <w:gridCol w:w="1094"/>
        <w:gridCol w:w="1094"/>
        <w:gridCol w:w="1320"/>
        <w:gridCol w:w="138"/>
        <w:gridCol w:w="902"/>
        <w:gridCol w:w="760"/>
        <w:gridCol w:w="540"/>
        <w:gridCol w:w="492"/>
        <w:gridCol w:w="908"/>
        <w:gridCol w:w="640"/>
        <w:gridCol w:w="680"/>
        <w:gridCol w:w="1360"/>
      </w:tblGrid>
      <w:tr>
        <w:tblPrEx>
          <w:tblCellMar>
            <w:top w:w="0" w:type="dxa"/>
            <w:left w:w="108" w:type="dxa"/>
            <w:bottom w:w="0" w:type="dxa"/>
            <w:right w:w="108" w:type="dxa"/>
          </w:tblCellMar>
        </w:tblPrEx>
        <w:trPr>
          <w:trHeight w:val="1065" w:hRule="atLeast"/>
          <w:jc w:val="center"/>
        </w:trPr>
        <w:tc>
          <w:tcPr>
            <w:tcW w:w="9928" w:type="dxa"/>
            <w:gridSpan w:val="12"/>
            <w:tcBorders>
              <w:top w:val="nil"/>
              <w:left w:val="nil"/>
              <w:bottom w:val="nil"/>
              <w:right w:val="nil"/>
            </w:tcBorders>
            <w:vAlign w:val="bottom"/>
          </w:tcPr>
          <w:p>
            <w:pPr>
              <w:widowControl/>
              <w:spacing w:line="480" w:lineRule="exact"/>
              <w:jc w:val="center"/>
              <w:rPr>
                <w:rFonts w:ascii="宋体" w:hAnsi="宋体" w:cs="宋体"/>
                <w:b/>
                <w:bCs/>
                <w:kern w:val="0"/>
                <w:sz w:val="44"/>
                <w:szCs w:val="44"/>
              </w:rPr>
            </w:pPr>
            <w:r>
              <w:rPr>
                <w:rFonts w:hint="eastAsia" w:ascii="方正小标宋_GBK" w:hAnsi="宋体" w:eastAsia="方正小标宋_GBK" w:cs="宋体"/>
                <w:bCs/>
                <w:kern w:val="0"/>
                <w:sz w:val="44"/>
                <w:szCs w:val="44"/>
              </w:rPr>
              <w:t>项目支出绩效目标申报表</w:t>
            </w:r>
            <w:r>
              <w:rPr>
                <w:rFonts w:hint="eastAsia" w:ascii="方正小标宋_GBK" w:hAnsi="宋体" w:eastAsia="方正小标宋_GBK" w:cs="宋体"/>
                <w:bCs/>
                <w:kern w:val="0"/>
                <w:sz w:val="44"/>
                <w:szCs w:val="44"/>
              </w:rPr>
              <w:br w:type="textWrapping"/>
            </w:r>
            <w:r>
              <w:rPr>
                <w:rFonts w:hint="eastAsia" w:ascii="楷体_GB2312" w:hAnsi="宋体" w:eastAsia="楷体_GB2312" w:cs="宋体"/>
                <w:b/>
                <w:bCs/>
                <w:kern w:val="0"/>
                <w:sz w:val="28"/>
                <w:szCs w:val="28"/>
              </w:rPr>
              <w:t>（</w:t>
            </w:r>
            <w:r>
              <w:rPr>
                <w:rFonts w:hint="eastAsia" w:ascii="宋体" w:hAnsi="宋体" w:eastAsia="楷体_GB2312" w:cs="宋体"/>
                <w:b/>
                <w:bCs/>
                <w:kern w:val="0"/>
                <w:sz w:val="28"/>
                <w:szCs w:val="28"/>
              </w:rPr>
              <w:t>2022</w:t>
            </w:r>
            <w:r>
              <w:rPr>
                <w:rFonts w:hint="eastAsia" w:ascii="楷体_GB2312" w:hAnsi="宋体" w:eastAsia="楷体_GB2312" w:cs="宋体"/>
                <w:b/>
                <w:bCs/>
                <w:kern w:val="0"/>
                <w:sz w:val="28"/>
                <w:szCs w:val="28"/>
              </w:rPr>
              <w:t xml:space="preserve">年度） </w:t>
            </w:r>
          </w:p>
        </w:tc>
      </w:tr>
      <w:tr>
        <w:tblPrEx>
          <w:tblCellMar>
            <w:top w:w="0" w:type="dxa"/>
            <w:left w:w="108" w:type="dxa"/>
            <w:bottom w:w="0" w:type="dxa"/>
            <w:right w:w="108" w:type="dxa"/>
          </w:tblCellMar>
        </w:tblPrEx>
        <w:trPr>
          <w:trHeight w:val="390" w:hRule="atLeast"/>
          <w:jc w:val="center"/>
        </w:trPr>
        <w:tc>
          <w:tcPr>
            <w:tcW w:w="9928" w:type="dxa"/>
            <w:gridSpan w:val="12"/>
            <w:tcBorders>
              <w:top w:val="nil"/>
              <w:left w:val="nil"/>
              <w:bottom w:val="single" w:color="auto" w:sz="8" w:space="0"/>
              <w:right w:val="nil"/>
            </w:tcBorders>
            <w:vAlign w:val="bottom"/>
          </w:tcPr>
          <w:p>
            <w:pPr>
              <w:widowControl/>
              <w:spacing w:line="480" w:lineRule="exact"/>
              <w:jc w:val="left"/>
              <w:rPr>
                <w:rFonts w:ascii="仿宋" w:hAnsi="仿宋" w:eastAsia="仿宋" w:cs="宋体"/>
                <w:kern w:val="0"/>
                <w:sz w:val="24"/>
              </w:rPr>
            </w:pPr>
            <w:r>
              <w:rPr>
                <w:rFonts w:hint="eastAsia" w:ascii="仿宋" w:hAnsi="仿宋" w:eastAsia="仿宋" w:cs="宋体"/>
                <w:kern w:val="0"/>
                <w:sz w:val="24"/>
              </w:rPr>
              <w:t xml:space="preserve"> 填报单位：湘潭县商务局</w:t>
            </w:r>
          </w:p>
        </w:tc>
      </w:tr>
      <w:tr>
        <w:tblPrEx>
          <w:tblCellMar>
            <w:top w:w="0" w:type="dxa"/>
            <w:left w:w="108" w:type="dxa"/>
            <w:bottom w:w="0" w:type="dxa"/>
            <w:right w:w="108" w:type="dxa"/>
          </w:tblCellMar>
        </w:tblPrEx>
        <w:trPr>
          <w:trHeight w:val="439" w:hRule="atLeast"/>
          <w:jc w:val="center"/>
        </w:trPr>
        <w:tc>
          <w:tcPr>
            <w:tcW w:w="1094" w:type="dxa"/>
            <w:vMerge w:val="restart"/>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项目基本情况</w:t>
            </w:r>
          </w:p>
        </w:tc>
        <w:tc>
          <w:tcPr>
            <w:tcW w:w="1094"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项目名称</w:t>
            </w:r>
          </w:p>
        </w:tc>
        <w:tc>
          <w:tcPr>
            <w:tcW w:w="7740" w:type="dxa"/>
            <w:gridSpan w:val="10"/>
            <w:tcBorders>
              <w:top w:val="single" w:color="auto" w:sz="8"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2022年招商引资工作经费</w:t>
            </w:r>
          </w:p>
        </w:tc>
      </w:tr>
      <w:tr>
        <w:tblPrEx>
          <w:tblCellMar>
            <w:top w:w="0" w:type="dxa"/>
            <w:left w:w="108" w:type="dxa"/>
            <w:bottom w:w="0" w:type="dxa"/>
            <w:right w:w="108" w:type="dxa"/>
          </w:tblCellMar>
        </w:tblPrEx>
        <w:trPr>
          <w:trHeight w:val="43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项目属性</w:t>
            </w:r>
          </w:p>
        </w:tc>
        <w:tc>
          <w:tcPr>
            <w:tcW w:w="7740" w:type="dxa"/>
            <w:gridSpan w:val="10"/>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xml:space="preserve">       新增项目 □                      延续项目√ </w:t>
            </w:r>
          </w:p>
        </w:tc>
      </w:tr>
      <w:tr>
        <w:tblPrEx>
          <w:tblCellMar>
            <w:top w:w="0" w:type="dxa"/>
            <w:left w:w="108" w:type="dxa"/>
            <w:bottom w:w="0" w:type="dxa"/>
            <w:right w:w="108" w:type="dxa"/>
          </w:tblCellMar>
        </w:tblPrEx>
        <w:trPr>
          <w:trHeight w:val="43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xml:space="preserve"> 主管部门</w:t>
            </w:r>
          </w:p>
        </w:tc>
        <w:tc>
          <w:tcPr>
            <w:tcW w:w="2360" w:type="dxa"/>
            <w:gridSpan w:val="3"/>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企财股</w:t>
            </w:r>
          </w:p>
        </w:tc>
        <w:tc>
          <w:tcPr>
            <w:tcW w:w="1792"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xml:space="preserve"> 项目起止时间</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2022.1-12月　</w:t>
            </w:r>
          </w:p>
        </w:tc>
      </w:tr>
      <w:tr>
        <w:tblPrEx>
          <w:tblCellMar>
            <w:top w:w="0" w:type="dxa"/>
            <w:left w:w="108" w:type="dxa"/>
            <w:bottom w:w="0" w:type="dxa"/>
            <w:right w:w="108" w:type="dxa"/>
          </w:tblCellMar>
        </w:tblPrEx>
        <w:trPr>
          <w:trHeight w:val="43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项目负责人</w:t>
            </w:r>
          </w:p>
        </w:tc>
        <w:tc>
          <w:tcPr>
            <w:tcW w:w="2360"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王大洪</w:t>
            </w:r>
          </w:p>
        </w:tc>
        <w:tc>
          <w:tcPr>
            <w:tcW w:w="1792"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xml:space="preserve"> 联系电话</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13807322838</w:t>
            </w:r>
          </w:p>
        </w:tc>
      </w:tr>
      <w:tr>
        <w:tblPrEx>
          <w:tblCellMar>
            <w:top w:w="0" w:type="dxa"/>
            <w:left w:w="108" w:type="dxa"/>
            <w:bottom w:w="0" w:type="dxa"/>
            <w:right w:w="108" w:type="dxa"/>
          </w:tblCellMar>
        </w:tblPrEx>
        <w:trPr>
          <w:trHeight w:val="885"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xml:space="preserve"> 项目类型</w:t>
            </w:r>
          </w:p>
        </w:tc>
        <w:tc>
          <w:tcPr>
            <w:tcW w:w="7740" w:type="dxa"/>
            <w:gridSpan w:val="10"/>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1.基本建设类 □    其中：新建  □    扩建  □    改建  □</w:t>
            </w:r>
            <w:r>
              <w:rPr>
                <w:rFonts w:hint="eastAsia" w:ascii="仿宋" w:hAnsi="仿宋" w:eastAsia="仿宋" w:cs="宋体"/>
                <w:kern w:val="0"/>
                <w:sz w:val="24"/>
              </w:rPr>
              <w:br w:type="textWrapping"/>
            </w:r>
            <w:r>
              <w:rPr>
                <w:rFonts w:hint="eastAsia" w:ascii="仿宋" w:hAnsi="仿宋" w:eastAsia="仿宋" w:cs="宋体"/>
                <w:kern w:val="0"/>
                <w:sz w:val="24"/>
              </w:rPr>
              <w:t xml:space="preserve">2.行政事业类 </w:t>
            </w:r>
            <w:r>
              <w:rPr>
                <w:rFonts w:hint="eastAsia" w:ascii="仿宋" w:hAnsi="仿宋" w:eastAsia="仿宋" w:cs="宋体"/>
                <w:kern w:val="0"/>
                <w:sz w:val="24"/>
              </w:rPr>
              <w:sym w:font="Wingdings 2" w:char="0052"/>
            </w:r>
            <w:r>
              <w:rPr>
                <w:rFonts w:hint="eastAsia" w:ascii="仿宋" w:hAnsi="仿宋" w:eastAsia="仿宋" w:cs="宋体"/>
                <w:kern w:val="0"/>
                <w:sz w:val="24"/>
              </w:rPr>
              <w:t xml:space="preserve">    其中: 采购类</w:t>
            </w:r>
            <w:r>
              <w:rPr>
                <w:rFonts w:hint="eastAsia" w:ascii="仿宋" w:hAnsi="仿宋" w:eastAsia="仿宋" w:cs="宋体"/>
                <w:kern w:val="0"/>
                <w:sz w:val="24"/>
              </w:rPr>
              <w:sym w:font="Wingdings 2" w:char="0052"/>
            </w:r>
            <w:r>
              <w:rPr>
                <w:rFonts w:hint="eastAsia" w:ascii="仿宋" w:hAnsi="仿宋" w:eastAsia="仿宋" w:cs="宋体"/>
                <w:kern w:val="0"/>
                <w:sz w:val="24"/>
              </w:rPr>
              <w:t xml:space="preserve">    政府购买服务类</w:t>
            </w:r>
            <w:r>
              <w:rPr>
                <w:rFonts w:hint="eastAsia" w:ascii="仿宋" w:hAnsi="仿宋" w:eastAsia="仿宋" w:cs="宋体"/>
                <w:kern w:val="0"/>
                <w:sz w:val="24"/>
              </w:rPr>
              <w:sym w:font="Wingdings 2" w:char="0052"/>
            </w:r>
            <w:r>
              <w:rPr>
                <w:rFonts w:hint="eastAsia" w:ascii="仿宋" w:hAnsi="仿宋" w:eastAsia="仿宋" w:cs="宋体"/>
                <w:kern w:val="0"/>
                <w:sz w:val="24"/>
              </w:rPr>
              <w:t xml:space="preserve">  </w:t>
            </w:r>
            <w:r>
              <w:rPr>
                <w:rFonts w:hint="eastAsia" w:ascii="仿宋" w:hAnsi="仿宋" w:eastAsia="仿宋" w:cs="宋体"/>
                <w:kern w:val="0"/>
                <w:sz w:val="24"/>
              </w:rPr>
              <w:br w:type="textWrapping"/>
            </w:r>
            <w:r>
              <w:rPr>
                <w:rFonts w:hint="eastAsia" w:ascii="仿宋" w:hAnsi="仿宋" w:eastAsia="仿宋" w:cs="宋体"/>
                <w:kern w:val="0"/>
                <w:sz w:val="24"/>
              </w:rPr>
              <w:t xml:space="preserve">3.其他专项类 </w:t>
            </w:r>
            <w:r>
              <w:rPr>
                <w:rFonts w:hint="eastAsia" w:ascii="仿宋" w:hAnsi="仿宋" w:eastAsia="仿宋" w:cs="宋体"/>
                <w:kern w:val="0"/>
                <w:sz w:val="24"/>
              </w:rPr>
              <w:sym w:font="Wingdings 2" w:char="0052"/>
            </w:r>
            <w:r>
              <w:rPr>
                <w:rFonts w:hint="eastAsia" w:ascii="仿宋" w:hAnsi="仿宋" w:eastAsia="仿宋" w:cs="宋体"/>
                <w:kern w:val="0"/>
                <w:sz w:val="24"/>
              </w:rPr>
              <w:t xml:space="preserve"> </w:t>
            </w:r>
          </w:p>
        </w:tc>
      </w:tr>
      <w:tr>
        <w:tblPrEx>
          <w:tblCellMar>
            <w:top w:w="0" w:type="dxa"/>
            <w:left w:w="108" w:type="dxa"/>
            <w:bottom w:w="0" w:type="dxa"/>
            <w:right w:w="108" w:type="dxa"/>
          </w:tblCellMar>
        </w:tblPrEx>
        <w:trPr>
          <w:trHeight w:val="743"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项目概况</w:t>
            </w:r>
          </w:p>
        </w:tc>
        <w:tc>
          <w:tcPr>
            <w:tcW w:w="7740" w:type="dxa"/>
            <w:gridSpan w:val="10"/>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通过招商引资，实现县域经济的提升，同时带来更好的社会效益。</w:t>
            </w:r>
          </w:p>
        </w:tc>
      </w:tr>
      <w:tr>
        <w:tblPrEx>
          <w:tblCellMar>
            <w:top w:w="0" w:type="dxa"/>
            <w:left w:w="108" w:type="dxa"/>
            <w:bottom w:w="0" w:type="dxa"/>
            <w:right w:w="108" w:type="dxa"/>
          </w:tblCellMar>
        </w:tblPrEx>
        <w:trPr>
          <w:trHeight w:val="1024"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项目立项</w:t>
            </w:r>
            <w:r>
              <w:rPr>
                <w:rFonts w:hint="eastAsia" w:ascii="仿宋" w:hAnsi="仿宋" w:eastAsia="仿宋" w:cs="宋体"/>
                <w:kern w:val="0"/>
                <w:sz w:val="24"/>
              </w:rPr>
              <w:br w:type="textWrapping"/>
            </w:r>
            <w:r>
              <w:rPr>
                <w:rFonts w:hint="eastAsia" w:ascii="仿宋" w:hAnsi="仿宋" w:eastAsia="仿宋" w:cs="宋体"/>
                <w:kern w:val="0"/>
                <w:sz w:val="24"/>
              </w:rPr>
              <w:t>情况</w:t>
            </w:r>
          </w:p>
        </w:tc>
        <w:tc>
          <w:tcPr>
            <w:tcW w:w="7740" w:type="dxa"/>
            <w:gridSpan w:val="10"/>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湘潭县国民经济和社会发展第十四个五年规划纲要以及湘潭县第十六届人民代表大会第一次会议工作报告指示，县域经济要实现大的突破，离不开大型项目的引进以及同级财政经费支持。一是有湘潭县商务局具体负责招商引资工作。二是成立了县招商引资工作领导小组。三是我县拥有丰富的自然资源。境内蕴含矿产资源33种，极具开采价值。这里的锰、海泡石、大理石、石膏等资源位居全国县（市、区）前列，储量占世界已探明的五分之二，是世界海泡石之乡。四是区位优越，交通便捷。湘潭县地处长株潭城市群经济发展一体化核心区，与省会长沙紧壤相连，距黄花机场40分钟车程，与湘潭市区一江之隔，与株洲市相接相邻。县境内42公里湘江水道常年通航。107国道、320国道贯穿全境，京港澳、沪昆、长潭西线、潭韶、潭衡五条高速公路畅达四方，武广高铁和修建中的沪昆高铁穿境而过，在湘潭县内构成了综合立体交通网络。五是我县拥有良好的产业基础。2008年12月天易示范区获批为长株潭“两型社会”建设五大先行先试的示范区之一，天易示范区目前已开发16平方公里，入驻企业达190余家，成立以来示范区围绕智能制造、食品医药及新能源新材料三大主导产业，同步积极培育新材料、节能环保两大战略新兴产业，全力打造“3+2”的两型现代产业体系，当前已初具规模。坚持“一区带三园”的发展思路，着力发展杨河中小企业工业园、茶恩竹木工业园、青山皮鞋工业园，通过培育乡镇工业园区着力打造新的经济增长极，而乡镇工业园区的打造主要在于引进项目，招商引资则是项目引进的保障。　</w:t>
            </w:r>
          </w:p>
        </w:tc>
      </w:tr>
      <w:tr>
        <w:tblPrEx>
          <w:tblCellMar>
            <w:top w:w="0" w:type="dxa"/>
            <w:left w:w="108" w:type="dxa"/>
            <w:bottom w:w="0" w:type="dxa"/>
            <w:right w:w="108" w:type="dxa"/>
          </w:tblCellMar>
        </w:tblPrEx>
        <w:trPr>
          <w:trHeight w:val="499" w:hRule="atLeast"/>
          <w:jc w:val="center"/>
        </w:trPr>
        <w:tc>
          <w:tcPr>
            <w:tcW w:w="1094" w:type="dxa"/>
            <w:vMerge w:val="restart"/>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项目资金情况</w:t>
            </w:r>
          </w:p>
        </w:tc>
        <w:tc>
          <w:tcPr>
            <w:tcW w:w="1094" w:type="dxa"/>
            <w:vMerge w:val="restart"/>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项目资金申请（万元）</w:t>
            </w:r>
          </w:p>
        </w:tc>
        <w:tc>
          <w:tcPr>
            <w:tcW w:w="1458" w:type="dxa"/>
            <w:gridSpan w:val="2"/>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资金来源</w:t>
            </w:r>
          </w:p>
        </w:tc>
        <w:tc>
          <w:tcPr>
            <w:tcW w:w="2694" w:type="dxa"/>
            <w:gridSpan w:val="4"/>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上年度安排资金</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本年度申请资金</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ind w:firstLine="240" w:firstLineChars="100"/>
              <w:jc w:val="center"/>
              <w:rPr>
                <w:rFonts w:ascii="仿宋" w:hAnsi="仿宋" w:eastAsia="仿宋" w:cs="宋体"/>
                <w:kern w:val="0"/>
                <w:sz w:val="24"/>
              </w:rPr>
            </w:pPr>
            <w:r>
              <w:rPr>
                <w:rFonts w:hint="eastAsia" w:ascii="仿宋" w:hAnsi="仿宋" w:eastAsia="仿宋" w:cs="宋体"/>
                <w:kern w:val="0"/>
                <w:sz w:val="24"/>
              </w:rPr>
              <w:t>合   计</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150</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150</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中央/省级</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市级</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县级</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150</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150　</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其他</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690"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restart"/>
            <w:tcBorders>
              <w:top w:val="nil"/>
              <w:left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支出明细预算（万元）</w:t>
            </w: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项目明细</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上年度安</w:t>
            </w:r>
            <w:r>
              <w:rPr>
                <w:rFonts w:hint="eastAsia" w:ascii="仿宋" w:hAnsi="仿宋" w:eastAsia="仿宋" w:cs="宋体"/>
                <w:kern w:val="0"/>
                <w:sz w:val="24"/>
              </w:rPr>
              <w:br w:type="textWrapping"/>
            </w:r>
            <w:r>
              <w:rPr>
                <w:rFonts w:hint="eastAsia" w:ascii="仿宋" w:hAnsi="仿宋" w:eastAsia="仿宋" w:cs="宋体"/>
                <w:kern w:val="0"/>
                <w:sz w:val="24"/>
              </w:rPr>
              <w:t>排资金</w:t>
            </w:r>
          </w:p>
        </w:tc>
        <w:tc>
          <w:tcPr>
            <w:tcW w:w="154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 xml:space="preserve"> 本年度</w:t>
            </w:r>
            <w:r>
              <w:rPr>
                <w:rFonts w:hint="eastAsia" w:ascii="仿宋" w:hAnsi="仿宋" w:eastAsia="仿宋" w:cs="宋体"/>
                <w:kern w:val="0"/>
                <w:sz w:val="24"/>
              </w:rPr>
              <w:br w:type="textWrapping"/>
            </w:r>
            <w:r>
              <w:rPr>
                <w:rFonts w:hint="eastAsia" w:ascii="仿宋" w:hAnsi="仿宋" w:eastAsia="仿宋" w:cs="宋体"/>
                <w:kern w:val="0"/>
                <w:sz w:val="24"/>
              </w:rPr>
              <w:t>申请资金</w:t>
            </w:r>
          </w:p>
        </w:tc>
        <w:tc>
          <w:tcPr>
            <w:tcW w:w="2040" w:type="dxa"/>
            <w:gridSpan w:val="2"/>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测算依据</w:t>
            </w:r>
            <w:r>
              <w:rPr>
                <w:rFonts w:hint="eastAsia" w:ascii="仿宋" w:hAnsi="仿宋" w:eastAsia="仿宋" w:cs="宋体"/>
                <w:kern w:val="0"/>
                <w:sz w:val="24"/>
              </w:rPr>
              <w:br w:type="textWrapping"/>
            </w:r>
            <w:r>
              <w:rPr>
                <w:rFonts w:hint="eastAsia" w:ascii="仿宋" w:hAnsi="仿宋" w:eastAsia="仿宋" w:cs="宋体"/>
                <w:kern w:val="0"/>
                <w:sz w:val="24"/>
              </w:rPr>
              <w:t>及说明</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left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合 计</w:t>
            </w:r>
          </w:p>
        </w:tc>
        <w:tc>
          <w:tcPr>
            <w:tcW w:w="2694" w:type="dxa"/>
            <w:gridSpan w:val="4"/>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w:t>
            </w:r>
          </w:p>
        </w:tc>
        <w:tc>
          <w:tcPr>
            <w:tcW w:w="1548" w:type="dxa"/>
            <w:gridSpan w:val="2"/>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150</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left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1</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项目宣传、策划</w:t>
            </w:r>
          </w:p>
        </w:tc>
        <w:tc>
          <w:tcPr>
            <w:tcW w:w="154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20</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按去年数据及今年需要估计测算</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left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2</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专场招商</w:t>
            </w:r>
          </w:p>
        </w:tc>
        <w:tc>
          <w:tcPr>
            <w:tcW w:w="154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40</w:t>
            </w:r>
          </w:p>
        </w:tc>
        <w:tc>
          <w:tcPr>
            <w:tcW w:w="2040" w:type="dxa"/>
            <w:gridSpan w:val="2"/>
            <w:tcBorders>
              <w:top w:val="single" w:color="auto" w:sz="4" w:space="0"/>
              <w:left w:val="nil"/>
              <w:bottom w:val="single" w:color="auto" w:sz="4" w:space="0"/>
              <w:right w:val="single" w:color="000000"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按去年数据及今年需要估计测算　</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left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3</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招商接待及外出考察</w:t>
            </w:r>
          </w:p>
        </w:tc>
        <w:tc>
          <w:tcPr>
            <w:tcW w:w="154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50</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按去年数据及今年需要估计测算</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left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4</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带动企业参加国际市场拓展及境内国际性展会</w:t>
            </w:r>
          </w:p>
        </w:tc>
        <w:tc>
          <w:tcPr>
            <w:tcW w:w="154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10</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按去年数据及今年需要估计测算</w:t>
            </w:r>
          </w:p>
        </w:tc>
      </w:tr>
      <w:tr>
        <w:tblPrEx>
          <w:tblCellMar>
            <w:top w:w="0" w:type="dxa"/>
            <w:left w:w="108" w:type="dxa"/>
            <w:bottom w:w="0" w:type="dxa"/>
            <w:right w:w="108" w:type="dxa"/>
          </w:tblCellMar>
        </w:tblPrEx>
        <w:trPr>
          <w:trHeight w:val="499" w:hRule="atLeast"/>
          <w:jc w:val="center"/>
        </w:trPr>
        <w:tc>
          <w:tcPr>
            <w:tcW w:w="1094" w:type="dxa"/>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left w:val="single" w:color="auto" w:sz="4" w:space="0"/>
              <w:right w:val="single" w:color="auto" w:sz="4" w:space="0"/>
            </w:tcBorders>
            <w:vAlign w:val="center"/>
          </w:tcPr>
          <w:p>
            <w:pPr>
              <w:widowControl/>
              <w:jc w:val="left"/>
              <w:rPr>
                <w:rFonts w:ascii="仿宋" w:hAnsi="仿宋" w:eastAsia="仿宋" w:cs="宋体"/>
                <w:kern w:val="0"/>
                <w:sz w:val="24"/>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5</w:t>
            </w:r>
          </w:p>
        </w:tc>
        <w:tc>
          <w:tcPr>
            <w:tcW w:w="2694"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人才培训</w:t>
            </w:r>
          </w:p>
        </w:tc>
        <w:tc>
          <w:tcPr>
            <w:tcW w:w="1548"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10</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按去年数据及今年需要估计测算</w:t>
            </w:r>
          </w:p>
        </w:tc>
      </w:tr>
      <w:tr>
        <w:tblPrEx>
          <w:tblCellMar>
            <w:top w:w="0" w:type="dxa"/>
            <w:left w:w="108" w:type="dxa"/>
            <w:bottom w:w="0" w:type="dxa"/>
            <w:right w:w="108" w:type="dxa"/>
          </w:tblCellMar>
        </w:tblPrEx>
        <w:trPr>
          <w:trHeight w:val="884" w:hRule="atLeast"/>
          <w:jc w:val="center"/>
        </w:trPr>
        <w:tc>
          <w:tcPr>
            <w:tcW w:w="2188" w:type="dxa"/>
            <w:gridSpan w:val="2"/>
            <w:tcBorders>
              <w:top w:val="single" w:color="auto" w:sz="4" w:space="0"/>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单位已有的（或拟订的）保证项目实施的制度、措施</w:t>
            </w:r>
          </w:p>
        </w:tc>
        <w:tc>
          <w:tcPr>
            <w:tcW w:w="7740" w:type="dxa"/>
            <w:gridSpan w:val="10"/>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湘潭县财政专项资金分配审批管理办法、湘潭县商务局专项资金管理办法、湘潭县财务管理制度、湘潭县商务局制度汇编。</w:t>
            </w:r>
          </w:p>
        </w:tc>
      </w:tr>
      <w:tr>
        <w:tblPrEx>
          <w:tblCellMar>
            <w:top w:w="0" w:type="dxa"/>
            <w:left w:w="108" w:type="dxa"/>
            <w:bottom w:w="0" w:type="dxa"/>
            <w:right w:w="108" w:type="dxa"/>
          </w:tblCellMar>
        </w:tblPrEx>
        <w:trPr>
          <w:trHeight w:val="1400" w:hRule="atLeast"/>
          <w:jc w:val="center"/>
        </w:trPr>
        <w:tc>
          <w:tcPr>
            <w:tcW w:w="1094" w:type="dxa"/>
            <w:vMerge w:val="restart"/>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绩效目标情况</w:t>
            </w:r>
          </w:p>
        </w:tc>
        <w:tc>
          <w:tcPr>
            <w:tcW w:w="1094"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项目年度绩效目标</w:t>
            </w:r>
          </w:p>
        </w:tc>
        <w:tc>
          <w:tcPr>
            <w:tcW w:w="7740" w:type="dxa"/>
            <w:gridSpan w:val="10"/>
            <w:tcBorders>
              <w:top w:val="single" w:color="auto" w:sz="4" w:space="0"/>
              <w:left w:val="nil"/>
              <w:bottom w:val="single" w:color="auto" w:sz="4" w:space="0"/>
              <w:right w:val="single" w:color="000000"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xml:space="preserve"> 认真贯彻落实县委、县政府的决策部署，紧紧围绕“文明提质、百强提位、发展提效，争当县域经济社会高质量发展领跑者”奋斗目标，大力开展招商引资，年度引进亿元以上招商引资项目16个，实现到位省外境内资金125亿元，外商投资满意度95%以上；积极做好协调服务工作；全力推动签约项目的开工建设。　</w:t>
            </w:r>
          </w:p>
        </w:tc>
      </w:tr>
      <w:tr>
        <w:tblPrEx>
          <w:tblCellMar>
            <w:top w:w="0" w:type="dxa"/>
            <w:left w:w="108" w:type="dxa"/>
            <w:bottom w:w="0" w:type="dxa"/>
            <w:right w:w="108" w:type="dxa"/>
          </w:tblCellMar>
        </w:tblPrEx>
        <w:trPr>
          <w:trHeight w:val="499"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项目年度</w:t>
            </w:r>
            <w:r>
              <w:rPr>
                <w:rFonts w:hint="eastAsia" w:ascii="仿宋" w:hAnsi="仿宋" w:eastAsia="仿宋" w:cs="宋体"/>
                <w:kern w:val="0"/>
                <w:sz w:val="24"/>
              </w:rPr>
              <w:br w:type="textWrapping"/>
            </w:r>
            <w:r>
              <w:rPr>
                <w:rFonts w:hint="eastAsia" w:ascii="仿宋" w:hAnsi="仿宋" w:eastAsia="仿宋" w:cs="宋体"/>
                <w:kern w:val="0"/>
                <w:sz w:val="24"/>
              </w:rPr>
              <w:t>绩效指标</w:t>
            </w:r>
          </w:p>
        </w:tc>
        <w:tc>
          <w:tcPr>
            <w:tcW w:w="132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一级指标</w:t>
            </w:r>
          </w:p>
        </w:tc>
        <w:tc>
          <w:tcPr>
            <w:tcW w:w="1800"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二级指标</w:t>
            </w:r>
          </w:p>
        </w:tc>
        <w:tc>
          <w:tcPr>
            <w:tcW w:w="1940"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指标内容</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指标值</w:t>
            </w:r>
          </w:p>
        </w:tc>
        <w:tc>
          <w:tcPr>
            <w:tcW w:w="1360" w:type="dxa"/>
            <w:tcBorders>
              <w:top w:val="nil"/>
              <w:left w:val="nil"/>
              <w:bottom w:val="single" w:color="auto" w:sz="4" w:space="0"/>
              <w:right w:val="single" w:color="auto" w:sz="8"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备注</w:t>
            </w:r>
          </w:p>
        </w:tc>
      </w:tr>
      <w:tr>
        <w:tblPrEx>
          <w:tblCellMar>
            <w:top w:w="0" w:type="dxa"/>
            <w:left w:w="108" w:type="dxa"/>
            <w:bottom w:w="0" w:type="dxa"/>
            <w:right w:w="108" w:type="dxa"/>
          </w:tblCellMar>
        </w:tblPrEx>
        <w:trPr>
          <w:trHeight w:val="402"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产出指标</w:t>
            </w:r>
          </w:p>
        </w:tc>
        <w:tc>
          <w:tcPr>
            <w:tcW w:w="1800" w:type="dxa"/>
            <w:gridSpan w:val="3"/>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数量指标</w:t>
            </w:r>
          </w:p>
        </w:tc>
        <w:tc>
          <w:tcPr>
            <w:tcW w:w="194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ascii="仿宋" w:hAnsi="仿宋" w:eastAsia="仿宋" w:cs="仿宋_GB2312"/>
                <w:color w:val="000000"/>
                <w:kern w:val="0"/>
                <w:sz w:val="24"/>
              </w:rPr>
              <w:t>合同引进过亿元项目</w:t>
            </w:r>
            <w:r>
              <w:rPr>
                <w:rFonts w:hint="eastAsia" w:ascii="仿宋" w:hAnsi="仿宋" w:eastAsia="仿宋"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16个</w:t>
            </w:r>
          </w:p>
        </w:tc>
        <w:tc>
          <w:tcPr>
            <w:tcW w:w="1360" w:type="dxa"/>
            <w:tcBorders>
              <w:top w:val="nil"/>
              <w:left w:val="nil"/>
              <w:bottom w:val="single" w:color="auto" w:sz="4" w:space="0"/>
              <w:right w:val="single" w:color="auto"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02"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00" w:type="dxa"/>
            <w:gridSpan w:val="3"/>
            <w:vMerge w:val="continue"/>
            <w:tcBorders>
              <w:left w:val="single" w:color="auto" w:sz="4" w:space="0"/>
              <w:right w:val="single" w:color="auto" w:sz="4" w:space="0"/>
            </w:tcBorders>
            <w:vAlign w:val="center"/>
          </w:tcPr>
          <w:p>
            <w:pPr>
              <w:widowControl/>
              <w:jc w:val="left"/>
              <w:rPr>
                <w:rFonts w:ascii="仿宋" w:hAnsi="仿宋" w:eastAsia="仿宋" w:cs="宋体"/>
                <w:kern w:val="0"/>
                <w:sz w:val="24"/>
              </w:rPr>
            </w:pPr>
          </w:p>
        </w:tc>
        <w:tc>
          <w:tcPr>
            <w:tcW w:w="1940" w:type="dxa"/>
            <w:gridSpan w:val="3"/>
            <w:tcBorders>
              <w:top w:val="single" w:color="auto" w:sz="4" w:space="0"/>
              <w:left w:val="nil"/>
              <w:bottom w:val="single" w:color="auto" w:sz="4" w:space="0"/>
              <w:right w:val="single" w:color="auto" w:sz="4" w:space="0"/>
            </w:tcBorders>
            <w:vAlign w:val="center"/>
          </w:tcPr>
          <w:p>
            <w:pPr>
              <w:widowControl/>
              <w:spacing w:line="240" w:lineRule="exact"/>
              <w:rPr>
                <w:rFonts w:ascii="仿宋" w:hAnsi="仿宋" w:eastAsia="仿宋" w:cs="宋体"/>
                <w:kern w:val="0"/>
                <w:sz w:val="24"/>
              </w:rPr>
            </w:pPr>
            <w:r>
              <w:rPr>
                <w:rFonts w:hint="eastAsia" w:ascii="仿宋" w:hAnsi="仿宋" w:eastAsia="仿宋" w:cs="宋体"/>
                <w:kern w:val="0"/>
                <w:sz w:val="24"/>
              </w:rPr>
              <w:t>引进“三类500强”项目</w:t>
            </w:r>
          </w:p>
        </w:tc>
        <w:tc>
          <w:tcPr>
            <w:tcW w:w="132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3个</w:t>
            </w:r>
          </w:p>
        </w:tc>
        <w:tc>
          <w:tcPr>
            <w:tcW w:w="1360" w:type="dxa"/>
            <w:tcBorders>
              <w:top w:val="nil"/>
              <w:left w:val="nil"/>
              <w:bottom w:val="single" w:color="auto" w:sz="4" w:space="0"/>
              <w:right w:val="single" w:color="auto"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90"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质量指标</w:t>
            </w:r>
          </w:p>
        </w:tc>
        <w:tc>
          <w:tcPr>
            <w:tcW w:w="194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2022年度招商引资大会召开</w:t>
            </w:r>
          </w:p>
        </w:tc>
        <w:tc>
          <w:tcPr>
            <w:tcW w:w="132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如期、高质量</w:t>
            </w:r>
          </w:p>
        </w:tc>
        <w:tc>
          <w:tcPr>
            <w:tcW w:w="1360" w:type="dxa"/>
            <w:tcBorders>
              <w:top w:val="nil"/>
              <w:left w:val="nil"/>
              <w:bottom w:val="single" w:color="auto" w:sz="4" w:space="0"/>
              <w:right w:val="single" w:color="auto"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90"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时效指标</w:t>
            </w:r>
          </w:p>
        </w:tc>
        <w:tc>
          <w:tcPr>
            <w:tcW w:w="194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资金拨付（以系统录入为准）</w:t>
            </w:r>
          </w:p>
        </w:tc>
        <w:tc>
          <w:tcPr>
            <w:tcW w:w="132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2022年底</w:t>
            </w:r>
          </w:p>
        </w:tc>
        <w:tc>
          <w:tcPr>
            <w:tcW w:w="1360" w:type="dxa"/>
            <w:tcBorders>
              <w:top w:val="nil"/>
              <w:left w:val="nil"/>
              <w:bottom w:val="single" w:color="auto" w:sz="4" w:space="0"/>
              <w:right w:val="single" w:color="auto" w:sz="8" w:space="0"/>
            </w:tcBorders>
            <w:vAlign w:val="center"/>
          </w:tcPr>
          <w:p>
            <w:pPr>
              <w:widowControl/>
              <w:jc w:val="left"/>
              <w:rPr>
                <w:rFonts w:ascii="仿宋" w:hAnsi="仿宋" w:eastAsia="仿宋" w:cs="宋体"/>
                <w:kern w:val="0"/>
                <w:sz w:val="24"/>
              </w:rPr>
            </w:pPr>
          </w:p>
        </w:tc>
      </w:tr>
      <w:tr>
        <w:tblPrEx>
          <w:tblCellMar>
            <w:top w:w="0" w:type="dxa"/>
            <w:left w:w="108" w:type="dxa"/>
            <w:bottom w:w="0" w:type="dxa"/>
            <w:right w:w="108" w:type="dxa"/>
          </w:tblCellMar>
        </w:tblPrEx>
        <w:trPr>
          <w:trHeight w:val="402"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成本指标</w:t>
            </w:r>
          </w:p>
        </w:tc>
        <w:tc>
          <w:tcPr>
            <w:tcW w:w="194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仿宋_GB2312"/>
                <w:color w:val="000000"/>
                <w:kern w:val="0"/>
                <w:sz w:val="24"/>
              </w:rPr>
              <w:t>人均接待标准</w:t>
            </w:r>
          </w:p>
          <w:p>
            <w:pPr>
              <w:widowControl/>
              <w:spacing w:line="240" w:lineRule="exact"/>
              <w:jc w:val="center"/>
              <w:rPr>
                <w:rFonts w:ascii="仿宋" w:hAnsi="仿宋" w:eastAsia="仿宋" w:cs="宋体"/>
                <w:kern w:val="0"/>
                <w:sz w:val="24"/>
              </w:rPr>
            </w:pPr>
          </w:p>
        </w:tc>
        <w:tc>
          <w:tcPr>
            <w:tcW w:w="132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ascii="仿宋" w:hAnsi="仿宋" w:eastAsia="仿宋" w:cs="仿宋_GB2312"/>
                <w:color w:val="000000"/>
                <w:kern w:val="0"/>
                <w:sz w:val="24"/>
              </w:rPr>
              <w:t>2</w:t>
            </w:r>
            <w:r>
              <w:rPr>
                <w:rFonts w:hint="eastAsia" w:ascii="仿宋" w:hAnsi="仿宋" w:eastAsia="仿宋" w:cs="仿宋_GB2312"/>
                <w:color w:val="000000"/>
                <w:kern w:val="0"/>
                <w:sz w:val="24"/>
              </w:rPr>
              <w:t>00元以下</w:t>
            </w:r>
            <w:bookmarkStart w:id="0" w:name="_GoBack"/>
            <w:bookmarkEnd w:id="0"/>
          </w:p>
        </w:tc>
        <w:tc>
          <w:tcPr>
            <w:tcW w:w="1360" w:type="dxa"/>
            <w:tcBorders>
              <w:top w:val="nil"/>
              <w:left w:val="nil"/>
              <w:bottom w:val="single" w:color="auto" w:sz="4" w:space="0"/>
              <w:right w:val="single" w:color="auto" w:sz="8"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926"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经济效益</w:t>
            </w:r>
            <w:r>
              <w:rPr>
                <w:rFonts w:hint="eastAsia" w:ascii="仿宋" w:hAnsi="仿宋" w:eastAsia="仿宋" w:cs="宋体"/>
                <w:kern w:val="0"/>
                <w:sz w:val="24"/>
              </w:rPr>
              <w:br w:type="textWrapping"/>
            </w:r>
            <w:r>
              <w:rPr>
                <w:rFonts w:hint="eastAsia" w:ascii="仿宋" w:hAnsi="仿宋" w:eastAsia="仿宋" w:cs="宋体"/>
                <w:kern w:val="0"/>
                <w:sz w:val="24"/>
              </w:rPr>
              <w:t>指标</w:t>
            </w:r>
          </w:p>
        </w:tc>
        <w:tc>
          <w:tcPr>
            <w:tcW w:w="194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ascii="仿宋" w:hAnsi="仿宋" w:eastAsia="仿宋" w:cs="仿宋_GB2312"/>
                <w:color w:val="000000"/>
                <w:kern w:val="0"/>
                <w:sz w:val="24"/>
              </w:rPr>
              <w:t>实际到位</w:t>
            </w:r>
            <w:r>
              <w:rPr>
                <w:rFonts w:hint="eastAsia" w:ascii="仿宋" w:hAnsi="仿宋" w:eastAsia="仿宋" w:cs="仿宋_GB2312"/>
                <w:color w:val="000000"/>
                <w:kern w:val="0"/>
                <w:sz w:val="24"/>
              </w:rPr>
              <w:t>省外境内</w:t>
            </w:r>
            <w:r>
              <w:rPr>
                <w:rFonts w:ascii="仿宋" w:hAnsi="仿宋" w:eastAsia="仿宋" w:cs="仿宋_GB2312"/>
                <w:color w:val="000000"/>
                <w:kern w:val="0"/>
                <w:sz w:val="24"/>
              </w:rPr>
              <w:t>内资</w:t>
            </w:r>
            <w:r>
              <w:rPr>
                <w:rFonts w:hint="eastAsia" w:ascii="仿宋" w:hAnsi="仿宋" w:eastAsia="仿宋" w:cs="宋体"/>
                <w:kern w:val="0"/>
                <w:sz w:val="24"/>
              </w:rPr>
              <w:t>　</w:t>
            </w:r>
          </w:p>
        </w:tc>
        <w:tc>
          <w:tcPr>
            <w:tcW w:w="1320" w:type="dxa"/>
            <w:gridSpan w:val="2"/>
            <w:tcBorders>
              <w:top w:val="single" w:color="auto" w:sz="4" w:space="0"/>
              <w:left w:val="nil"/>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125亿元</w:t>
            </w:r>
          </w:p>
        </w:tc>
        <w:tc>
          <w:tcPr>
            <w:tcW w:w="1360" w:type="dxa"/>
            <w:tcBorders>
              <w:top w:val="nil"/>
              <w:left w:val="nil"/>
              <w:bottom w:val="single" w:color="auto" w:sz="4" w:space="0"/>
              <w:right w:val="single" w:color="auto" w:sz="8" w:space="0"/>
            </w:tcBorders>
            <w:vAlign w:val="center"/>
          </w:tcPr>
          <w:p>
            <w:pPr>
              <w:widowControl/>
              <w:jc w:val="left"/>
              <w:rPr>
                <w:rFonts w:ascii="仿宋" w:hAnsi="仿宋" w:eastAsia="仿宋" w:cs="仿宋_GB2312"/>
                <w:color w:val="000000"/>
                <w:kern w:val="0"/>
                <w:sz w:val="24"/>
              </w:rPr>
            </w:pPr>
            <w:r>
              <w:rPr>
                <w:rFonts w:hint="eastAsia" w:ascii="仿宋" w:hAnsi="仿宋" w:eastAsia="仿宋" w:cs="仿宋_GB2312"/>
                <w:color w:val="000000"/>
                <w:kern w:val="0"/>
                <w:sz w:val="24"/>
              </w:rPr>
              <w:t>　</w:t>
            </w:r>
          </w:p>
        </w:tc>
      </w:tr>
      <w:tr>
        <w:tblPrEx>
          <w:tblCellMar>
            <w:top w:w="0" w:type="dxa"/>
            <w:left w:w="108" w:type="dxa"/>
            <w:bottom w:w="0" w:type="dxa"/>
            <w:right w:w="108" w:type="dxa"/>
          </w:tblCellMar>
        </w:tblPrEx>
        <w:trPr>
          <w:trHeight w:val="926"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生态效益</w:t>
            </w:r>
            <w:r>
              <w:rPr>
                <w:rFonts w:hint="eastAsia" w:ascii="仿宋" w:hAnsi="仿宋" w:eastAsia="仿宋" w:cs="宋体"/>
                <w:kern w:val="0"/>
                <w:sz w:val="24"/>
              </w:rPr>
              <w:br w:type="textWrapping"/>
            </w:r>
            <w:r>
              <w:rPr>
                <w:rFonts w:hint="eastAsia" w:ascii="仿宋" w:hAnsi="仿宋" w:eastAsia="仿宋" w:cs="宋体"/>
                <w:kern w:val="0"/>
                <w:sz w:val="24"/>
              </w:rPr>
              <w:t>指标</w:t>
            </w:r>
          </w:p>
        </w:tc>
        <w:tc>
          <w:tcPr>
            <w:tcW w:w="194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环境影响评估合格率　</w:t>
            </w:r>
          </w:p>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　</w:t>
            </w:r>
          </w:p>
        </w:tc>
        <w:tc>
          <w:tcPr>
            <w:tcW w:w="1320" w:type="dxa"/>
            <w:gridSpan w:val="2"/>
            <w:tcBorders>
              <w:top w:val="single" w:color="auto" w:sz="4" w:space="0"/>
              <w:left w:val="nil"/>
              <w:right w:val="single" w:color="auto" w:sz="4" w:space="0"/>
            </w:tcBorders>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100%</w:t>
            </w:r>
          </w:p>
          <w:p>
            <w:pPr>
              <w:widowControl/>
              <w:jc w:val="center"/>
              <w:rPr>
                <w:rFonts w:ascii="仿宋" w:hAnsi="仿宋" w:eastAsia="仿宋" w:cs="仿宋_GB2312"/>
                <w:color w:val="000000"/>
                <w:kern w:val="0"/>
                <w:sz w:val="24"/>
              </w:rPr>
            </w:pPr>
          </w:p>
        </w:tc>
        <w:tc>
          <w:tcPr>
            <w:tcW w:w="1360" w:type="dxa"/>
            <w:tcBorders>
              <w:top w:val="nil"/>
              <w:left w:val="nil"/>
              <w:bottom w:val="single" w:color="auto" w:sz="4" w:space="0"/>
              <w:right w:val="single" w:color="auto" w:sz="8" w:space="0"/>
            </w:tcBorders>
            <w:vAlign w:val="center"/>
          </w:tcPr>
          <w:p>
            <w:pPr>
              <w:widowControl/>
              <w:jc w:val="left"/>
              <w:rPr>
                <w:rFonts w:ascii="仿宋" w:hAnsi="仿宋" w:eastAsia="仿宋" w:cs="仿宋_GB2312"/>
                <w:color w:val="000000"/>
                <w:kern w:val="0"/>
                <w:sz w:val="24"/>
              </w:rPr>
            </w:pPr>
            <w:r>
              <w:rPr>
                <w:rFonts w:hint="eastAsia" w:ascii="仿宋" w:hAnsi="仿宋" w:eastAsia="仿宋" w:cs="仿宋_GB2312"/>
                <w:color w:val="000000"/>
                <w:kern w:val="0"/>
                <w:sz w:val="24"/>
              </w:rPr>
              <w:t>审批合格数/上报审批数</w:t>
            </w:r>
          </w:p>
          <w:p>
            <w:pPr>
              <w:widowControl/>
              <w:jc w:val="left"/>
              <w:rPr>
                <w:rFonts w:ascii="仿宋" w:hAnsi="仿宋" w:eastAsia="仿宋" w:cs="仿宋_GB2312"/>
                <w:color w:val="000000"/>
                <w:kern w:val="0"/>
                <w:sz w:val="24"/>
              </w:rPr>
            </w:pPr>
            <w:r>
              <w:rPr>
                <w:rFonts w:hint="eastAsia" w:ascii="仿宋" w:hAnsi="仿宋" w:eastAsia="仿宋" w:cs="仿宋_GB2312"/>
                <w:color w:val="000000"/>
                <w:kern w:val="0"/>
                <w:sz w:val="24"/>
              </w:rPr>
              <w:t>　</w:t>
            </w:r>
          </w:p>
        </w:tc>
      </w:tr>
      <w:tr>
        <w:tblPrEx>
          <w:tblCellMar>
            <w:top w:w="0" w:type="dxa"/>
            <w:left w:w="108" w:type="dxa"/>
            <w:bottom w:w="0" w:type="dxa"/>
            <w:right w:w="108" w:type="dxa"/>
          </w:tblCellMar>
        </w:tblPrEx>
        <w:trPr>
          <w:trHeight w:val="1362"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可持续影响指标</w:t>
            </w:r>
          </w:p>
        </w:tc>
        <w:tc>
          <w:tcPr>
            <w:tcW w:w="194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上年度引进项目正常运转　　</w:t>
            </w:r>
          </w:p>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　</w:t>
            </w:r>
          </w:p>
        </w:tc>
        <w:tc>
          <w:tcPr>
            <w:tcW w:w="1320" w:type="dxa"/>
            <w:gridSpan w:val="2"/>
            <w:tcBorders>
              <w:top w:val="single" w:color="auto" w:sz="4" w:space="0"/>
              <w:left w:val="nil"/>
              <w:right w:val="single" w:color="auto" w:sz="4" w:space="0"/>
            </w:tcBorders>
            <w:vAlign w:val="center"/>
          </w:tcPr>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90%</w:t>
            </w:r>
          </w:p>
          <w:p>
            <w:pPr>
              <w:widowControl/>
              <w:spacing w:line="240" w:lineRule="exact"/>
              <w:jc w:val="center"/>
              <w:rPr>
                <w:rFonts w:ascii="仿宋" w:hAnsi="仿宋" w:eastAsia="仿宋" w:cs="仿宋_GB2312"/>
                <w:color w:val="000000"/>
                <w:kern w:val="0"/>
                <w:sz w:val="24"/>
              </w:rPr>
            </w:pPr>
          </w:p>
        </w:tc>
        <w:tc>
          <w:tcPr>
            <w:tcW w:w="1360" w:type="dxa"/>
            <w:tcBorders>
              <w:top w:val="nil"/>
              <w:left w:val="nil"/>
              <w:bottom w:val="single" w:color="auto" w:sz="4" w:space="0"/>
              <w:right w:val="single" w:color="auto" w:sz="8" w:space="0"/>
            </w:tcBorders>
            <w:vAlign w:val="center"/>
          </w:tcPr>
          <w:p>
            <w:pPr>
              <w:widowControl/>
              <w:spacing w:line="240" w:lineRule="exact"/>
              <w:jc w:val="left"/>
              <w:rPr>
                <w:rFonts w:ascii="仿宋" w:hAnsi="仿宋" w:eastAsia="仿宋" w:cs="仿宋_GB2312"/>
                <w:color w:val="000000"/>
                <w:kern w:val="0"/>
                <w:sz w:val="24"/>
              </w:rPr>
            </w:pPr>
            <w:r>
              <w:rPr>
                <w:rFonts w:hint="eastAsia" w:ascii="仿宋" w:hAnsi="仿宋" w:eastAsia="仿宋" w:cs="仿宋_GB2312"/>
                <w:color w:val="000000"/>
                <w:kern w:val="0"/>
                <w:sz w:val="24"/>
              </w:rPr>
              <w:t>　</w:t>
            </w:r>
          </w:p>
          <w:p>
            <w:pPr>
              <w:widowControl/>
              <w:spacing w:line="240" w:lineRule="exact"/>
              <w:jc w:val="left"/>
              <w:rPr>
                <w:rFonts w:ascii="仿宋" w:hAnsi="仿宋" w:eastAsia="仿宋" w:cs="仿宋_GB2312"/>
                <w:color w:val="000000"/>
                <w:kern w:val="0"/>
                <w:sz w:val="24"/>
              </w:rPr>
            </w:pPr>
            <w:r>
              <w:rPr>
                <w:rFonts w:hint="eastAsia" w:ascii="仿宋" w:hAnsi="仿宋" w:eastAsia="仿宋" w:cs="仿宋_GB2312"/>
                <w:color w:val="000000"/>
                <w:kern w:val="0"/>
                <w:sz w:val="24"/>
              </w:rPr>
              <w:t>正常运转项目/上年度引进项目</w:t>
            </w:r>
          </w:p>
        </w:tc>
      </w:tr>
      <w:tr>
        <w:tblPrEx>
          <w:tblCellMar>
            <w:top w:w="0" w:type="dxa"/>
            <w:left w:w="108" w:type="dxa"/>
            <w:bottom w:w="0" w:type="dxa"/>
            <w:right w:w="108" w:type="dxa"/>
          </w:tblCellMar>
        </w:tblPrEx>
        <w:trPr>
          <w:trHeight w:val="391" w:hRule="atLeast"/>
          <w:jc w:val="center"/>
        </w:trPr>
        <w:tc>
          <w:tcPr>
            <w:tcW w:w="1094" w:type="dxa"/>
            <w:vMerge w:val="continue"/>
            <w:tcBorders>
              <w:top w:val="nil"/>
              <w:left w:val="single" w:color="auto" w:sz="8"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0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00"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社会公众或服务对象满意度</w:t>
            </w:r>
          </w:p>
        </w:tc>
        <w:tc>
          <w:tcPr>
            <w:tcW w:w="194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投资者、外来投资企业满意度　　</w:t>
            </w:r>
          </w:p>
        </w:tc>
        <w:tc>
          <w:tcPr>
            <w:tcW w:w="132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95%</w:t>
            </w:r>
          </w:p>
        </w:tc>
        <w:tc>
          <w:tcPr>
            <w:tcW w:w="1360" w:type="dxa"/>
            <w:tcBorders>
              <w:top w:val="nil"/>
              <w:left w:val="nil"/>
              <w:bottom w:val="single" w:color="auto" w:sz="4" w:space="0"/>
              <w:right w:val="single" w:color="auto" w:sz="8" w:space="0"/>
            </w:tcBorders>
            <w:vAlign w:val="center"/>
          </w:tcPr>
          <w:p>
            <w:pPr>
              <w:widowControl/>
              <w:spacing w:line="240" w:lineRule="exact"/>
              <w:jc w:val="left"/>
              <w:rPr>
                <w:rFonts w:ascii="仿宋" w:hAnsi="仿宋" w:eastAsia="仿宋" w:cs="仿宋_GB2312"/>
                <w:color w:val="000000"/>
                <w:kern w:val="0"/>
                <w:sz w:val="24"/>
              </w:rPr>
            </w:pPr>
            <w:r>
              <w:rPr>
                <w:rFonts w:hint="eastAsia" w:ascii="仿宋" w:hAnsi="仿宋" w:eastAsia="仿宋" w:cs="仿宋_GB2312"/>
                <w:color w:val="000000"/>
                <w:kern w:val="0"/>
                <w:sz w:val="24"/>
              </w:rPr>
              <w:t>　服务企业回访登记</w:t>
            </w:r>
          </w:p>
        </w:tc>
      </w:tr>
      <w:tr>
        <w:tblPrEx>
          <w:tblCellMar>
            <w:top w:w="0" w:type="dxa"/>
            <w:left w:w="108" w:type="dxa"/>
            <w:bottom w:w="0" w:type="dxa"/>
            <w:right w:w="108" w:type="dxa"/>
          </w:tblCellMar>
        </w:tblPrEx>
        <w:trPr>
          <w:trHeight w:val="612" w:hRule="atLeast"/>
          <w:jc w:val="center"/>
        </w:trPr>
        <w:tc>
          <w:tcPr>
            <w:tcW w:w="1094" w:type="dxa"/>
            <w:vMerge w:val="restart"/>
            <w:tcBorders>
              <w:top w:val="single" w:color="auto" w:sz="4" w:space="0"/>
              <w:left w:val="single" w:color="auto" w:sz="8" w:space="0"/>
              <w:right w:val="single" w:color="000000"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财政部门审核意见</w:t>
            </w:r>
          </w:p>
        </w:tc>
        <w:tc>
          <w:tcPr>
            <w:tcW w:w="1094" w:type="dxa"/>
            <w:tcBorders>
              <w:top w:val="single" w:color="auto" w:sz="4" w:space="0"/>
              <w:left w:val="single" w:color="auto" w:sz="8" w:space="0"/>
              <w:bottom w:val="single" w:color="auto" w:sz="4" w:space="0"/>
              <w:right w:val="single" w:color="auto" w:sz="4" w:space="0"/>
            </w:tcBorders>
            <w:vAlign w:val="center"/>
          </w:tcPr>
          <w:p>
            <w:pPr>
              <w:jc w:val="center"/>
              <w:rPr>
                <w:rFonts w:ascii="仿宋" w:hAnsi="仿宋" w:eastAsia="仿宋" w:cs="宋体"/>
                <w:kern w:val="0"/>
                <w:sz w:val="24"/>
              </w:rPr>
            </w:pPr>
            <w:r>
              <w:rPr>
                <w:rFonts w:hint="eastAsia" w:ascii="仿宋" w:hAnsi="仿宋" w:eastAsia="仿宋" w:cs="宋体"/>
                <w:kern w:val="0"/>
                <w:sz w:val="24"/>
              </w:rPr>
              <w:t>审核股室</w:t>
            </w:r>
          </w:p>
        </w:tc>
        <w:tc>
          <w:tcPr>
            <w:tcW w:w="3660" w:type="dxa"/>
            <w:gridSpan w:val="5"/>
            <w:tcBorders>
              <w:top w:val="single" w:color="auto" w:sz="4" w:space="0"/>
              <w:left w:val="single" w:color="auto" w:sz="4" w:space="0"/>
              <w:bottom w:val="single" w:color="auto" w:sz="4" w:space="0"/>
              <w:right w:val="single" w:color="auto" w:sz="4" w:space="0"/>
            </w:tcBorders>
          </w:tcPr>
          <w:p>
            <w:pPr>
              <w:spacing w:line="240" w:lineRule="exact"/>
              <w:jc w:val="center"/>
              <w:rPr>
                <w:rFonts w:ascii="仿宋" w:hAnsi="仿宋" w:eastAsia="仿宋" w:cs="宋体"/>
                <w:kern w:val="0"/>
                <w:sz w:val="24"/>
              </w:rPr>
            </w:pPr>
          </w:p>
          <w:p>
            <w:pPr>
              <w:spacing w:line="240" w:lineRule="exact"/>
              <w:jc w:val="center"/>
              <w:rPr>
                <w:rFonts w:ascii="仿宋" w:hAnsi="仿宋" w:eastAsia="仿宋" w:cs="宋体"/>
                <w:kern w:val="0"/>
                <w:sz w:val="24"/>
              </w:rPr>
            </w:pPr>
            <w:r>
              <w:rPr>
                <w:rFonts w:hint="eastAsia" w:ascii="仿宋" w:hAnsi="仿宋" w:eastAsia="仿宋" w:cs="宋体"/>
                <w:kern w:val="0"/>
                <w:sz w:val="24"/>
              </w:rPr>
              <w:t>审核的主要内容</w:t>
            </w:r>
          </w:p>
        </w:tc>
        <w:tc>
          <w:tcPr>
            <w:tcW w:w="4080" w:type="dxa"/>
            <w:gridSpan w:val="5"/>
            <w:tcBorders>
              <w:top w:val="single" w:color="auto" w:sz="4" w:space="0"/>
              <w:left w:val="single" w:color="auto" w:sz="4" w:space="0"/>
              <w:bottom w:val="single" w:color="auto" w:sz="4" w:space="0"/>
              <w:right w:val="single" w:color="auto" w:sz="4" w:space="0"/>
            </w:tcBorders>
          </w:tcPr>
          <w:p>
            <w:pPr>
              <w:pStyle w:val="15"/>
              <w:spacing w:line="240" w:lineRule="exact"/>
              <w:ind w:left="420" w:firstLine="0" w:firstLineChars="0"/>
              <w:jc w:val="center"/>
              <w:rPr>
                <w:rFonts w:ascii="仿宋" w:hAnsi="仿宋" w:cs="宋体"/>
                <w:kern w:val="0"/>
                <w:sz w:val="24"/>
              </w:rPr>
            </w:pPr>
          </w:p>
          <w:p>
            <w:pPr>
              <w:pStyle w:val="15"/>
              <w:spacing w:line="240" w:lineRule="exact"/>
              <w:ind w:left="420" w:firstLine="0" w:firstLineChars="0"/>
              <w:jc w:val="center"/>
              <w:rPr>
                <w:rFonts w:ascii="仿宋" w:hAnsi="仿宋" w:cs="宋体"/>
                <w:kern w:val="0"/>
                <w:sz w:val="24"/>
              </w:rPr>
            </w:pPr>
            <w:r>
              <w:rPr>
                <w:rFonts w:hint="eastAsia" w:ascii="仿宋" w:hAnsi="仿宋" w:cs="宋体"/>
                <w:kern w:val="0"/>
                <w:sz w:val="24"/>
              </w:rPr>
              <w:t>审核意见</w:t>
            </w:r>
          </w:p>
        </w:tc>
      </w:tr>
      <w:tr>
        <w:tblPrEx>
          <w:tblCellMar>
            <w:top w:w="0" w:type="dxa"/>
            <w:left w:w="108" w:type="dxa"/>
            <w:bottom w:w="0" w:type="dxa"/>
            <w:right w:w="108" w:type="dxa"/>
          </w:tblCellMar>
        </w:tblPrEx>
        <w:trPr>
          <w:trHeight w:val="1826" w:hRule="atLeast"/>
          <w:jc w:val="center"/>
        </w:trPr>
        <w:tc>
          <w:tcPr>
            <w:tcW w:w="1094" w:type="dxa"/>
            <w:vMerge w:val="continue"/>
            <w:tcBorders>
              <w:left w:val="single" w:color="auto" w:sz="8" w:space="0"/>
              <w:bottom w:val="single" w:color="auto" w:sz="4" w:space="0"/>
              <w:right w:val="single" w:color="000000" w:sz="4" w:space="0"/>
            </w:tcBorders>
            <w:vAlign w:val="center"/>
          </w:tcPr>
          <w:p>
            <w:pPr>
              <w:widowControl/>
              <w:jc w:val="center"/>
              <w:rPr>
                <w:rFonts w:ascii="仿宋" w:hAnsi="仿宋" w:eastAsia="仿宋" w:cs="宋体"/>
                <w:kern w:val="0"/>
                <w:sz w:val="24"/>
              </w:rPr>
            </w:pPr>
          </w:p>
        </w:tc>
        <w:tc>
          <w:tcPr>
            <w:tcW w:w="1094" w:type="dxa"/>
            <w:tcBorders>
              <w:top w:val="single" w:color="auto" w:sz="4" w:space="0"/>
              <w:left w:val="single" w:color="auto" w:sz="8" w:space="0"/>
              <w:bottom w:val="single" w:color="auto" w:sz="4" w:space="0"/>
              <w:right w:val="single" w:color="000000" w:sz="4" w:space="0"/>
            </w:tcBorders>
            <w:vAlign w:val="center"/>
          </w:tcPr>
          <w:p>
            <w:pPr>
              <w:jc w:val="center"/>
              <w:rPr>
                <w:rFonts w:ascii="仿宋" w:hAnsi="仿宋" w:eastAsia="仿宋" w:cs="宋体"/>
                <w:kern w:val="0"/>
                <w:sz w:val="24"/>
              </w:rPr>
            </w:pPr>
            <w:r>
              <w:rPr>
                <w:rFonts w:hint="eastAsia" w:ascii="仿宋" w:hAnsi="仿宋" w:eastAsia="仿宋" w:cs="宋体"/>
                <w:kern w:val="0"/>
                <w:sz w:val="24"/>
              </w:rPr>
              <w:t>财政部门归口业务股室审核意见</w:t>
            </w:r>
          </w:p>
        </w:tc>
        <w:tc>
          <w:tcPr>
            <w:tcW w:w="3660" w:type="dxa"/>
            <w:gridSpan w:val="5"/>
            <w:tcBorders>
              <w:top w:val="single" w:color="auto" w:sz="4" w:space="0"/>
              <w:left w:val="nil"/>
              <w:bottom w:val="single" w:color="auto" w:sz="4" w:space="0"/>
              <w:right w:val="single" w:color="auto" w:sz="4" w:space="0"/>
            </w:tcBorders>
            <w:vAlign w:val="bottom"/>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1、是否立项及项目属性确定；</w:t>
            </w:r>
          </w:p>
          <w:p>
            <w:pPr>
              <w:widowControl/>
              <w:spacing w:line="240" w:lineRule="exact"/>
              <w:jc w:val="left"/>
              <w:rPr>
                <w:rFonts w:ascii="仿宋" w:hAnsi="仿宋" w:eastAsia="仿宋" w:cs="宋体"/>
                <w:kern w:val="0"/>
                <w:sz w:val="24"/>
              </w:rPr>
            </w:pPr>
            <w:r>
              <w:rPr>
                <w:rFonts w:hint="eastAsia" w:ascii="仿宋" w:hAnsi="仿宋" w:eastAsia="仿宋" w:cs="宋体"/>
                <w:kern w:val="0"/>
                <w:sz w:val="24"/>
              </w:rPr>
              <w:t>2、绩效目标设定是否合理；</w:t>
            </w:r>
          </w:p>
          <w:p>
            <w:pPr>
              <w:widowControl/>
              <w:spacing w:line="240" w:lineRule="exact"/>
              <w:jc w:val="left"/>
              <w:rPr>
                <w:rFonts w:ascii="仿宋" w:hAnsi="仿宋" w:eastAsia="仿宋" w:cs="宋体"/>
                <w:kern w:val="0"/>
                <w:sz w:val="24"/>
              </w:rPr>
            </w:pPr>
            <w:r>
              <w:rPr>
                <w:rFonts w:hint="eastAsia" w:ascii="仿宋" w:hAnsi="仿宋" w:eastAsia="仿宋" w:cs="宋体"/>
                <w:kern w:val="0"/>
                <w:sz w:val="24"/>
              </w:rPr>
              <w:t>3、预算资金可供量是否合理</w:t>
            </w:r>
          </w:p>
          <w:p>
            <w:pPr>
              <w:widowControl/>
              <w:spacing w:line="240" w:lineRule="exact"/>
              <w:jc w:val="left"/>
              <w:rPr>
                <w:rFonts w:ascii="仿宋" w:hAnsi="仿宋" w:eastAsia="仿宋" w:cs="宋体"/>
                <w:kern w:val="0"/>
                <w:sz w:val="24"/>
              </w:rPr>
            </w:pPr>
            <w:r>
              <w:rPr>
                <w:rFonts w:hint="eastAsia" w:ascii="仿宋" w:hAnsi="仿宋" w:eastAsia="仿宋" w:cs="宋体"/>
                <w:kern w:val="0"/>
                <w:sz w:val="24"/>
              </w:rPr>
              <w:t>4、项目、资金及财务管理措施；</w:t>
            </w:r>
          </w:p>
          <w:p>
            <w:pPr>
              <w:widowControl/>
              <w:spacing w:line="240" w:lineRule="exact"/>
              <w:jc w:val="left"/>
              <w:rPr>
                <w:rFonts w:ascii="仿宋" w:hAnsi="仿宋" w:eastAsia="仿宋" w:cs="宋体"/>
                <w:kern w:val="0"/>
                <w:sz w:val="24"/>
              </w:rPr>
            </w:pPr>
            <w:r>
              <w:rPr>
                <w:rFonts w:hint="eastAsia" w:ascii="仿宋" w:hAnsi="仿宋" w:eastAsia="仿宋" w:cs="宋体"/>
                <w:kern w:val="0"/>
                <w:sz w:val="24"/>
              </w:rPr>
              <w:t>5、其他。</w:t>
            </w:r>
          </w:p>
          <w:p>
            <w:pPr>
              <w:widowControl/>
              <w:spacing w:line="240" w:lineRule="exact"/>
              <w:ind w:right="480"/>
              <w:jc w:val="left"/>
              <w:rPr>
                <w:rFonts w:ascii="仿宋" w:hAnsi="仿宋" w:eastAsia="仿宋" w:cs="宋体"/>
                <w:kern w:val="0"/>
                <w:sz w:val="24"/>
              </w:rPr>
            </w:pPr>
            <w:r>
              <w:rPr>
                <w:rFonts w:hint="eastAsia" w:ascii="仿宋" w:hAnsi="仿宋" w:eastAsia="仿宋" w:cs="宋体"/>
                <w:kern w:val="0"/>
                <w:sz w:val="24"/>
              </w:rPr>
              <w:t xml:space="preserve">                  </w:t>
            </w:r>
          </w:p>
        </w:tc>
        <w:tc>
          <w:tcPr>
            <w:tcW w:w="4080" w:type="dxa"/>
            <w:gridSpan w:val="5"/>
            <w:tcBorders>
              <w:top w:val="single" w:color="auto" w:sz="4" w:space="0"/>
              <w:left w:val="single" w:color="auto" w:sz="4" w:space="0"/>
              <w:bottom w:val="single" w:color="auto" w:sz="4" w:space="0"/>
              <w:right w:val="single" w:color="000000" w:sz="8" w:space="0"/>
            </w:tcBorders>
            <w:vAlign w:val="bottom"/>
          </w:tcPr>
          <w:p>
            <w:pPr>
              <w:jc w:val="center"/>
              <w:rPr>
                <w:rFonts w:ascii="仿宋" w:hAnsi="仿宋" w:eastAsia="仿宋" w:cs="宋体"/>
                <w:kern w:val="0"/>
                <w:sz w:val="24"/>
              </w:rPr>
            </w:pPr>
            <w:r>
              <w:rPr>
                <w:rFonts w:hint="eastAsia" w:ascii="仿宋" w:hAnsi="仿宋" w:eastAsia="仿宋" w:cs="宋体"/>
                <w:kern w:val="0"/>
                <w:sz w:val="24"/>
              </w:rPr>
              <w:t>审核人：            年  月  日</w:t>
            </w:r>
          </w:p>
        </w:tc>
      </w:tr>
      <w:tr>
        <w:tblPrEx>
          <w:tblCellMar>
            <w:top w:w="0" w:type="dxa"/>
            <w:left w:w="108" w:type="dxa"/>
            <w:bottom w:w="0" w:type="dxa"/>
            <w:right w:w="108" w:type="dxa"/>
          </w:tblCellMar>
        </w:tblPrEx>
        <w:trPr>
          <w:trHeight w:val="1911" w:hRule="atLeast"/>
          <w:jc w:val="center"/>
        </w:trPr>
        <w:tc>
          <w:tcPr>
            <w:tcW w:w="1094" w:type="dxa"/>
            <w:vMerge w:val="restart"/>
            <w:tcBorders>
              <w:top w:val="single" w:color="auto" w:sz="4" w:space="0"/>
              <w:left w:val="single" w:color="auto" w:sz="8" w:space="0"/>
              <w:right w:val="single" w:color="000000" w:sz="4" w:space="0"/>
            </w:tcBorders>
            <w:vAlign w:val="center"/>
          </w:tcPr>
          <w:p>
            <w:pPr>
              <w:widowControl/>
              <w:jc w:val="center"/>
              <w:rPr>
                <w:rFonts w:ascii="仿宋" w:hAnsi="仿宋" w:eastAsia="仿宋" w:cs="宋体"/>
                <w:kern w:val="0"/>
                <w:sz w:val="24"/>
              </w:rPr>
            </w:pPr>
          </w:p>
        </w:tc>
        <w:tc>
          <w:tcPr>
            <w:tcW w:w="1094" w:type="dxa"/>
            <w:tcBorders>
              <w:top w:val="single" w:color="auto" w:sz="4" w:space="0"/>
              <w:left w:val="single" w:color="auto" w:sz="8" w:space="0"/>
              <w:bottom w:val="single" w:color="auto" w:sz="4" w:space="0"/>
              <w:right w:val="single" w:color="000000" w:sz="4" w:space="0"/>
            </w:tcBorders>
            <w:vAlign w:val="center"/>
          </w:tcPr>
          <w:p>
            <w:pPr>
              <w:jc w:val="left"/>
              <w:rPr>
                <w:rFonts w:ascii="仿宋" w:hAnsi="仿宋" w:eastAsia="仿宋" w:cs="宋体"/>
                <w:kern w:val="0"/>
                <w:sz w:val="24"/>
              </w:rPr>
            </w:pPr>
            <w:r>
              <w:rPr>
                <w:rFonts w:hint="eastAsia" w:ascii="仿宋" w:hAnsi="仿宋" w:eastAsia="仿宋" w:cs="宋体"/>
                <w:kern w:val="0"/>
                <w:sz w:val="24"/>
              </w:rPr>
              <w:t>绩效评价股审核意见</w:t>
            </w:r>
          </w:p>
        </w:tc>
        <w:tc>
          <w:tcPr>
            <w:tcW w:w="3660" w:type="dxa"/>
            <w:gridSpan w:val="5"/>
            <w:tcBorders>
              <w:top w:val="single" w:color="auto" w:sz="4" w:space="0"/>
              <w:left w:val="nil"/>
              <w:bottom w:val="single" w:color="auto" w:sz="4" w:space="0"/>
              <w:right w:val="single" w:color="auto" w:sz="4" w:space="0"/>
            </w:tcBorders>
            <w:vAlign w:val="bottom"/>
          </w:tcPr>
          <w:p>
            <w:pPr>
              <w:jc w:val="left"/>
              <w:rPr>
                <w:rFonts w:ascii="仿宋" w:hAnsi="仿宋" w:eastAsia="仿宋" w:cs="宋体"/>
                <w:kern w:val="0"/>
                <w:sz w:val="24"/>
              </w:rPr>
            </w:pPr>
            <w:r>
              <w:rPr>
                <w:rFonts w:hint="eastAsia" w:ascii="仿宋" w:hAnsi="仿宋" w:eastAsia="仿宋" w:cs="宋体"/>
                <w:kern w:val="0"/>
                <w:sz w:val="24"/>
              </w:rPr>
              <w:t>1、填报内容是否完整；</w:t>
            </w:r>
          </w:p>
          <w:p>
            <w:pPr>
              <w:jc w:val="left"/>
              <w:rPr>
                <w:rFonts w:ascii="仿宋" w:hAnsi="仿宋" w:eastAsia="仿宋" w:cs="宋体"/>
                <w:kern w:val="0"/>
                <w:sz w:val="24"/>
              </w:rPr>
            </w:pPr>
            <w:r>
              <w:rPr>
                <w:rFonts w:hint="eastAsia" w:ascii="仿宋" w:hAnsi="仿宋" w:eastAsia="仿宋" w:cs="宋体"/>
                <w:kern w:val="0"/>
                <w:sz w:val="24"/>
              </w:rPr>
              <w:t>2、是否设定量化的绩效目标；</w:t>
            </w:r>
          </w:p>
          <w:p>
            <w:pPr>
              <w:jc w:val="left"/>
              <w:rPr>
                <w:rFonts w:ascii="仿宋" w:hAnsi="仿宋" w:eastAsia="仿宋" w:cs="宋体"/>
                <w:kern w:val="0"/>
                <w:sz w:val="24"/>
              </w:rPr>
            </w:pPr>
            <w:r>
              <w:rPr>
                <w:rFonts w:hint="eastAsia" w:ascii="仿宋" w:hAnsi="仿宋" w:eastAsia="仿宋" w:cs="宋体"/>
                <w:kern w:val="0"/>
                <w:sz w:val="24"/>
              </w:rPr>
              <w:t>3、是否有适当、细化的绩效指标及其与绩效目标的对应性；</w:t>
            </w:r>
          </w:p>
          <w:p>
            <w:pPr>
              <w:jc w:val="left"/>
              <w:rPr>
                <w:rFonts w:ascii="仿宋" w:hAnsi="仿宋" w:eastAsia="仿宋" w:cs="宋体"/>
                <w:kern w:val="0"/>
                <w:sz w:val="24"/>
              </w:rPr>
            </w:pPr>
            <w:r>
              <w:rPr>
                <w:rFonts w:hint="eastAsia" w:ascii="仿宋" w:hAnsi="仿宋" w:eastAsia="仿宋" w:cs="宋体"/>
                <w:kern w:val="0"/>
                <w:sz w:val="24"/>
              </w:rPr>
              <w:t>4、其他</w:t>
            </w:r>
          </w:p>
        </w:tc>
        <w:tc>
          <w:tcPr>
            <w:tcW w:w="4080" w:type="dxa"/>
            <w:gridSpan w:val="5"/>
            <w:tcBorders>
              <w:top w:val="single" w:color="auto" w:sz="4" w:space="0"/>
              <w:left w:val="single" w:color="auto" w:sz="4" w:space="0"/>
              <w:bottom w:val="single" w:color="auto" w:sz="4" w:space="0"/>
              <w:right w:val="single" w:color="000000" w:sz="8" w:space="0"/>
            </w:tcBorders>
            <w:vAlign w:val="bottom"/>
          </w:tcPr>
          <w:p>
            <w:pPr>
              <w:jc w:val="left"/>
              <w:rPr>
                <w:rFonts w:ascii="仿宋" w:hAnsi="仿宋" w:eastAsia="仿宋" w:cs="宋体"/>
                <w:kern w:val="0"/>
                <w:sz w:val="24"/>
              </w:rPr>
            </w:pPr>
            <w:r>
              <w:rPr>
                <w:rFonts w:hint="eastAsia" w:ascii="仿宋" w:hAnsi="仿宋" w:eastAsia="仿宋" w:cs="宋体"/>
                <w:kern w:val="0"/>
                <w:sz w:val="24"/>
              </w:rPr>
              <w:t>审核人：            年  月  日</w:t>
            </w:r>
          </w:p>
        </w:tc>
      </w:tr>
      <w:tr>
        <w:tblPrEx>
          <w:tblCellMar>
            <w:top w:w="0" w:type="dxa"/>
            <w:left w:w="108" w:type="dxa"/>
            <w:bottom w:w="0" w:type="dxa"/>
            <w:right w:w="108" w:type="dxa"/>
          </w:tblCellMar>
        </w:tblPrEx>
        <w:trPr>
          <w:trHeight w:val="1824" w:hRule="atLeast"/>
          <w:jc w:val="center"/>
        </w:trPr>
        <w:tc>
          <w:tcPr>
            <w:tcW w:w="1094" w:type="dxa"/>
            <w:vMerge w:val="continue"/>
            <w:tcBorders>
              <w:left w:val="single" w:color="auto" w:sz="8" w:space="0"/>
              <w:bottom w:val="single" w:color="auto" w:sz="8" w:space="0"/>
              <w:right w:val="single" w:color="000000" w:sz="4" w:space="0"/>
            </w:tcBorders>
            <w:vAlign w:val="center"/>
          </w:tcPr>
          <w:p>
            <w:pPr>
              <w:widowControl/>
              <w:jc w:val="center"/>
              <w:rPr>
                <w:rFonts w:ascii="仿宋" w:hAnsi="仿宋" w:eastAsia="仿宋" w:cs="宋体"/>
                <w:kern w:val="0"/>
                <w:sz w:val="24"/>
              </w:rPr>
            </w:pPr>
          </w:p>
        </w:tc>
        <w:tc>
          <w:tcPr>
            <w:tcW w:w="1094" w:type="dxa"/>
            <w:tcBorders>
              <w:top w:val="single" w:color="auto" w:sz="4" w:space="0"/>
              <w:left w:val="single" w:color="auto" w:sz="8" w:space="0"/>
              <w:bottom w:val="single" w:color="auto" w:sz="8" w:space="0"/>
              <w:right w:val="single" w:color="000000" w:sz="4" w:space="0"/>
            </w:tcBorders>
            <w:vAlign w:val="center"/>
          </w:tcPr>
          <w:p>
            <w:pPr>
              <w:jc w:val="left"/>
              <w:rPr>
                <w:rFonts w:ascii="仿宋" w:hAnsi="仿宋" w:eastAsia="仿宋" w:cs="宋体"/>
                <w:kern w:val="0"/>
                <w:sz w:val="24"/>
              </w:rPr>
            </w:pPr>
            <w:r>
              <w:rPr>
                <w:rFonts w:hint="eastAsia" w:ascii="仿宋" w:hAnsi="仿宋" w:eastAsia="仿宋" w:cs="宋体"/>
                <w:kern w:val="0"/>
                <w:sz w:val="24"/>
              </w:rPr>
              <w:t>预算股审核意见</w:t>
            </w:r>
          </w:p>
        </w:tc>
        <w:tc>
          <w:tcPr>
            <w:tcW w:w="3660" w:type="dxa"/>
            <w:gridSpan w:val="5"/>
            <w:tcBorders>
              <w:top w:val="single" w:color="auto" w:sz="4" w:space="0"/>
              <w:left w:val="nil"/>
              <w:bottom w:val="single" w:color="auto" w:sz="8" w:space="0"/>
              <w:right w:val="single" w:color="auto" w:sz="4" w:space="0"/>
            </w:tcBorders>
            <w:vAlign w:val="bottom"/>
          </w:tcPr>
          <w:p>
            <w:pPr>
              <w:jc w:val="left"/>
              <w:rPr>
                <w:rFonts w:ascii="仿宋" w:hAnsi="仿宋" w:eastAsia="仿宋" w:cs="宋体"/>
                <w:kern w:val="0"/>
                <w:sz w:val="24"/>
              </w:rPr>
            </w:pPr>
            <w:r>
              <w:rPr>
                <w:rFonts w:hint="eastAsia" w:ascii="仿宋" w:hAnsi="仿宋" w:eastAsia="仿宋" w:cs="宋体"/>
                <w:kern w:val="0"/>
                <w:sz w:val="24"/>
              </w:rPr>
              <w:t>1、县委、县政府已确定的项目；2、财政待安排项目；</w:t>
            </w:r>
          </w:p>
          <w:p>
            <w:pPr>
              <w:jc w:val="left"/>
              <w:rPr>
                <w:rFonts w:ascii="仿宋" w:hAnsi="仿宋" w:eastAsia="仿宋" w:cs="宋体"/>
                <w:kern w:val="0"/>
                <w:sz w:val="24"/>
              </w:rPr>
            </w:pPr>
            <w:r>
              <w:rPr>
                <w:rFonts w:hint="eastAsia" w:ascii="仿宋" w:hAnsi="仿宋" w:eastAsia="仿宋" w:cs="宋体"/>
                <w:kern w:val="0"/>
                <w:sz w:val="24"/>
              </w:rPr>
              <w:t>3、是否进入备选项目；</w:t>
            </w:r>
          </w:p>
          <w:p>
            <w:pPr>
              <w:jc w:val="left"/>
              <w:rPr>
                <w:rFonts w:ascii="仿宋" w:hAnsi="仿宋" w:eastAsia="仿宋" w:cs="宋体"/>
                <w:kern w:val="0"/>
                <w:sz w:val="24"/>
              </w:rPr>
            </w:pPr>
            <w:r>
              <w:rPr>
                <w:rFonts w:hint="eastAsia" w:ascii="仿宋" w:hAnsi="仿宋" w:eastAsia="仿宋" w:cs="宋体"/>
                <w:kern w:val="0"/>
                <w:sz w:val="24"/>
              </w:rPr>
              <w:t>4、财政项目预算资金安排可供与完成项目绩效目标的保障度。</w:t>
            </w:r>
          </w:p>
        </w:tc>
        <w:tc>
          <w:tcPr>
            <w:tcW w:w="4080" w:type="dxa"/>
            <w:gridSpan w:val="5"/>
            <w:tcBorders>
              <w:top w:val="single" w:color="auto" w:sz="4" w:space="0"/>
              <w:left w:val="single" w:color="auto" w:sz="4" w:space="0"/>
              <w:bottom w:val="single" w:color="auto" w:sz="8" w:space="0"/>
              <w:right w:val="single" w:color="000000" w:sz="8" w:space="0"/>
            </w:tcBorders>
            <w:vAlign w:val="bottom"/>
          </w:tcPr>
          <w:p>
            <w:pPr>
              <w:jc w:val="center"/>
              <w:rPr>
                <w:rFonts w:ascii="仿宋" w:hAnsi="仿宋" w:eastAsia="仿宋" w:cs="宋体"/>
                <w:kern w:val="0"/>
                <w:sz w:val="24"/>
              </w:rPr>
            </w:pPr>
            <w:r>
              <w:rPr>
                <w:rFonts w:hint="eastAsia" w:ascii="仿宋" w:hAnsi="仿宋" w:eastAsia="仿宋" w:cs="宋体"/>
                <w:kern w:val="0"/>
                <w:sz w:val="24"/>
              </w:rPr>
              <w:t>审核人：            年  月  日</w:t>
            </w:r>
          </w:p>
        </w:tc>
      </w:tr>
    </w:tbl>
    <w:p>
      <w:pPr>
        <w:spacing w:line="480" w:lineRule="exact"/>
        <w:jc w:val="center"/>
        <w:rPr>
          <w:rFonts w:ascii="仿宋" w:hAnsi="仿宋" w:eastAsia="仿宋"/>
          <w:sz w:val="24"/>
        </w:rPr>
      </w:pPr>
    </w:p>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单位负责人： 蔡剑锋                                  填报人：刘湘利</w:t>
      </w:r>
    </w:p>
    <w:p>
      <w:pPr>
        <w:widowControl/>
        <w:spacing w:line="240" w:lineRule="exact"/>
        <w:jc w:val="right"/>
        <w:rPr>
          <w:rFonts w:ascii="仿宋" w:hAnsi="仿宋" w:eastAsia="仿宋" w:cs="宋体"/>
          <w:kern w:val="0"/>
          <w:sz w:val="24"/>
        </w:rPr>
      </w:pPr>
    </w:p>
    <w:p>
      <w:pPr>
        <w:widowControl/>
        <w:wordWrap w:val="0"/>
        <w:spacing w:line="240" w:lineRule="exact"/>
        <w:jc w:val="right"/>
        <w:rPr>
          <w:rFonts w:ascii="仿宋" w:hAnsi="仿宋" w:eastAsia="仿宋" w:cs="宋体"/>
          <w:kern w:val="0"/>
          <w:sz w:val="24"/>
        </w:rPr>
      </w:pPr>
      <w:r>
        <w:rPr>
          <w:rFonts w:hint="eastAsia" w:ascii="仿宋" w:hAnsi="仿宋" w:eastAsia="仿宋" w:cs="宋体"/>
          <w:kern w:val="0"/>
          <w:sz w:val="24"/>
        </w:rPr>
        <w:t>填报日期： 2022年 5月 31日</w:t>
      </w:r>
    </w:p>
    <w:p>
      <w:pPr>
        <w:widowControl/>
        <w:wordWrap w:val="0"/>
        <w:spacing w:line="240" w:lineRule="exact"/>
        <w:jc w:val="right"/>
        <w:rPr>
          <w:rFonts w:ascii="仿宋" w:hAnsi="仿宋" w:eastAsia="仿宋" w:cs="宋体"/>
          <w:kern w:val="0"/>
          <w:sz w:val="24"/>
        </w:rPr>
      </w:pPr>
    </w:p>
    <w:p>
      <w:pPr>
        <w:widowControl/>
        <w:spacing w:line="240" w:lineRule="exact"/>
        <w:jc w:val="right"/>
        <w:rPr>
          <w:rFonts w:ascii="仿宋" w:hAnsi="仿宋" w:eastAsia="仿宋" w:cs="宋体"/>
          <w:kern w:val="0"/>
          <w:sz w:val="24"/>
        </w:rPr>
      </w:pPr>
    </w:p>
    <w:p>
      <w:pPr>
        <w:widowControl/>
        <w:spacing w:line="240" w:lineRule="exact"/>
        <w:jc w:val="right"/>
        <w:rPr>
          <w:rFonts w:ascii="仿宋" w:hAnsi="仿宋" w:eastAsia="仿宋" w:cs="宋体"/>
          <w:kern w:val="0"/>
          <w:sz w:val="24"/>
        </w:rPr>
      </w:pPr>
      <w:r>
        <w:rPr>
          <w:rFonts w:hint="eastAsia" w:ascii="仿宋" w:hAnsi="仿宋" w:eastAsia="仿宋" w:cs="宋体"/>
          <w:kern w:val="0"/>
          <w:sz w:val="24"/>
        </w:rPr>
        <w:t>注：1、此表一式二份，经财政部门审核后，单位自存一份，绩效管理股一份。</w:t>
      </w:r>
    </w:p>
    <w:p>
      <w:pPr>
        <w:widowControl/>
        <w:spacing w:line="240" w:lineRule="exact"/>
        <w:ind w:firstLine="600" w:firstLineChars="250"/>
        <w:jc w:val="left"/>
        <w:rPr>
          <w:rFonts w:ascii="仿宋" w:hAnsi="仿宋" w:eastAsia="仿宋" w:cs="宋体"/>
          <w:kern w:val="0"/>
          <w:sz w:val="24"/>
        </w:rPr>
      </w:pPr>
      <w:r>
        <w:rPr>
          <w:rFonts w:hint="eastAsia" w:ascii="仿宋" w:hAnsi="仿宋" w:eastAsia="仿宋" w:cs="宋体"/>
          <w:kern w:val="0"/>
          <w:sz w:val="24"/>
        </w:rPr>
        <w:t>2、本表上报时须附部门绩效目标制定依据。</w:t>
      </w:r>
    </w:p>
    <w:p>
      <w:pPr>
        <w:ind w:firstLine="640"/>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Wingdings 2">
    <w:altName w:val="Webdings"/>
    <w:panose1 w:val="00000000000000000000"/>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Webdings">
    <w:panose1 w:val="05030102010509060703"/>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M2RkMWNkMjZkOWE2MjExNDBlMWEyYTY0MjVhZjAifQ=="/>
  </w:docVars>
  <w:rsids>
    <w:rsidRoot w:val="00B47159"/>
    <w:rsid w:val="00000C8B"/>
    <w:rsid w:val="00001005"/>
    <w:rsid w:val="00001274"/>
    <w:rsid w:val="00001B57"/>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9B0"/>
    <w:rsid w:val="00104EB6"/>
    <w:rsid w:val="001062A9"/>
    <w:rsid w:val="00106666"/>
    <w:rsid w:val="00106771"/>
    <w:rsid w:val="00106B66"/>
    <w:rsid w:val="00106C44"/>
    <w:rsid w:val="00107775"/>
    <w:rsid w:val="00107FF7"/>
    <w:rsid w:val="00110DFE"/>
    <w:rsid w:val="00110E56"/>
    <w:rsid w:val="0011130D"/>
    <w:rsid w:val="0011360A"/>
    <w:rsid w:val="00113D2A"/>
    <w:rsid w:val="00114023"/>
    <w:rsid w:val="001147E6"/>
    <w:rsid w:val="00114A13"/>
    <w:rsid w:val="001153DF"/>
    <w:rsid w:val="00115709"/>
    <w:rsid w:val="00115BA9"/>
    <w:rsid w:val="00115C4F"/>
    <w:rsid w:val="00115D8A"/>
    <w:rsid w:val="00115F2B"/>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7D"/>
    <w:rsid w:val="0013239C"/>
    <w:rsid w:val="00133035"/>
    <w:rsid w:val="00133668"/>
    <w:rsid w:val="00134999"/>
    <w:rsid w:val="00134AD7"/>
    <w:rsid w:val="00134E9A"/>
    <w:rsid w:val="0013558E"/>
    <w:rsid w:val="00136F20"/>
    <w:rsid w:val="001406D0"/>
    <w:rsid w:val="001407BF"/>
    <w:rsid w:val="0014174A"/>
    <w:rsid w:val="0014205F"/>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1E9"/>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76B05"/>
    <w:rsid w:val="0018006A"/>
    <w:rsid w:val="00180CED"/>
    <w:rsid w:val="00183076"/>
    <w:rsid w:val="001834E0"/>
    <w:rsid w:val="00183592"/>
    <w:rsid w:val="0018428A"/>
    <w:rsid w:val="001842B8"/>
    <w:rsid w:val="001849D2"/>
    <w:rsid w:val="00184F3B"/>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53D5"/>
    <w:rsid w:val="001F5FE2"/>
    <w:rsid w:val="001F66D5"/>
    <w:rsid w:val="001F782B"/>
    <w:rsid w:val="00201072"/>
    <w:rsid w:val="0020117C"/>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C3B"/>
    <w:rsid w:val="00266D20"/>
    <w:rsid w:val="002671AB"/>
    <w:rsid w:val="00267F21"/>
    <w:rsid w:val="002703C3"/>
    <w:rsid w:val="00270928"/>
    <w:rsid w:val="00270F48"/>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6F2C"/>
    <w:rsid w:val="00277417"/>
    <w:rsid w:val="0028058B"/>
    <w:rsid w:val="0028073D"/>
    <w:rsid w:val="00281C7E"/>
    <w:rsid w:val="002823E9"/>
    <w:rsid w:val="002826E2"/>
    <w:rsid w:val="00282820"/>
    <w:rsid w:val="00282BA5"/>
    <w:rsid w:val="00282CBF"/>
    <w:rsid w:val="00283056"/>
    <w:rsid w:val="00283D7C"/>
    <w:rsid w:val="00283DFE"/>
    <w:rsid w:val="00284225"/>
    <w:rsid w:val="00284802"/>
    <w:rsid w:val="002849C3"/>
    <w:rsid w:val="00284C14"/>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85"/>
    <w:rsid w:val="002B297D"/>
    <w:rsid w:val="002B33DB"/>
    <w:rsid w:val="002B47A6"/>
    <w:rsid w:val="002B4FFD"/>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FFB"/>
    <w:rsid w:val="002F2414"/>
    <w:rsid w:val="002F2A69"/>
    <w:rsid w:val="002F305E"/>
    <w:rsid w:val="002F57D9"/>
    <w:rsid w:val="002F5BBC"/>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1B3"/>
    <w:rsid w:val="0035526D"/>
    <w:rsid w:val="00355EAC"/>
    <w:rsid w:val="00356480"/>
    <w:rsid w:val="00356CEF"/>
    <w:rsid w:val="00357830"/>
    <w:rsid w:val="003610FE"/>
    <w:rsid w:val="0036119C"/>
    <w:rsid w:val="00362A20"/>
    <w:rsid w:val="003632AE"/>
    <w:rsid w:val="0036354C"/>
    <w:rsid w:val="00363EB1"/>
    <w:rsid w:val="0036483E"/>
    <w:rsid w:val="00365911"/>
    <w:rsid w:val="003662B5"/>
    <w:rsid w:val="00366522"/>
    <w:rsid w:val="0036658A"/>
    <w:rsid w:val="00366FBE"/>
    <w:rsid w:val="003671D4"/>
    <w:rsid w:val="0036767B"/>
    <w:rsid w:val="00367BCB"/>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460D"/>
    <w:rsid w:val="00384CAA"/>
    <w:rsid w:val="00385484"/>
    <w:rsid w:val="003855E6"/>
    <w:rsid w:val="00386039"/>
    <w:rsid w:val="00386224"/>
    <w:rsid w:val="00386C4C"/>
    <w:rsid w:val="00386E70"/>
    <w:rsid w:val="003906A7"/>
    <w:rsid w:val="00391503"/>
    <w:rsid w:val="003927BE"/>
    <w:rsid w:val="003928B3"/>
    <w:rsid w:val="00392B15"/>
    <w:rsid w:val="00392B5D"/>
    <w:rsid w:val="00392F3E"/>
    <w:rsid w:val="00394426"/>
    <w:rsid w:val="003948C3"/>
    <w:rsid w:val="00395565"/>
    <w:rsid w:val="00395B44"/>
    <w:rsid w:val="00396A1E"/>
    <w:rsid w:val="003972E8"/>
    <w:rsid w:val="0039769E"/>
    <w:rsid w:val="003A0CE5"/>
    <w:rsid w:val="003A0DDD"/>
    <w:rsid w:val="003A0F1B"/>
    <w:rsid w:val="003A279E"/>
    <w:rsid w:val="003A3206"/>
    <w:rsid w:val="003A32D6"/>
    <w:rsid w:val="003A454F"/>
    <w:rsid w:val="003A4D50"/>
    <w:rsid w:val="003A4FF0"/>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E7C18"/>
    <w:rsid w:val="003E7DB2"/>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1E61"/>
    <w:rsid w:val="004225B0"/>
    <w:rsid w:val="004238B9"/>
    <w:rsid w:val="00423FC6"/>
    <w:rsid w:val="004241DA"/>
    <w:rsid w:val="00424EC1"/>
    <w:rsid w:val="004255A4"/>
    <w:rsid w:val="00425A7F"/>
    <w:rsid w:val="00426DCF"/>
    <w:rsid w:val="004278C0"/>
    <w:rsid w:val="00427AF4"/>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D87"/>
    <w:rsid w:val="00467E10"/>
    <w:rsid w:val="00467E72"/>
    <w:rsid w:val="0047034D"/>
    <w:rsid w:val="00470361"/>
    <w:rsid w:val="00470C11"/>
    <w:rsid w:val="00471325"/>
    <w:rsid w:val="00471574"/>
    <w:rsid w:val="00472A82"/>
    <w:rsid w:val="00473CD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7B7"/>
    <w:rsid w:val="00486B64"/>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10E"/>
    <w:rsid w:val="004C639D"/>
    <w:rsid w:val="004C7EA0"/>
    <w:rsid w:val="004D05D0"/>
    <w:rsid w:val="004D081A"/>
    <w:rsid w:val="004D1E0D"/>
    <w:rsid w:val="004D2A9B"/>
    <w:rsid w:val="004D2F41"/>
    <w:rsid w:val="004D341C"/>
    <w:rsid w:val="004D4048"/>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204EC"/>
    <w:rsid w:val="00520956"/>
    <w:rsid w:val="00520AF0"/>
    <w:rsid w:val="00520B79"/>
    <w:rsid w:val="00520F90"/>
    <w:rsid w:val="005210A4"/>
    <w:rsid w:val="00521143"/>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2D7"/>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7BA8"/>
    <w:rsid w:val="0058090C"/>
    <w:rsid w:val="00582029"/>
    <w:rsid w:val="0058257B"/>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8B8"/>
    <w:rsid w:val="005D7B44"/>
    <w:rsid w:val="005E03EF"/>
    <w:rsid w:val="005E11B5"/>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69EC"/>
    <w:rsid w:val="005F707A"/>
    <w:rsid w:val="005F7295"/>
    <w:rsid w:val="00601349"/>
    <w:rsid w:val="00601662"/>
    <w:rsid w:val="0060169F"/>
    <w:rsid w:val="00601951"/>
    <w:rsid w:val="0060211E"/>
    <w:rsid w:val="0060289A"/>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71EC"/>
    <w:rsid w:val="00617667"/>
    <w:rsid w:val="00617C55"/>
    <w:rsid w:val="006208B8"/>
    <w:rsid w:val="00620E52"/>
    <w:rsid w:val="00621304"/>
    <w:rsid w:val="006240F2"/>
    <w:rsid w:val="006246BD"/>
    <w:rsid w:val="00624A61"/>
    <w:rsid w:val="00625E93"/>
    <w:rsid w:val="00625EA9"/>
    <w:rsid w:val="00626928"/>
    <w:rsid w:val="006269FD"/>
    <w:rsid w:val="00627DC0"/>
    <w:rsid w:val="00631A62"/>
    <w:rsid w:val="006324AE"/>
    <w:rsid w:val="00632C37"/>
    <w:rsid w:val="00632E9F"/>
    <w:rsid w:val="006333A7"/>
    <w:rsid w:val="00633791"/>
    <w:rsid w:val="00633D60"/>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C02"/>
    <w:rsid w:val="006973A6"/>
    <w:rsid w:val="006973C7"/>
    <w:rsid w:val="00697460"/>
    <w:rsid w:val="0069783B"/>
    <w:rsid w:val="00697CC0"/>
    <w:rsid w:val="006A13E6"/>
    <w:rsid w:val="006A1499"/>
    <w:rsid w:val="006A269D"/>
    <w:rsid w:val="006A3FCC"/>
    <w:rsid w:val="006A4179"/>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65CE"/>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59AE"/>
    <w:rsid w:val="00736541"/>
    <w:rsid w:val="00736FB3"/>
    <w:rsid w:val="0073752C"/>
    <w:rsid w:val="00737D18"/>
    <w:rsid w:val="00740E48"/>
    <w:rsid w:val="00741522"/>
    <w:rsid w:val="007417C9"/>
    <w:rsid w:val="007417EE"/>
    <w:rsid w:val="00741A07"/>
    <w:rsid w:val="00741DC3"/>
    <w:rsid w:val="0074232E"/>
    <w:rsid w:val="007423C2"/>
    <w:rsid w:val="00742C43"/>
    <w:rsid w:val="00742D86"/>
    <w:rsid w:val="00742E9E"/>
    <w:rsid w:val="00743148"/>
    <w:rsid w:val="00743553"/>
    <w:rsid w:val="00743A5A"/>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4E93"/>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88C"/>
    <w:rsid w:val="007A59DF"/>
    <w:rsid w:val="007A5B9D"/>
    <w:rsid w:val="007A75A1"/>
    <w:rsid w:val="007B1096"/>
    <w:rsid w:val="007B1CA3"/>
    <w:rsid w:val="007B2514"/>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3FD8"/>
    <w:rsid w:val="007C472F"/>
    <w:rsid w:val="007C4A91"/>
    <w:rsid w:val="007C4CC9"/>
    <w:rsid w:val="007C5002"/>
    <w:rsid w:val="007C57F0"/>
    <w:rsid w:val="007C586E"/>
    <w:rsid w:val="007C6172"/>
    <w:rsid w:val="007C6432"/>
    <w:rsid w:val="007C669B"/>
    <w:rsid w:val="007C69A0"/>
    <w:rsid w:val="007C69DA"/>
    <w:rsid w:val="007C76AA"/>
    <w:rsid w:val="007D0BFC"/>
    <w:rsid w:val="007D147C"/>
    <w:rsid w:val="007D14C1"/>
    <w:rsid w:val="007D1AEF"/>
    <w:rsid w:val="007D297A"/>
    <w:rsid w:val="007D2FD8"/>
    <w:rsid w:val="007D332C"/>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6C9"/>
    <w:rsid w:val="00861CB8"/>
    <w:rsid w:val="00861ED5"/>
    <w:rsid w:val="00862290"/>
    <w:rsid w:val="00862A21"/>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ED6"/>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602"/>
    <w:rsid w:val="00985E5B"/>
    <w:rsid w:val="00986BE1"/>
    <w:rsid w:val="00987549"/>
    <w:rsid w:val="00991B6E"/>
    <w:rsid w:val="009924BB"/>
    <w:rsid w:val="0099275A"/>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089"/>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04C"/>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BB"/>
    <w:rsid w:val="00AB4A7E"/>
    <w:rsid w:val="00AB54B2"/>
    <w:rsid w:val="00AB5F15"/>
    <w:rsid w:val="00AB7273"/>
    <w:rsid w:val="00AB7279"/>
    <w:rsid w:val="00AC07F3"/>
    <w:rsid w:val="00AC1122"/>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65D4"/>
    <w:rsid w:val="00B77008"/>
    <w:rsid w:val="00B77E2A"/>
    <w:rsid w:val="00B80631"/>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DCB"/>
    <w:rsid w:val="00BC369F"/>
    <w:rsid w:val="00BC3C0B"/>
    <w:rsid w:val="00BC5C83"/>
    <w:rsid w:val="00BC646B"/>
    <w:rsid w:val="00BC6477"/>
    <w:rsid w:val="00BC738A"/>
    <w:rsid w:val="00BD0207"/>
    <w:rsid w:val="00BD15E3"/>
    <w:rsid w:val="00BD1C00"/>
    <w:rsid w:val="00BD26B8"/>
    <w:rsid w:val="00BD3052"/>
    <w:rsid w:val="00BD3C92"/>
    <w:rsid w:val="00BD3EE5"/>
    <w:rsid w:val="00BD4C12"/>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2383"/>
    <w:rsid w:val="00C22606"/>
    <w:rsid w:val="00C22905"/>
    <w:rsid w:val="00C22C15"/>
    <w:rsid w:val="00C23666"/>
    <w:rsid w:val="00C24D82"/>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0AE"/>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52E9"/>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61FB"/>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0730F"/>
    <w:rsid w:val="00D10C75"/>
    <w:rsid w:val="00D11109"/>
    <w:rsid w:val="00D1202E"/>
    <w:rsid w:val="00D122F9"/>
    <w:rsid w:val="00D123B5"/>
    <w:rsid w:val="00D12DB2"/>
    <w:rsid w:val="00D13BD4"/>
    <w:rsid w:val="00D13F41"/>
    <w:rsid w:val="00D13FC5"/>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3A"/>
    <w:rsid w:val="00DB3CF8"/>
    <w:rsid w:val="00DB40F6"/>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2052"/>
    <w:rsid w:val="00DE2099"/>
    <w:rsid w:val="00DE2433"/>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59D4"/>
    <w:rsid w:val="00E46ADD"/>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7000"/>
    <w:rsid w:val="00E7095F"/>
    <w:rsid w:val="00E70BC6"/>
    <w:rsid w:val="00E70DB5"/>
    <w:rsid w:val="00E715F7"/>
    <w:rsid w:val="00E72622"/>
    <w:rsid w:val="00E727F3"/>
    <w:rsid w:val="00E73000"/>
    <w:rsid w:val="00E745B9"/>
    <w:rsid w:val="00E745F6"/>
    <w:rsid w:val="00E749E2"/>
    <w:rsid w:val="00E750BA"/>
    <w:rsid w:val="00E75545"/>
    <w:rsid w:val="00E75923"/>
    <w:rsid w:val="00E762C1"/>
    <w:rsid w:val="00E777C6"/>
    <w:rsid w:val="00E805C3"/>
    <w:rsid w:val="00E8125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84C"/>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002"/>
    <w:rsid w:val="00EB7C92"/>
    <w:rsid w:val="00EB7DF6"/>
    <w:rsid w:val="00EC028F"/>
    <w:rsid w:val="00EC1B01"/>
    <w:rsid w:val="00EC1D6D"/>
    <w:rsid w:val="00EC2225"/>
    <w:rsid w:val="00EC26C3"/>
    <w:rsid w:val="00EC375B"/>
    <w:rsid w:val="00EC3E1D"/>
    <w:rsid w:val="00EC5F44"/>
    <w:rsid w:val="00EC67C7"/>
    <w:rsid w:val="00EC6B2F"/>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0BB"/>
    <w:rsid w:val="00FB55B0"/>
    <w:rsid w:val="00FB67B6"/>
    <w:rsid w:val="00FB67F5"/>
    <w:rsid w:val="00FB7233"/>
    <w:rsid w:val="00FB76D4"/>
    <w:rsid w:val="00FB7A3E"/>
    <w:rsid w:val="00FC0519"/>
    <w:rsid w:val="00FC0546"/>
    <w:rsid w:val="00FC0BB3"/>
    <w:rsid w:val="00FC0BFF"/>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BE0"/>
    <w:rsid w:val="00FE3091"/>
    <w:rsid w:val="00FE3658"/>
    <w:rsid w:val="00FE374E"/>
    <w:rsid w:val="00FE3A4C"/>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96179A5"/>
    <w:rsid w:val="0B531B63"/>
    <w:rsid w:val="0DAE3672"/>
    <w:rsid w:val="0FCF6CF0"/>
    <w:rsid w:val="10DE70B4"/>
    <w:rsid w:val="14876C18"/>
    <w:rsid w:val="15D504AC"/>
    <w:rsid w:val="15F335AD"/>
    <w:rsid w:val="17A356FA"/>
    <w:rsid w:val="22462E81"/>
    <w:rsid w:val="291E005A"/>
    <w:rsid w:val="2B8D1207"/>
    <w:rsid w:val="2CCE1F27"/>
    <w:rsid w:val="2D2539A5"/>
    <w:rsid w:val="2E9E185C"/>
    <w:rsid w:val="380E7515"/>
    <w:rsid w:val="3C4A28DF"/>
    <w:rsid w:val="3C8A1A93"/>
    <w:rsid w:val="41301E8D"/>
    <w:rsid w:val="50F7351A"/>
    <w:rsid w:val="522E38D6"/>
    <w:rsid w:val="52D319FE"/>
    <w:rsid w:val="5A3C564B"/>
    <w:rsid w:val="5CE44974"/>
    <w:rsid w:val="5CED67A7"/>
    <w:rsid w:val="5FEA4C5B"/>
    <w:rsid w:val="600C79D5"/>
    <w:rsid w:val="61296AA6"/>
    <w:rsid w:val="61A549B4"/>
    <w:rsid w:val="66620996"/>
    <w:rsid w:val="696C4DD1"/>
    <w:rsid w:val="6E454E27"/>
    <w:rsid w:val="705506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ocked="1"/>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4"/>
    <w:qFormat/>
    <w:uiPriority w:val="0"/>
    <w:pPr>
      <w:keepNext/>
      <w:keepLines/>
      <w:spacing w:line="600" w:lineRule="exact"/>
      <w:ind w:firstLine="640" w:firstLineChars="200"/>
      <w:jc w:val="left"/>
      <w:outlineLvl w:val="0"/>
    </w:pPr>
    <w:rPr>
      <w:rFonts w:ascii="Times New Roman" w:hAnsi="Times New Roman" w:eastAsia="黑体" w:cs="Calibri"/>
      <w:bCs/>
      <w:kern w:val="44"/>
      <w:sz w:val="32"/>
      <w:szCs w:val="44"/>
    </w:rPr>
  </w:style>
  <w:style w:type="paragraph" w:styleId="3">
    <w:name w:val="heading 2"/>
    <w:basedOn w:val="1"/>
    <w:next w:val="1"/>
    <w:link w:val="16"/>
    <w:unhideWhenUsed/>
    <w:qFormat/>
    <w:locked/>
    <w:uiPriority w:val="0"/>
    <w:pPr>
      <w:keepNext/>
      <w:keepLines/>
      <w:spacing w:line="600" w:lineRule="exact"/>
      <w:ind w:firstLine="200" w:firstLineChars="200"/>
      <w:jc w:val="left"/>
      <w:outlineLvl w:val="1"/>
    </w:pPr>
    <w:rPr>
      <w:rFonts w:ascii="Times New Roman" w:hAnsi="Times New Roman" w:eastAsia="楷体_GB2312"/>
      <w:b/>
      <w:bCs/>
      <w:sz w:val="32"/>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9"/>
    <w:semiHidden/>
    <w:unhideWhenUsed/>
    <w:qFormat/>
    <w:uiPriority w:val="0"/>
    <w:pPr>
      <w:spacing w:line="600" w:lineRule="exact"/>
      <w:ind w:left="100" w:leftChars="2500" w:firstLine="200" w:firstLineChars="200"/>
    </w:pPr>
    <w:rPr>
      <w:rFonts w:ascii="Times New Roman" w:hAnsi="Times New Roman" w:eastAsia="仿宋"/>
      <w:sz w:val="32"/>
    </w:rPr>
  </w:style>
  <w:style w:type="paragraph" w:styleId="5">
    <w:name w:val="Balloon Text"/>
    <w:basedOn w:val="1"/>
    <w:link w:val="20"/>
    <w:qFormat/>
    <w:uiPriority w:val="0"/>
    <w:pPr>
      <w:ind w:firstLine="200" w:firstLineChars="200"/>
    </w:pPr>
    <w:rPr>
      <w:rFonts w:ascii="Times New Roman" w:hAnsi="Times New Roman" w:eastAsia="仿宋"/>
      <w:sz w:val="18"/>
      <w:szCs w:val="18"/>
    </w:rPr>
  </w:style>
  <w:style w:type="paragraph" w:styleId="6">
    <w:name w:val="footer"/>
    <w:basedOn w:val="1"/>
    <w:link w:val="18"/>
    <w:qFormat/>
    <w:uiPriority w:val="99"/>
    <w:pPr>
      <w:tabs>
        <w:tab w:val="center" w:pos="4153"/>
        <w:tab w:val="right" w:pos="8306"/>
      </w:tabs>
      <w:snapToGrid w:val="0"/>
      <w:spacing w:line="600" w:lineRule="exact"/>
      <w:ind w:firstLine="200" w:firstLineChars="200"/>
      <w:jc w:val="left"/>
    </w:pPr>
    <w:rPr>
      <w:rFonts w:ascii="Times New Roman" w:hAnsi="Times New Roman" w:eastAsia="仿宋"/>
      <w:kern w:val="0"/>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spacing w:line="600" w:lineRule="exact"/>
      <w:ind w:firstLine="200" w:firstLineChars="200"/>
      <w:jc w:val="center"/>
    </w:pPr>
    <w:rPr>
      <w:rFonts w:ascii="Times New Roman" w:hAnsi="Times New Roman" w:eastAsia="仿宋"/>
      <w:kern w:val="0"/>
      <w:sz w:val="18"/>
      <w:szCs w:val="18"/>
    </w:rPr>
  </w:style>
  <w:style w:type="paragraph" w:styleId="8">
    <w:name w:val="toc 1"/>
    <w:basedOn w:val="1"/>
    <w:next w:val="1"/>
    <w:qFormat/>
    <w:uiPriority w:val="39"/>
    <w:pPr>
      <w:spacing w:line="600" w:lineRule="exact"/>
      <w:ind w:firstLine="200" w:firstLineChars="200"/>
    </w:pPr>
    <w:rPr>
      <w:rFonts w:ascii="Times New Roman" w:hAnsi="Times New Roman" w:eastAsia="仿宋"/>
      <w:sz w:val="32"/>
    </w:rPr>
  </w:style>
  <w:style w:type="paragraph" w:styleId="9">
    <w:name w:val="toc 2"/>
    <w:basedOn w:val="1"/>
    <w:next w:val="1"/>
    <w:qFormat/>
    <w:uiPriority w:val="39"/>
    <w:pPr>
      <w:spacing w:line="600" w:lineRule="exact"/>
      <w:ind w:left="420" w:leftChars="200" w:firstLine="200" w:firstLineChars="200"/>
    </w:pPr>
    <w:rPr>
      <w:rFonts w:ascii="Times New Roman" w:hAnsi="Times New Roman" w:eastAsia="仿宋"/>
      <w:sz w:val="32"/>
    </w:rPr>
  </w:style>
  <w:style w:type="character" w:styleId="12">
    <w:name w:val="Strong"/>
    <w:basedOn w:val="11"/>
    <w:qFormat/>
    <w:uiPriority w:val="22"/>
    <w:rPr>
      <w:b/>
      <w:bCs/>
    </w:rPr>
  </w:style>
  <w:style w:type="character" w:styleId="13">
    <w:name w:val="Hyperlink"/>
    <w:basedOn w:val="11"/>
    <w:qFormat/>
    <w:uiPriority w:val="99"/>
    <w:rPr>
      <w:color w:val="0000FF"/>
      <w:u w:val="single"/>
    </w:rPr>
  </w:style>
  <w:style w:type="character" w:customStyle="1" w:styleId="14">
    <w:name w:val="标题 1 Char"/>
    <w:basedOn w:val="11"/>
    <w:link w:val="2"/>
    <w:qFormat/>
    <w:uiPriority w:val="0"/>
    <w:rPr>
      <w:rFonts w:eastAsia="黑体" w:cs="Calibri"/>
      <w:bCs/>
      <w:kern w:val="44"/>
      <w:sz w:val="32"/>
      <w:szCs w:val="44"/>
    </w:rPr>
  </w:style>
  <w:style w:type="paragraph" w:styleId="15">
    <w:name w:val="List Paragraph"/>
    <w:basedOn w:val="1"/>
    <w:qFormat/>
    <w:uiPriority w:val="99"/>
    <w:pPr>
      <w:spacing w:line="600" w:lineRule="exact"/>
      <w:ind w:firstLine="420" w:firstLineChars="200"/>
    </w:pPr>
    <w:rPr>
      <w:rFonts w:ascii="Times New Roman" w:hAnsi="Times New Roman" w:eastAsia="仿宋" w:cs="Calibri"/>
      <w:sz w:val="32"/>
    </w:rPr>
  </w:style>
  <w:style w:type="character" w:customStyle="1" w:styleId="16">
    <w:name w:val="标题 2 Char"/>
    <w:basedOn w:val="11"/>
    <w:link w:val="3"/>
    <w:qFormat/>
    <w:uiPriority w:val="0"/>
    <w:rPr>
      <w:rFonts w:eastAsia="楷体_GB2312"/>
      <w:b/>
      <w:bCs/>
      <w:kern w:val="2"/>
      <w:sz w:val="32"/>
      <w:szCs w:val="32"/>
    </w:rPr>
  </w:style>
  <w:style w:type="character" w:customStyle="1" w:styleId="17">
    <w:name w:val="页眉 Char"/>
    <w:basedOn w:val="11"/>
    <w:link w:val="7"/>
    <w:qFormat/>
    <w:uiPriority w:val="0"/>
    <w:rPr>
      <w:rFonts w:eastAsia="仿宋"/>
      <w:sz w:val="18"/>
      <w:szCs w:val="18"/>
    </w:rPr>
  </w:style>
  <w:style w:type="character" w:customStyle="1" w:styleId="18">
    <w:name w:val="页脚 Char"/>
    <w:basedOn w:val="11"/>
    <w:link w:val="6"/>
    <w:qFormat/>
    <w:uiPriority w:val="99"/>
    <w:rPr>
      <w:rFonts w:eastAsia="仿宋"/>
      <w:sz w:val="18"/>
      <w:szCs w:val="18"/>
    </w:rPr>
  </w:style>
  <w:style w:type="character" w:customStyle="1" w:styleId="19">
    <w:name w:val="日期 Char"/>
    <w:basedOn w:val="11"/>
    <w:link w:val="4"/>
    <w:semiHidden/>
    <w:qFormat/>
    <w:uiPriority w:val="0"/>
    <w:rPr>
      <w:rFonts w:eastAsia="仿宋"/>
      <w:kern w:val="2"/>
      <w:sz w:val="32"/>
      <w:szCs w:val="24"/>
    </w:rPr>
  </w:style>
  <w:style w:type="character" w:customStyle="1" w:styleId="20">
    <w:name w:val="批注框文本 Char"/>
    <w:basedOn w:val="11"/>
    <w:link w:val="5"/>
    <w:qFormat/>
    <w:uiPriority w:val="0"/>
    <w:rPr>
      <w:rFonts w:eastAsia="仿宋"/>
      <w:kern w:val="2"/>
      <w:sz w:val="18"/>
      <w:szCs w:val="18"/>
    </w:rPr>
  </w:style>
  <w:style w:type="paragraph" w:customStyle="1" w:styleId="21">
    <w:name w:val="列出段落1"/>
    <w:basedOn w:val="1"/>
    <w:unhideWhenUsed/>
    <w:qFormat/>
    <w:uiPriority w:val="99"/>
    <w:pPr>
      <w:spacing w:line="600" w:lineRule="exact"/>
      <w:ind w:firstLine="420" w:firstLineChars="200"/>
    </w:pPr>
    <w:rPr>
      <w:rFonts w:ascii="Times New Roman" w:hAnsi="Times New Roman" w:eastAsia="仿宋"/>
      <w:sz w:val="32"/>
    </w:rPr>
  </w:style>
  <w:style w:type="character" w:customStyle="1" w:styleId="22">
    <w:name w:val="font41"/>
    <w:basedOn w:val="11"/>
    <w:qFormat/>
    <w:uiPriority w:val="0"/>
    <w:rPr>
      <w:rFonts w:hint="eastAsia"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AEC778-5FF1-4C35-8149-BC690D260FD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1806</Words>
  <Characters>1893</Characters>
  <Lines>16</Lines>
  <Paragraphs>4</Paragraphs>
  <TotalTime>1031</TotalTime>
  <ScaleCrop>false</ScaleCrop>
  <LinksUpToDate>false</LinksUpToDate>
  <CharactersWithSpaces>2114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2019-10-09T01:56:00Z</dcterms:created>
  <dc:creator>PC</dc:creator>
  <cp:lastModifiedBy>月牙湾</cp:lastModifiedBy>
  <cp:lastPrinted>2022-11-04T02:36:00Z</cp:lastPrinted>
  <dcterms:modified xsi:type="dcterms:W3CDTF">2023-09-11T02:34:22Z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587551AC67594444A3A92B2871601F60_13</vt:lpwstr>
  </property>
</Properties>
</file>