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湘潭县司法局202</w:t>
      </w:r>
      <w:r>
        <w:rPr>
          <w:rFonts w:hint="eastAsia" w:ascii="宋体" w:hAnsi="宋体" w:cs="方正小标宋_GBK"/>
          <w:b/>
          <w:sz w:val="36"/>
          <w:szCs w:val="36"/>
          <w:lang w:val="en-US" w:eastAsia="zh-CN"/>
        </w:rPr>
        <w:t>1</w:t>
      </w:r>
      <w:r>
        <w:rPr>
          <w:rFonts w:hint="eastAsia" w:ascii="宋体" w:hAnsi="宋体" w:cs="方正小标宋_GBK"/>
          <w:b/>
          <w:sz w:val="36"/>
          <w:szCs w:val="36"/>
        </w:rPr>
        <w:t>年</w:t>
      </w:r>
      <w:r>
        <w:rPr>
          <w:rFonts w:hint="eastAsia" w:ascii="宋体" w:hAnsi="宋体" w:cs="方正小标宋_GBK"/>
          <w:b/>
          <w:bCs/>
          <w:sz w:val="36"/>
          <w:szCs w:val="36"/>
        </w:rPr>
        <w:t>部门整体支出绩效</w:t>
      </w:r>
      <w:r>
        <w:rPr>
          <w:rFonts w:hint="eastAsia" w:ascii="宋体" w:hAnsi="宋体" w:cs="方正小标宋_GBK"/>
          <w:b/>
          <w:bCs/>
          <w:sz w:val="36"/>
          <w:szCs w:val="36"/>
          <w:lang w:eastAsia="zh-CN"/>
        </w:rPr>
        <w:t>自评</w:t>
      </w:r>
      <w:r>
        <w:rPr>
          <w:rFonts w:hint="eastAsia" w:ascii="宋体" w:hAnsi="宋体" w:cs="方正小标宋_GBK"/>
          <w:b/>
          <w:bCs/>
          <w:sz w:val="36"/>
          <w:szCs w:val="36"/>
        </w:rPr>
        <w:t>报告</w:t>
      </w: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napToGrid w:val="0"/>
              <w:spacing w:line="520" w:lineRule="exact"/>
              <w:ind w:left="420" w:leftChars="200"/>
              <w:jc w:val="center"/>
              <w:rPr>
                <w:rFonts w:ascii="仿宋_GB2312" w:hAnsi="宋体" w:eastAsia="仿宋_GB2312" w:cs="宋体"/>
                <w:szCs w:val="21"/>
              </w:rPr>
            </w:pPr>
            <w:r>
              <w:rPr>
                <w:rFonts w:hint="eastAsia" w:ascii="宋体" w:hAnsi="宋体" w:cs="宋体"/>
                <w:color w:val="333333"/>
                <w:kern w:val="0"/>
                <w:sz w:val="24"/>
              </w:rPr>
              <w:t>湘潭县司法局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napToGrid w:val="0"/>
              <w:spacing w:line="520" w:lineRule="exact"/>
              <w:ind w:left="420" w:leftChars="200"/>
              <w:jc w:val="center"/>
              <w:rPr>
                <w:rFonts w:ascii="宋体" w:hAnsi="宋体" w:cs="宋体"/>
                <w:color w:val="333333"/>
                <w:kern w:val="0"/>
                <w:sz w:val="24"/>
              </w:rPr>
            </w:pPr>
            <w:r>
              <w:rPr>
                <w:rFonts w:hint="eastAsia" w:ascii="宋体" w:hAnsi="宋体" w:cs="宋体"/>
                <w:color w:val="333333"/>
                <w:kern w:val="0"/>
                <w:sz w:val="24"/>
              </w:rPr>
              <w:t>1776.56万元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napToGrid w:val="0"/>
              <w:spacing w:line="520" w:lineRule="exact"/>
              <w:ind w:left="420" w:leftChars="200"/>
              <w:jc w:val="center"/>
              <w:rPr>
                <w:rFonts w:hint="eastAsia" w:ascii="宋体" w:hAnsi="宋体" w:eastAsia="宋体" w:cs="宋体"/>
                <w:color w:val="333333"/>
                <w:kern w:val="0"/>
                <w:sz w:val="24"/>
                <w:lang w:eastAsia="zh-CN"/>
              </w:rPr>
            </w:pPr>
            <w:r>
              <w:rPr>
                <w:rFonts w:hint="eastAsia" w:ascii="宋体" w:hAnsi="宋体" w:cs="宋体"/>
                <w:color w:val="333333"/>
                <w:kern w:val="0"/>
                <w:sz w:val="24"/>
              </w:rPr>
              <w:t>湘潭县</w:t>
            </w:r>
            <w:r>
              <w:rPr>
                <w:rFonts w:hint="eastAsia" w:ascii="宋体" w:hAnsi="宋体" w:cs="宋体"/>
                <w:color w:val="333333"/>
                <w:kern w:val="0"/>
                <w:sz w:val="24"/>
                <w:lang w:eastAsia="zh-CN"/>
              </w:rPr>
              <w:t>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rPr>
              <w:t>1）承担全面依法治县重大问题的政策研究，协调有关方面提出全面依法治县中长期规划建议，负责有关</w:t>
            </w:r>
            <w:r>
              <w:rPr>
                <w:rFonts w:hint="eastAsia" w:ascii="宋体" w:hAnsi="宋体"/>
                <w:iCs/>
                <w:sz w:val="24"/>
                <w:lang w:eastAsia="zh-CN"/>
              </w:rPr>
              <w:t>重大决策部署</w:t>
            </w:r>
            <w:bookmarkStart w:id="0" w:name="_GoBack"/>
            <w:bookmarkEnd w:id="0"/>
            <w:r>
              <w:rPr>
                <w:rFonts w:hint="eastAsia" w:ascii="宋体" w:hAnsi="宋体"/>
                <w:iCs/>
                <w:sz w:val="24"/>
              </w:rPr>
              <w:t>督察工作。负责开展依法治县和法治政府建设考核工作。</w:t>
            </w:r>
          </w:p>
          <w:p>
            <w:pPr>
              <w:snapToGrid w:val="0"/>
              <w:spacing w:line="520" w:lineRule="exact"/>
              <w:ind w:left="420" w:leftChars="200"/>
              <w:rPr>
                <w:rFonts w:ascii="宋体" w:hAnsi="宋体"/>
                <w:iCs/>
                <w:sz w:val="24"/>
              </w:rPr>
            </w:pPr>
            <w:r>
              <w:rPr>
                <w:rFonts w:hint="eastAsia" w:ascii="宋体" w:hAnsi="宋体"/>
                <w:iCs/>
                <w:sz w:val="24"/>
              </w:rPr>
              <w:t>2）贯彻执行国家、省、市有关司法行政的方针、政策和法律法规；拟定全县司法行政工作发展中、长期规划和年度计划并监督实施。</w:t>
            </w:r>
          </w:p>
          <w:p>
            <w:pPr>
              <w:snapToGrid w:val="0"/>
              <w:spacing w:line="520" w:lineRule="exact"/>
              <w:ind w:left="420" w:leftChars="200"/>
              <w:rPr>
                <w:rFonts w:ascii="宋体" w:hAnsi="宋体"/>
                <w:iCs/>
                <w:sz w:val="24"/>
              </w:rPr>
            </w:pPr>
            <w:r>
              <w:rPr>
                <w:rFonts w:hint="eastAsia" w:ascii="宋体" w:hAnsi="宋体"/>
                <w:iCs/>
                <w:sz w:val="24"/>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snapToGrid w:val="0"/>
              <w:spacing w:line="520" w:lineRule="exact"/>
              <w:ind w:left="420" w:leftChars="200"/>
              <w:rPr>
                <w:rFonts w:ascii="宋体" w:hAnsi="宋体"/>
                <w:iCs/>
                <w:sz w:val="24"/>
              </w:rPr>
            </w:pPr>
            <w:r>
              <w:rPr>
                <w:rFonts w:hint="eastAsia" w:ascii="宋体" w:hAnsi="宋体"/>
                <w:iCs/>
                <w:sz w:val="24"/>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snapToGrid w:val="0"/>
              <w:spacing w:line="520" w:lineRule="exact"/>
              <w:ind w:left="420" w:leftChars="200"/>
              <w:rPr>
                <w:rFonts w:ascii="宋体" w:hAnsi="宋体"/>
                <w:iCs/>
                <w:sz w:val="24"/>
              </w:rPr>
            </w:pPr>
            <w:r>
              <w:rPr>
                <w:rFonts w:hint="eastAsia" w:ascii="宋体" w:hAnsi="宋体"/>
                <w:iCs/>
                <w:sz w:val="24"/>
              </w:rPr>
              <w:t>5）督促指导县直有关单位规范政府合同管理，负责县政府重大投资项目合同的起草或审核。</w:t>
            </w:r>
          </w:p>
          <w:p>
            <w:pPr>
              <w:snapToGrid w:val="0"/>
              <w:spacing w:line="520" w:lineRule="exact"/>
              <w:ind w:left="420" w:leftChars="200"/>
              <w:rPr>
                <w:rFonts w:ascii="宋体" w:hAnsi="宋体"/>
                <w:iCs/>
                <w:sz w:val="24"/>
              </w:rPr>
            </w:pPr>
            <w:r>
              <w:rPr>
                <w:rFonts w:hint="eastAsia" w:ascii="宋体" w:hAnsi="宋体"/>
                <w:iCs/>
                <w:sz w:val="24"/>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pPr>
              <w:snapToGrid w:val="0"/>
              <w:spacing w:line="520" w:lineRule="exact"/>
              <w:ind w:left="420" w:leftChars="200"/>
              <w:rPr>
                <w:rFonts w:ascii="宋体" w:hAnsi="宋体"/>
                <w:iCs/>
                <w:sz w:val="24"/>
              </w:rPr>
            </w:pPr>
            <w:r>
              <w:rPr>
                <w:rFonts w:hint="eastAsia" w:ascii="宋体" w:hAnsi="宋体"/>
                <w:iCs/>
                <w:sz w:val="24"/>
              </w:rPr>
              <w:t>7）指导管理全县社区矫正工作；指导全县刑满释放人员的安置帮教工作。</w:t>
            </w:r>
          </w:p>
          <w:p>
            <w:pPr>
              <w:snapToGrid w:val="0"/>
              <w:spacing w:line="520" w:lineRule="exact"/>
              <w:ind w:left="420" w:leftChars="200"/>
              <w:rPr>
                <w:rFonts w:ascii="宋体" w:hAnsi="宋体"/>
                <w:iCs/>
                <w:sz w:val="24"/>
              </w:rPr>
            </w:pPr>
            <w:r>
              <w:rPr>
                <w:rFonts w:hint="eastAsia" w:ascii="宋体" w:hAnsi="宋体"/>
                <w:iCs/>
                <w:sz w:val="24"/>
              </w:rPr>
              <w:t>8）负责拟订公共法律服务体系建设规划并指导实施，统筹和布局城乡、区域法律服务资源。指导、监督、管理律师、法律援助、司法鉴定、公证、仲裁和基层法律服务工作。</w:t>
            </w:r>
          </w:p>
          <w:p>
            <w:pPr>
              <w:snapToGrid w:val="0"/>
              <w:spacing w:line="520" w:lineRule="exact"/>
              <w:ind w:left="420" w:leftChars="200"/>
              <w:rPr>
                <w:rFonts w:ascii="宋体" w:hAnsi="宋体"/>
                <w:iCs/>
                <w:sz w:val="24"/>
              </w:rPr>
            </w:pPr>
            <w:r>
              <w:rPr>
                <w:rFonts w:hint="eastAsia" w:ascii="宋体" w:hAnsi="宋体"/>
                <w:iCs/>
                <w:sz w:val="24"/>
              </w:rPr>
              <w:t>9）负责全县法治对外合作工作。组织开展法治对外合作交流。</w:t>
            </w:r>
          </w:p>
          <w:p>
            <w:pPr>
              <w:snapToGrid w:val="0"/>
              <w:spacing w:line="520" w:lineRule="exact"/>
              <w:ind w:left="420" w:leftChars="200"/>
              <w:rPr>
                <w:rFonts w:ascii="宋体" w:hAnsi="宋体"/>
                <w:iCs/>
                <w:sz w:val="24"/>
              </w:rPr>
            </w:pPr>
            <w:r>
              <w:rPr>
                <w:rFonts w:hint="eastAsia" w:ascii="宋体" w:hAnsi="宋体"/>
                <w:iCs/>
                <w:sz w:val="24"/>
              </w:rPr>
              <w:t>10）负责本系统服装和警车管理工作，指导、监督本系统财务、装备、设施、场所等保障工作。</w:t>
            </w:r>
          </w:p>
          <w:p>
            <w:pPr>
              <w:snapToGrid w:val="0"/>
              <w:spacing w:line="520" w:lineRule="exact"/>
              <w:ind w:left="420" w:leftChars="200"/>
              <w:rPr>
                <w:rFonts w:ascii="宋体" w:hAnsi="宋体"/>
                <w:iCs/>
                <w:sz w:val="24"/>
              </w:rPr>
            </w:pPr>
            <w:r>
              <w:rPr>
                <w:rFonts w:hint="eastAsia" w:ascii="宋体" w:hAnsi="宋体"/>
                <w:iCs/>
                <w:sz w:val="24"/>
              </w:rPr>
              <w:t>11）规划、协调、指导法治人才队伍建设相关工作。指导、监督本系统队伍建设。</w:t>
            </w:r>
          </w:p>
          <w:p>
            <w:pPr>
              <w:snapToGrid w:val="0"/>
              <w:spacing w:line="520" w:lineRule="exact"/>
              <w:ind w:left="420" w:leftChars="200"/>
              <w:rPr>
                <w:rFonts w:ascii="宋体" w:hAnsi="宋体"/>
                <w:iCs/>
                <w:sz w:val="24"/>
              </w:rPr>
            </w:pPr>
            <w:r>
              <w:rPr>
                <w:rFonts w:hint="eastAsia" w:ascii="宋体" w:hAnsi="宋体"/>
                <w:iCs/>
                <w:sz w:val="24"/>
              </w:rPr>
              <w:t>12）完成县委、县人民政府交办的其他事项。</w:t>
            </w:r>
          </w:p>
          <w:p>
            <w:pPr>
              <w:snapToGrid w:val="0"/>
              <w:spacing w:line="520" w:lineRule="exact"/>
              <w:ind w:left="420" w:leftChars="200" w:right="880" w:rightChars="419"/>
              <w:jc w:val="center"/>
              <w:rPr>
                <w:rFonts w:ascii="宋体" w:hAnsi="宋体" w:cs="宋体"/>
                <w:i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2"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lang w:eastAsia="zh-CN"/>
              </w:rPr>
              <w:t>一、组织构架、人员编制</w:t>
            </w:r>
          </w:p>
          <w:p>
            <w:pPr>
              <w:snapToGrid w:val="0"/>
              <w:spacing w:line="520" w:lineRule="exact"/>
              <w:ind w:firstLine="480" w:firstLineChars="200"/>
              <w:rPr>
                <w:rFonts w:hint="eastAsia" w:ascii="宋体" w:hAnsi="宋体"/>
                <w:iCs/>
                <w:sz w:val="24"/>
              </w:rPr>
            </w:pPr>
            <w:r>
              <w:rPr>
                <w:rFonts w:hint="eastAsia" w:ascii="宋体" w:hAnsi="宋体"/>
                <w:iCs/>
                <w:sz w:val="24"/>
                <w:lang w:val="en-US" w:eastAsia="zh-CN"/>
              </w:rPr>
              <w:t>根据“三定方案”，</w:t>
            </w:r>
            <w:r>
              <w:rPr>
                <w:rFonts w:hint="eastAsia" w:ascii="宋体" w:hAnsi="宋体"/>
                <w:iCs/>
                <w:sz w:val="24"/>
                <w:lang w:eastAsia="zh-CN"/>
              </w:rPr>
              <w:t>我局机关设</w:t>
            </w:r>
            <w:r>
              <w:rPr>
                <w:rFonts w:hint="eastAsia" w:ascii="宋体" w:hAnsi="宋体"/>
                <w:iCs/>
                <w:sz w:val="24"/>
              </w:rPr>
              <w:t>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w:t>
            </w:r>
            <w:r>
              <w:rPr>
                <w:rFonts w:hint="eastAsia" w:ascii="宋体" w:hAnsi="宋体"/>
                <w:iCs/>
                <w:sz w:val="24"/>
                <w:lang w:val="en-US" w:eastAsia="zh-CN"/>
              </w:rPr>
              <w:t>13个内设机构，派驻乡镇17个司法所，2个二级机构：湘潭县人民政府法律顾问工作室、湘潭县公证处。全局共有人员编制数100名（</w:t>
            </w:r>
            <w:r>
              <w:rPr>
                <w:rFonts w:hint="eastAsia" w:ascii="宋体" w:hAnsi="宋体"/>
                <w:iCs/>
                <w:sz w:val="24"/>
                <w:lang w:eastAsia="zh-CN"/>
              </w:rPr>
              <w:t>政法专项编制</w:t>
            </w:r>
            <w:r>
              <w:rPr>
                <w:rFonts w:hint="eastAsia" w:ascii="宋体" w:hAnsi="宋体"/>
                <w:iCs/>
                <w:sz w:val="24"/>
                <w:lang w:val="en-US" w:eastAsia="zh-CN"/>
              </w:rPr>
              <w:t>84</w:t>
            </w:r>
            <w:r>
              <w:rPr>
                <w:rFonts w:hint="eastAsia" w:ascii="宋体" w:hAnsi="宋体"/>
                <w:iCs/>
                <w:sz w:val="24"/>
              </w:rPr>
              <w:t>人，非参公事业人员1</w:t>
            </w:r>
            <w:r>
              <w:rPr>
                <w:rFonts w:hint="eastAsia" w:ascii="宋体" w:hAnsi="宋体"/>
                <w:iCs/>
                <w:sz w:val="24"/>
                <w:lang w:val="en-US" w:eastAsia="zh-CN"/>
              </w:rPr>
              <w:t>5</w:t>
            </w:r>
            <w:r>
              <w:rPr>
                <w:rFonts w:hint="eastAsia" w:ascii="宋体" w:hAnsi="宋体"/>
                <w:iCs/>
                <w:sz w:val="24"/>
              </w:rPr>
              <w:t>人</w:t>
            </w:r>
            <w:r>
              <w:rPr>
                <w:rFonts w:hint="eastAsia" w:ascii="宋体" w:hAnsi="宋体"/>
                <w:iCs/>
                <w:sz w:val="24"/>
                <w:lang w:val="en-US" w:eastAsia="zh-CN"/>
              </w:rPr>
              <w:t>），截止2021年12月31日，实有89人（</w:t>
            </w:r>
            <w:r>
              <w:rPr>
                <w:rFonts w:hint="eastAsia" w:ascii="宋体" w:hAnsi="宋体"/>
                <w:iCs/>
                <w:sz w:val="24"/>
                <w:lang w:eastAsia="zh-CN"/>
              </w:rPr>
              <w:t>政法专项编制</w:t>
            </w:r>
            <w:r>
              <w:rPr>
                <w:rFonts w:hint="eastAsia" w:ascii="宋体" w:hAnsi="宋体"/>
                <w:iCs/>
                <w:sz w:val="24"/>
              </w:rPr>
              <w:t>7</w:t>
            </w:r>
            <w:r>
              <w:rPr>
                <w:rFonts w:hint="eastAsia" w:ascii="宋体" w:hAnsi="宋体"/>
                <w:iCs/>
                <w:sz w:val="24"/>
                <w:lang w:val="en-US" w:eastAsia="zh-CN"/>
              </w:rPr>
              <w:t>4</w:t>
            </w:r>
            <w:r>
              <w:rPr>
                <w:rFonts w:hint="eastAsia" w:ascii="宋体" w:hAnsi="宋体"/>
                <w:iCs/>
                <w:sz w:val="24"/>
              </w:rPr>
              <w:t>人，非参公事业人员1</w:t>
            </w:r>
            <w:r>
              <w:rPr>
                <w:rFonts w:hint="eastAsia" w:ascii="宋体" w:hAnsi="宋体"/>
                <w:iCs/>
                <w:sz w:val="24"/>
                <w:lang w:val="en-US" w:eastAsia="zh-CN"/>
              </w:rPr>
              <w:t>5</w:t>
            </w:r>
            <w:r>
              <w:rPr>
                <w:rFonts w:hint="eastAsia" w:ascii="宋体" w:hAnsi="宋体"/>
                <w:iCs/>
                <w:sz w:val="24"/>
              </w:rPr>
              <w:t>人</w:t>
            </w:r>
            <w:r>
              <w:rPr>
                <w:rFonts w:hint="eastAsia" w:ascii="宋体" w:hAnsi="宋体"/>
                <w:iCs/>
                <w:sz w:val="24"/>
                <w:lang w:val="en-US" w:eastAsia="zh-CN"/>
              </w:rPr>
              <w:t>）。离退休人员26人，其中退休人员26人。</w:t>
            </w:r>
            <w:r>
              <w:rPr>
                <w:rFonts w:hint="eastAsia" w:ascii="宋体" w:hAnsi="宋体"/>
                <w:iCs/>
                <w:sz w:val="24"/>
              </w:rPr>
              <w:t>遗属</w:t>
            </w:r>
            <w:r>
              <w:rPr>
                <w:rFonts w:hint="eastAsia" w:ascii="宋体" w:hAnsi="宋体"/>
                <w:iCs/>
                <w:sz w:val="24"/>
                <w:lang w:val="en-US" w:eastAsia="zh-CN"/>
              </w:rPr>
              <w:t>4</w:t>
            </w:r>
            <w:r>
              <w:rPr>
                <w:rFonts w:hint="eastAsia" w:ascii="宋体" w:hAnsi="宋体"/>
                <w:iCs/>
                <w:sz w:val="24"/>
              </w:rPr>
              <w:t>人。</w:t>
            </w:r>
          </w:p>
          <w:p>
            <w:pPr>
              <w:snapToGrid w:val="0"/>
              <w:spacing w:line="520" w:lineRule="exact"/>
              <w:ind w:firstLine="480" w:firstLineChars="200"/>
              <w:rPr>
                <w:rFonts w:hint="eastAsia" w:ascii="宋体" w:hAnsi="宋体"/>
                <w:iCs/>
                <w:sz w:val="24"/>
                <w:lang w:val="en-US" w:eastAsia="zh-CN"/>
              </w:rPr>
            </w:pPr>
            <w:r>
              <w:rPr>
                <w:rFonts w:hint="eastAsia" w:ascii="宋体" w:hAnsi="宋体"/>
                <w:iCs/>
                <w:sz w:val="24"/>
                <w:lang w:eastAsia="zh-CN"/>
              </w:rPr>
              <w:t>二、</w:t>
            </w:r>
            <w:r>
              <w:rPr>
                <w:rFonts w:hint="eastAsia" w:ascii="宋体" w:hAnsi="宋体"/>
                <w:iCs/>
                <w:sz w:val="24"/>
                <w:lang w:val="en-US" w:eastAsia="zh-CN"/>
              </w:rPr>
              <w:t>年度重点工作</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1.保障司法局在职人员及离退休人员的正常办公、生活秩序。</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2.切实做好普法工作，组织好青少年法制宣传周、“12.4”全国法制宣传日、送法下乡等大型宣传活动，提升公民的整体法制意识和法律素养。</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3.做好民生实事工作，法律援助做到应援尽援，维护弱势群体的合法权益。</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4.确保社区矫正人员无脱管、漏管现象发生。做好安置帮教工作，预防和减少二次犯罪，切实维护县域和谐稳定。</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5.依法依规及时进行人民调解，将矛盾化解在基层，充分发挥第一道防线的作用。</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6.指导、监督好全区行政复议和行政应诉工作，承担好行政复议应诉案件统计分析工作、行政复议宣传工作。</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7.指导、监督全县各部门（单位）行政执法工作，推进严格规范公正文明执法。</w:t>
            </w:r>
          </w:p>
          <w:p>
            <w:pPr>
              <w:numPr>
                <w:ilvl w:val="0"/>
                <w:numId w:val="0"/>
              </w:numPr>
              <w:snapToGrid w:val="0"/>
              <w:spacing w:line="520" w:lineRule="exact"/>
              <w:rPr>
                <w:rFonts w:hint="eastAsia" w:ascii="宋体" w:hAnsi="宋体" w:eastAsia="宋体"/>
                <w:iCs/>
                <w:sz w:val="24"/>
                <w:lang w:eastAsia="zh-CN"/>
              </w:rPr>
            </w:pPr>
            <w:r>
              <w:rPr>
                <w:rFonts w:hint="eastAsia" w:ascii="宋体" w:hAnsi="宋体"/>
                <w:iCs/>
                <w:sz w:val="24"/>
                <w:lang w:eastAsia="zh-CN"/>
              </w:rPr>
              <w:t>三、预算情况</w:t>
            </w:r>
          </w:p>
          <w:p>
            <w:pPr>
              <w:snapToGrid w:val="0"/>
              <w:spacing w:line="520" w:lineRule="exact"/>
              <w:rPr>
                <w:rFonts w:hint="eastAsia" w:ascii="宋体" w:hAnsi="宋体"/>
                <w:iCs/>
                <w:sz w:val="24"/>
                <w:lang w:eastAsia="zh-CN"/>
              </w:rPr>
            </w:pPr>
            <w:r>
              <w:rPr>
                <w:rFonts w:hint="eastAsia" w:ascii="宋体" w:hAnsi="宋体"/>
                <w:iCs/>
                <w:sz w:val="24"/>
                <w:lang w:eastAsia="zh-CN"/>
              </w:rPr>
              <w:t>（一）年初预算情况</w:t>
            </w:r>
          </w:p>
          <w:p>
            <w:pPr>
              <w:snapToGrid w:val="0"/>
              <w:spacing w:line="520" w:lineRule="exact"/>
              <w:rPr>
                <w:rFonts w:hint="eastAsia" w:ascii="宋体" w:hAnsi="宋体"/>
                <w:iCs/>
                <w:sz w:val="24"/>
                <w:lang w:eastAsia="zh-CN"/>
              </w:rPr>
            </w:pPr>
            <w:r>
              <w:rPr>
                <w:rFonts w:hint="eastAsia" w:ascii="宋体" w:hAnsi="宋体"/>
                <w:iCs/>
                <w:sz w:val="24"/>
              </w:rPr>
              <w:t>202</w:t>
            </w:r>
            <w:r>
              <w:rPr>
                <w:rFonts w:hint="eastAsia" w:ascii="宋体" w:hAnsi="宋体"/>
                <w:iCs/>
                <w:sz w:val="24"/>
                <w:lang w:val="en-US" w:eastAsia="zh-CN"/>
              </w:rPr>
              <w:t>1</w:t>
            </w:r>
            <w:r>
              <w:rPr>
                <w:rFonts w:hint="eastAsia" w:ascii="宋体" w:hAnsi="宋体"/>
                <w:iCs/>
                <w:sz w:val="24"/>
              </w:rPr>
              <w:t>年我局年初部门预算</w:t>
            </w:r>
            <w:r>
              <w:rPr>
                <w:rFonts w:hint="eastAsia" w:ascii="宋体" w:hAnsi="宋体"/>
                <w:iCs/>
                <w:sz w:val="24"/>
                <w:lang w:eastAsia="zh-CN"/>
              </w:rPr>
              <w:t>批复</w:t>
            </w:r>
            <w:r>
              <w:rPr>
                <w:rFonts w:hint="eastAsia" w:ascii="宋体" w:hAnsi="宋体"/>
                <w:iCs/>
                <w:sz w:val="24"/>
                <w:lang w:val="en-US" w:eastAsia="zh-CN"/>
              </w:rPr>
              <w:t>:部门预算</w:t>
            </w:r>
            <w:r>
              <w:rPr>
                <w:rFonts w:hint="eastAsia" w:ascii="宋体" w:hAnsi="宋体"/>
                <w:iCs/>
                <w:sz w:val="24"/>
                <w:lang w:eastAsia="zh-CN"/>
              </w:rPr>
              <w:t>收入为</w:t>
            </w:r>
            <w:r>
              <w:rPr>
                <w:rFonts w:hint="eastAsia" w:ascii="宋体" w:hAnsi="宋体"/>
                <w:iCs/>
                <w:sz w:val="24"/>
                <w:lang w:val="en-US" w:eastAsia="zh-CN"/>
              </w:rPr>
              <w:t>1507.60万</w:t>
            </w:r>
            <w:r>
              <w:rPr>
                <w:rFonts w:hint="eastAsia" w:ascii="宋体" w:hAnsi="宋体"/>
                <w:iCs/>
                <w:sz w:val="24"/>
              </w:rPr>
              <w:t>元</w:t>
            </w:r>
            <w:r>
              <w:rPr>
                <w:rFonts w:hint="eastAsia" w:ascii="宋体" w:hAnsi="宋体"/>
                <w:iCs/>
                <w:sz w:val="24"/>
                <w:lang w:eastAsia="zh-CN"/>
              </w:rPr>
              <w:t>（预算内拨款</w:t>
            </w:r>
            <w:r>
              <w:rPr>
                <w:rFonts w:hint="eastAsia" w:ascii="宋体" w:hAnsi="宋体"/>
                <w:iCs/>
                <w:sz w:val="24"/>
                <w:lang w:val="en-US" w:eastAsia="zh-CN"/>
              </w:rPr>
              <w:t>1507.60万元，上级补助0万元）；部门预算支出为1507.60 万元，其中</w:t>
            </w:r>
            <w:r>
              <w:rPr>
                <w:rFonts w:hint="eastAsia" w:ascii="宋体" w:hAnsi="宋体"/>
                <w:iCs/>
                <w:sz w:val="24"/>
              </w:rPr>
              <w:t>基本支出</w:t>
            </w:r>
            <w:r>
              <w:rPr>
                <w:rFonts w:hint="eastAsia" w:ascii="宋体" w:hAnsi="宋体"/>
                <w:iCs/>
                <w:sz w:val="24"/>
                <w:lang w:val="en-US" w:eastAsia="zh-CN"/>
              </w:rPr>
              <w:t>1381.56万</w:t>
            </w:r>
            <w:r>
              <w:rPr>
                <w:rFonts w:hint="eastAsia" w:ascii="宋体" w:hAnsi="宋体"/>
                <w:iCs/>
                <w:sz w:val="24"/>
              </w:rPr>
              <w:t>元</w:t>
            </w:r>
            <w:r>
              <w:rPr>
                <w:rFonts w:hint="eastAsia" w:ascii="宋体" w:hAnsi="宋体"/>
                <w:iCs/>
                <w:sz w:val="24"/>
                <w:lang w:eastAsia="zh-CN"/>
              </w:rPr>
              <w:t>（含</w:t>
            </w:r>
            <w:r>
              <w:rPr>
                <w:rFonts w:hint="eastAsia" w:ascii="宋体" w:hAnsi="宋体"/>
                <w:iCs/>
                <w:sz w:val="24"/>
              </w:rPr>
              <w:t>人员经费</w:t>
            </w:r>
            <w:r>
              <w:rPr>
                <w:rFonts w:hint="eastAsia" w:ascii="宋体" w:hAnsi="宋体"/>
                <w:iCs/>
                <w:sz w:val="24"/>
                <w:lang w:val="en-US" w:eastAsia="zh-CN"/>
              </w:rPr>
              <w:t>1117.95</w:t>
            </w:r>
            <w:r>
              <w:rPr>
                <w:rFonts w:hint="eastAsia" w:ascii="宋体" w:hAnsi="宋体"/>
                <w:iCs/>
                <w:sz w:val="24"/>
              </w:rPr>
              <w:t>元，日常公用经费</w:t>
            </w:r>
            <w:r>
              <w:rPr>
                <w:rFonts w:hint="eastAsia" w:ascii="宋体" w:hAnsi="宋体"/>
                <w:iCs/>
                <w:sz w:val="24"/>
                <w:lang w:val="en-US" w:eastAsia="zh-CN"/>
              </w:rPr>
              <w:t>263.61万</w:t>
            </w:r>
            <w:r>
              <w:rPr>
                <w:rFonts w:hint="eastAsia" w:ascii="宋体" w:hAnsi="宋体"/>
                <w:iCs/>
                <w:sz w:val="24"/>
              </w:rPr>
              <w:t>元)，项目支出</w:t>
            </w:r>
            <w:r>
              <w:rPr>
                <w:rFonts w:hint="eastAsia" w:ascii="宋体" w:hAnsi="宋体"/>
                <w:iCs/>
                <w:sz w:val="24"/>
                <w:lang w:eastAsia="zh-CN"/>
              </w:rPr>
              <w:t>（全部为业务性专项）</w:t>
            </w:r>
            <w:r>
              <w:rPr>
                <w:rFonts w:hint="eastAsia" w:ascii="宋体" w:hAnsi="宋体"/>
                <w:iCs/>
                <w:sz w:val="24"/>
                <w:lang w:val="en-US" w:eastAsia="zh-CN"/>
              </w:rPr>
              <w:t>126.00</w:t>
            </w:r>
            <w:r>
              <w:rPr>
                <w:rFonts w:hint="eastAsia" w:ascii="宋体" w:hAnsi="宋体"/>
                <w:iCs/>
                <w:sz w:val="24"/>
                <w:lang w:eastAsia="zh-CN"/>
              </w:rPr>
              <w:t>万</w:t>
            </w:r>
            <w:r>
              <w:rPr>
                <w:rFonts w:hint="eastAsia" w:ascii="宋体" w:hAnsi="宋体"/>
                <w:iCs/>
                <w:sz w:val="24"/>
              </w:rPr>
              <w:t>元</w:t>
            </w:r>
            <w:r>
              <w:rPr>
                <w:rFonts w:hint="eastAsia" w:ascii="宋体" w:hAnsi="宋体"/>
                <w:iCs/>
                <w:sz w:val="24"/>
                <w:lang w:eastAsia="zh-CN"/>
              </w:rPr>
              <w:t>。</w:t>
            </w:r>
          </w:p>
          <w:p>
            <w:pPr>
              <w:snapToGrid w:val="0"/>
              <w:spacing w:line="520" w:lineRule="exact"/>
              <w:rPr>
                <w:rFonts w:hint="eastAsia" w:ascii="宋体" w:hAnsi="宋体"/>
                <w:iCs/>
                <w:sz w:val="24"/>
                <w:lang w:val="en-US" w:eastAsia="zh-CN"/>
              </w:rPr>
            </w:pPr>
            <w:r>
              <w:rPr>
                <w:rFonts w:hint="eastAsia" w:ascii="宋体" w:hAnsi="宋体"/>
                <w:iCs/>
                <w:sz w:val="24"/>
              </w:rPr>
              <w:t>2020年度</w:t>
            </w:r>
            <w:r>
              <w:rPr>
                <w:rFonts w:hint="eastAsia" w:ascii="宋体" w:hAnsi="宋体"/>
                <w:iCs/>
                <w:sz w:val="24"/>
                <w:lang w:eastAsia="zh-CN"/>
              </w:rPr>
              <w:t>核定我局</w:t>
            </w:r>
            <w:r>
              <w:rPr>
                <w:rFonts w:hint="eastAsia" w:ascii="宋体" w:hAnsi="宋体"/>
                <w:iCs/>
                <w:sz w:val="24"/>
              </w:rPr>
              <w:t>“三公经费”为</w:t>
            </w:r>
            <w:r>
              <w:rPr>
                <w:rFonts w:hint="eastAsia" w:ascii="宋体" w:hAnsi="宋体"/>
                <w:iCs/>
                <w:sz w:val="24"/>
                <w:lang w:val="en-US" w:eastAsia="zh-CN"/>
              </w:rPr>
              <w:t>23.40</w:t>
            </w:r>
            <w:r>
              <w:rPr>
                <w:rFonts w:hint="eastAsia" w:ascii="宋体" w:hAnsi="宋体"/>
                <w:iCs/>
                <w:sz w:val="24"/>
              </w:rPr>
              <w:t>万元,其中公务用车运行维护费</w:t>
            </w:r>
            <w:r>
              <w:rPr>
                <w:rFonts w:hint="eastAsia" w:ascii="宋体" w:hAnsi="宋体"/>
                <w:iCs/>
                <w:sz w:val="24"/>
                <w:lang w:val="en-US" w:eastAsia="zh-CN"/>
              </w:rPr>
              <w:t>14.4万</w:t>
            </w:r>
            <w:r>
              <w:rPr>
                <w:rFonts w:hint="eastAsia" w:ascii="宋体" w:hAnsi="宋体"/>
                <w:iCs/>
                <w:sz w:val="24"/>
              </w:rPr>
              <w:t>元，公务接待费</w:t>
            </w:r>
            <w:r>
              <w:rPr>
                <w:rFonts w:hint="eastAsia" w:ascii="宋体" w:hAnsi="宋体"/>
                <w:iCs/>
                <w:sz w:val="24"/>
                <w:lang w:val="en-US" w:eastAsia="zh-CN"/>
              </w:rPr>
              <w:t>9.00万</w:t>
            </w:r>
            <w:r>
              <w:rPr>
                <w:rFonts w:hint="eastAsia" w:ascii="宋体" w:hAnsi="宋体"/>
                <w:iCs/>
                <w:sz w:val="24"/>
              </w:rPr>
              <w:t>元</w:t>
            </w:r>
            <w:r>
              <w:rPr>
                <w:rFonts w:hint="eastAsia" w:ascii="宋体" w:hAnsi="宋体"/>
                <w:iCs/>
                <w:sz w:val="24"/>
                <w:lang w:eastAsia="zh-CN"/>
              </w:rPr>
              <w:t>，因公出境</w:t>
            </w:r>
            <w:r>
              <w:rPr>
                <w:rFonts w:hint="eastAsia" w:ascii="宋体" w:hAnsi="宋体"/>
                <w:iCs/>
                <w:sz w:val="24"/>
                <w:lang w:val="en-US" w:eastAsia="zh-CN"/>
              </w:rPr>
              <w:t>0元。</w:t>
            </w:r>
          </w:p>
          <w:p>
            <w:pPr>
              <w:snapToGrid w:val="0"/>
              <w:spacing w:line="520" w:lineRule="exact"/>
              <w:rPr>
                <w:rFonts w:hint="eastAsia" w:ascii="宋体" w:hAnsi="宋体" w:eastAsia="宋体" w:cs="宋体"/>
                <w:sz w:val="24"/>
                <w:szCs w:val="24"/>
                <w:lang w:eastAsia="zh-CN"/>
              </w:rPr>
            </w:pPr>
            <w:r>
              <w:rPr>
                <w:rFonts w:ascii="宋体" w:hAnsi="宋体" w:eastAsia="宋体" w:cs="宋体"/>
                <w:sz w:val="24"/>
                <w:szCs w:val="24"/>
              </w:rPr>
              <w:t>年中追加和调减预算情况</w:t>
            </w:r>
          </w:p>
          <w:p>
            <w:pPr>
              <w:snapToGrid w:val="0"/>
              <w:spacing w:line="520" w:lineRule="exact"/>
              <w:rPr>
                <w:rFonts w:hint="eastAsia" w:ascii="宋体" w:hAnsi="宋体"/>
                <w:iCs/>
                <w:color w:val="FF0000"/>
                <w:sz w:val="24"/>
                <w:lang w:val="en-US" w:eastAsia="zh-CN"/>
              </w:rPr>
            </w:pPr>
            <w:r>
              <w:rPr>
                <w:rFonts w:ascii="宋体" w:hAnsi="宋体" w:eastAsia="宋体" w:cs="宋体"/>
                <w:color w:val="auto"/>
                <w:sz w:val="24"/>
                <w:szCs w:val="24"/>
              </w:rPr>
              <w:t>年中</w:t>
            </w:r>
            <w:r>
              <w:rPr>
                <w:rFonts w:hint="eastAsia" w:ascii="宋体" w:hAnsi="宋体" w:cs="宋体"/>
                <w:color w:val="auto"/>
                <w:sz w:val="24"/>
                <w:szCs w:val="24"/>
                <w:lang w:eastAsia="zh-CN"/>
              </w:rPr>
              <w:t>预算内拨款追加</w:t>
            </w:r>
            <w:r>
              <w:rPr>
                <w:rFonts w:hint="eastAsia" w:ascii="宋体" w:hAnsi="宋体" w:cs="宋体"/>
                <w:color w:val="auto"/>
                <w:sz w:val="24"/>
                <w:szCs w:val="24"/>
                <w:lang w:val="en-US" w:eastAsia="zh-CN"/>
              </w:rPr>
              <w:t>28.10万元，为绩效考核奖金和公务交通补贴等政策性原因人员经费的增加，上级补助增加180万元，为业务性专项拨款的增加，年中预算调整总体增加了</w:t>
            </w:r>
            <w:r>
              <w:rPr>
                <w:rFonts w:hint="eastAsia" w:ascii="宋体" w:hAnsi="宋体"/>
                <w:iCs/>
                <w:color w:val="auto"/>
                <w:sz w:val="24"/>
                <w:lang w:val="en-US" w:eastAsia="zh-CN"/>
              </w:rPr>
              <w:t>208.10万元。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iCs/>
                <w:sz w:val="24"/>
                <w:lang w:val="en-US" w:eastAsia="zh-CN"/>
              </w:rPr>
              <w:t>（三）全年总预算情</w:t>
            </w:r>
            <w:r>
              <w:rPr>
                <w:rFonts w:ascii="宋体" w:hAnsi="宋体" w:eastAsia="宋体" w:cs="宋体"/>
                <w:color w:val="auto"/>
                <w:sz w:val="24"/>
                <w:szCs w:val="24"/>
              </w:rPr>
              <w:t>况</w:t>
            </w:r>
          </w:p>
          <w:p>
            <w:pPr>
              <w:snapToGrid w:val="0"/>
              <w:spacing w:line="520" w:lineRule="exact"/>
              <w:rPr>
                <w:rFonts w:hint="eastAsia" w:ascii="宋体" w:hAnsi="宋体" w:eastAsia="宋体" w:cs="宋体"/>
                <w:color w:val="auto"/>
                <w:sz w:val="24"/>
                <w:szCs w:val="24"/>
                <w:lang w:eastAsia="zh-CN"/>
              </w:rPr>
            </w:pPr>
            <w:r>
              <w:rPr>
                <w:rFonts w:ascii="宋体" w:hAnsi="宋体" w:eastAsia="宋体" w:cs="宋体"/>
                <w:color w:val="auto"/>
                <w:sz w:val="24"/>
                <w:szCs w:val="24"/>
              </w:rPr>
              <w:t>全年年初预算收入</w:t>
            </w:r>
            <w:r>
              <w:rPr>
                <w:rFonts w:hint="eastAsia" w:ascii="宋体" w:hAnsi="宋体"/>
                <w:iCs/>
                <w:sz w:val="24"/>
                <w:lang w:val="en-US" w:eastAsia="zh-CN"/>
              </w:rPr>
              <w:t>1507.60</w:t>
            </w:r>
            <w:r>
              <w:rPr>
                <w:rFonts w:ascii="宋体" w:hAnsi="宋体" w:eastAsia="宋体" w:cs="宋体"/>
                <w:color w:val="auto"/>
                <w:sz w:val="24"/>
                <w:szCs w:val="24"/>
              </w:rPr>
              <w:t>万元，年中预算调整</w:t>
            </w:r>
            <w:r>
              <w:rPr>
                <w:rFonts w:hint="eastAsia" w:ascii="宋体" w:hAnsi="宋体" w:cs="宋体"/>
                <w:color w:val="auto"/>
                <w:sz w:val="24"/>
                <w:szCs w:val="24"/>
                <w:lang w:eastAsia="zh-CN"/>
              </w:rPr>
              <w:t>增加</w:t>
            </w:r>
            <w:r>
              <w:rPr>
                <w:rFonts w:hint="eastAsia" w:ascii="宋体" w:hAnsi="宋体" w:cs="宋体"/>
                <w:color w:val="auto"/>
                <w:sz w:val="24"/>
                <w:szCs w:val="24"/>
                <w:lang w:val="en-US" w:eastAsia="zh-CN"/>
              </w:rPr>
              <w:t>208.10</w:t>
            </w:r>
            <w:r>
              <w:rPr>
                <w:rFonts w:ascii="宋体" w:hAnsi="宋体" w:eastAsia="宋体" w:cs="宋体"/>
                <w:color w:val="auto"/>
                <w:sz w:val="24"/>
                <w:szCs w:val="24"/>
              </w:rPr>
              <w:t> 万元，全年总预算</w:t>
            </w:r>
            <w:r>
              <w:rPr>
                <w:rFonts w:hint="eastAsia" w:ascii="宋体" w:hAnsi="宋体" w:cs="宋体"/>
                <w:color w:val="auto"/>
                <w:sz w:val="24"/>
                <w:szCs w:val="24"/>
                <w:lang w:eastAsia="zh-CN"/>
              </w:rPr>
              <w:t>收入</w:t>
            </w:r>
            <w:r>
              <w:rPr>
                <w:rFonts w:ascii="宋体" w:hAnsi="宋体" w:eastAsia="宋体" w:cs="宋体"/>
                <w:color w:val="auto"/>
                <w:sz w:val="24"/>
                <w:szCs w:val="24"/>
              </w:rPr>
              <w:t>为</w:t>
            </w:r>
            <w:r>
              <w:rPr>
                <w:rFonts w:hint="eastAsia" w:ascii="宋体" w:hAnsi="宋体" w:cs="宋体"/>
                <w:color w:val="auto"/>
                <w:sz w:val="24"/>
                <w:szCs w:val="24"/>
                <w:lang w:val="en-US" w:eastAsia="zh-CN"/>
              </w:rPr>
              <w:t>1715.70</w:t>
            </w:r>
            <w:r>
              <w:rPr>
                <w:rFonts w:ascii="宋体" w:hAnsi="宋体" w:eastAsia="宋体" w:cs="宋体"/>
                <w:color w:val="auto"/>
                <w:sz w:val="24"/>
                <w:szCs w:val="24"/>
              </w:rPr>
              <w:t>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（四）</w:t>
            </w:r>
            <w:r>
              <w:rPr>
                <w:rFonts w:ascii="宋体" w:hAnsi="宋体" w:eastAsia="宋体" w:cs="宋体"/>
                <w:color w:val="auto"/>
                <w:sz w:val="24"/>
                <w:szCs w:val="24"/>
              </w:rPr>
              <w:t>预算执行情况</w:t>
            </w:r>
          </w:p>
          <w:p>
            <w:pPr>
              <w:snapToGrid w:val="0"/>
              <w:spacing w:line="520" w:lineRule="exact"/>
              <w:rPr>
                <w:rFonts w:hint="eastAsia" w:ascii="宋体" w:hAnsi="宋体"/>
                <w:iCs/>
                <w:color w:val="auto"/>
                <w:sz w:val="24"/>
              </w:rPr>
            </w:pPr>
            <w:r>
              <w:rPr>
                <w:rFonts w:hint="eastAsia" w:ascii="宋体" w:hAnsi="宋体" w:cs="宋体"/>
                <w:sz w:val="24"/>
                <w:szCs w:val="24"/>
                <w:lang w:val="en-US" w:eastAsia="zh-CN"/>
              </w:rPr>
              <w:t>1</w:t>
            </w:r>
            <w:r>
              <w:rPr>
                <w:rFonts w:hint="eastAsia" w:ascii="宋体" w:hAnsi="宋体"/>
                <w:iCs/>
                <w:sz w:val="24"/>
              </w:rPr>
              <w:t>、</w:t>
            </w:r>
            <w:r>
              <w:rPr>
                <w:rFonts w:hint="eastAsia" w:ascii="宋体" w:hAnsi="宋体"/>
                <w:iCs/>
                <w:sz w:val="24"/>
                <w:lang w:eastAsia="zh-CN"/>
              </w:rPr>
              <w:t>经费总支出情况</w:t>
            </w:r>
            <w:r>
              <w:rPr>
                <w:rFonts w:hint="eastAsia" w:ascii="宋体" w:hAnsi="宋体"/>
                <w:iCs/>
                <w:sz w:val="24"/>
              </w:rPr>
              <w:t>：</w:t>
            </w:r>
            <w:r>
              <w:rPr>
                <w:rFonts w:hint="eastAsia" w:ascii="宋体" w:hAnsi="宋体"/>
                <w:iCs/>
                <w:color w:val="auto"/>
                <w:sz w:val="24"/>
              </w:rPr>
              <w:t>2020年年初结</w:t>
            </w:r>
            <w:r>
              <w:rPr>
                <w:rFonts w:hint="eastAsia" w:ascii="宋体" w:hAnsi="宋体"/>
                <w:iCs/>
                <w:color w:val="auto"/>
                <w:sz w:val="24"/>
                <w:lang w:eastAsia="zh-CN"/>
              </w:rPr>
              <w:t>余</w:t>
            </w:r>
            <w:r>
              <w:rPr>
                <w:rFonts w:hint="eastAsia" w:ascii="宋体" w:hAnsi="宋体"/>
                <w:iCs/>
                <w:color w:val="auto"/>
                <w:sz w:val="24"/>
                <w:lang w:val="en-US" w:eastAsia="zh-CN"/>
              </w:rPr>
              <w:t>93.05万</w:t>
            </w:r>
            <w:r>
              <w:rPr>
                <w:rFonts w:hint="eastAsia" w:ascii="宋体" w:hAnsi="宋体"/>
                <w:iCs/>
                <w:color w:val="auto"/>
                <w:sz w:val="24"/>
              </w:rPr>
              <w:t>元，实际整体支出决算数为</w:t>
            </w:r>
            <w:r>
              <w:rPr>
                <w:rFonts w:hint="eastAsia" w:ascii="宋体" w:hAnsi="宋体"/>
                <w:iCs/>
                <w:color w:val="auto"/>
                <w:sz w:val="24"/>
                <w:lang w:val="en-US" w:eastAsia="zh-CN"/>
              </w:rPr>
              <w:t>1715.70</w:t>
            </w:r>
            <w:r>
              <w:rPr>
                <w:rFonts w:hint="eastAsia" w:ascii="宋体" w:hAnsi="宋体"/>
                <w:iCs/>
                <w:color w:val="auto"/>
                <w:sz w:val="24"/>
                <w:lang w:eastAsia="zh-CN"/>
              </w:rPr>
              <w:t>万</w:t>
            </w:r>
            <w:r>
              <w:rPr>
                <w:rFonts w:hint="eastAsia" w:ascii="宋体" w:hAnsi="宋体"/>
                <w:iCs/>
                <w:color w:val="auto"/>
                <w:sz w:val="24"/>
              </w:rPr>
              <w:t>元，支出按支出性质分类为：基本支出</w:t>
            </w:r>
            <w:r>
              <w:rPr>
                <w:rFonts w:hint="eastAsia" w:ascii="宋体" w:hAnsi="宋体"/>
                <w:iCs/>
                <w:color w:val="auto"/>
                <w:sz w:val="24"/>
                <w:lang w:val="en-US" w:eastAsia="zh-CN"/>
              </w:rPr>
              <w:t>1417.70万</w:t>
            </w:r>
            <w:r>
              <w:rPr>
                <w:rFonts w:hint="eastAsia" w:ascii="宋体" w:hAnsi="宋体"/>
                <w:iCs/>
                <w:color w:val="auto"/>
                <w:sz w:val="24"/>
              </w:rPr>
              <w:t>元（其中人员经费</w:t>
            </w:r>
            <w:r>
              <w:rPr>
                <w:rFonts w:hint="eastAsia" w:ascii="宋体" w:hAnsi="宋体"/>
                <w:iCs/>
                <w:color w:val="auto"/>
                <w:sz w:val="24"/>
                <w:lang w:val="en-US" w:eastAsia="zh-CN"/>
              </w:rPr>
              <w:t>1128.10</w:t>
            </w:r>
            <w:r>
              <w:rPr>
                <w:rFonts w:hint="eastAsia" w:ascii="宋体" w:hAnsi="宋体"/>
                <w:iCs/>
                <w:color w:val="auto"/>
                <w:sz w:val="24"/>
                <w:lang w:eastAsia="zh-CN"/>
              </w:rPr>
              <w:t>万</w:t>
            </w:r>
            <w:r>
              <w:rPr>
                <w:rFonts w:hint="eastAsia" w:ascii="宋体" w:hAnsi="宋体"/>
                <w:iCs/>
                <w:color w:val="auto"/>
                <w:sz w:val="24"/>
              </w:rPr>
              <w:t>元，日常公用经费</w:t>
            </w:r>
            <w:r>
              <w:rPr>
                <w:rFonts w:hint="eastAsia" w:ascii="宋体" w:hAnsi="宋体"/>
                <w:iCs/>
                <w:color w:val="auto"/>
                <w:sz w:val="24"/>
                <w:lang w:val="en-US" w:eastAsia="zh-CN"/>
              </w:rPr>
              <w:t>289.50万</w:t>
            </w:r>
            <w:r>
              <w:rPr>
                <w:rFonts w:hint="eastAsia" w:ascii="宋体" w:hAnsi="宋体"/>
                <w:iCs/>
                <w:color w:val="auto"/>
                <w:sz w:val="24"/>
              </w:rPr>
              <w:t>元），项目支出为410</w:t>
            </w:r>
            <w:r>
              <w:rPr>
                <w:rFonts w:hint="eastAsia" w:ascii="宋体" w:hAnsi="宋体"/>
                <w:iCs/>
                <w:color w:val="auto"/>
                <w:sz w:val="24"/>
                <w:lang w:val="en-US" w:eastAsia="zh-CN"/>
              </w:rPr>
              <w:t>.</w:t>
            </w:r>
            <w:r>
              <w:rPr>
                <w:rFonts w:hint="eastAsia" w:ascii="宋体" w:hAnsi="宋体"/>
                <w:iCs/>
                <w:color w:val="auto"/>
                <w:sz w:val="24"/>
              </w:rPr>
              <w:t>30</w:t>
            </w:r>
            <w:r>
              <w:rPr>
                <w:rFonts w:hint="eastAsia" w:ascii="宋体" w:hAnsi="宋体"/>
                <w:iCs/>
                <w:color w:val="auto"/>
                <w:sz w:val="24"/>
                <w:lang w:eastAsia="zh-CN"/>
              </w:rPr>
              <w:t>万</w:t>
            </w:r>
            <w:r>
              <w:rPr>
                <w:rFonts w:hint="eastAsia" w:ascii="宋体" w:hAnsi="宋体"/>
                <w:iCs/>
                <w:color w:val="auto"/>
                <w:sz w:val="24"/>
              </w:rPr>
              <w:t>元；支出按经济分类为：工资福利支出</w:t>
            </w:r>
            <w:r>
              <w:rPr>
                <w:rFonts w:hint="eastAsia" w:ascii="宋体" w:hAnsi="宋体"/>
                <w:iCs/>
                <w:color w:val="auto"/>
                <w:sz w:val="24"/>
                <w:lang w:val="en-US" w:eastAsia="zh-CN"/>
              </w:rPr>
              <w:t>1122.30</w:t>
            </w:r>
            <w:r>
              <w:rPr>
                <w:rFonts w:hint="eastAsia" w:ascii="宋体" w:hAnsi="宋体"/>
                <w:iCs/>
                <w:color w:val="auto"/>
                <w:sz w:val="24"/>
                <w:lang w:eastAsia="zh-CN"/>
              </w:rPr>
              <w:t>万</w:t>
            </w:r>
            <w:r>
              <w:rPr>
                <w:rFonts w:hint="eastAsia" w:ascii="宋体" w:hAnsi="宋体"/>
                <w:iCs/>
                <w:color w:val="auto"/>
                <w:sz w:val="24"/>
              </w:rPr>
              <w:t>元，商品和服务支出</w:t>
            </w:r>
            <w:r>
              <w:rPr>
                <w:rFonts w:hint="eastAsia" w:ascii="宋体" w:hAnsi="宋体"/>
                <w:iCs/>
                <w:color w:val="auto"/>
                <w:sz w:val="24"/>
                <w:lang w:val="en-US" w:eastAsia="zh-CN"/>
              </w:rPr>
              <w:t>289.50</w:t>
            </w:r>
            <w:r>
              <w:rPr>
                <w:rFonts w:hint="eastAsia" w:ascii="宋体" w:hAnsi="宋体"/>
                <w:iCs/>
                <w:color w:val="auto"/>
                <w:sz w:val="24"/>
                <w:lang w:eastAsia="zh-CN"/>
              </w:rPr>
              <w:t>万</w:t>
            </w:r>
            <w:r>
              <w:rPr>
                <w:rFonts w:hint="eastAsia" w:ascii="宋体" w:hAnsi="宋体"/>
                <w:iCs/>
                <w:color w:val="auto"/>
                <w:sz w:val="24"/>
              </w:rPr>
              <w:t>元，对个人和家庭的补助</w:t>
            </w:r>
            <w:r>
              <w:rPr>
                <w:rFonts w:hint="eastAsia" w:ascii="宋体" w:hAnsi="宋体"/>
                <w:iCs/>
                <w:color w:val="auto"/>
                <w:sz w:val="24"/>
                <w:lang w:val="en-US" w:eastAsia="zh-CN"/>
              </w:rPr>
              <w:t>5.80</w:t>
            </w:r>
            <w:r>
              <w:rPr>
                <w:rFonts w:hint="eastAsia" w:ascii="宋体" w:hAnsi="宋体"/>
                <w:iCs/>
                <w:color w:val="auto"/>
                <w:sz w:val="24"/>
                <w:lang w:eastAsia="zh-CN"/>
              </w:rPr>
              <w:t>万</w:t>
            </w:r>
            <w:r>
              <w:rPr>
                <w:rFonts w:hint="eastAsia" w:ascii="宋体" w:hAnsi="宋体"/>
                <w:iCs/>
                <w:color w:val="auto"/>
                <w:sz w:val="24"/>
              </w:rPr>
              <w:t>元。202</w:t>
            </w:r>
            <w:r>
              <w:rPr>
                <w:rFonts w:hint="eastAsia" w:ascii="宋体" w:hAnsi="宋体"/>
                <w:iCs/>
                <w:color w:val="auto"/>
                <w:sz w:val="24"/>
                <w:lang w:val="en-US" w:eastAsia="zh-CN"/>
              </w:rPr>
              <w:t>1</w:t>
            </w:r>
            <w:r>
              <w:rPr>
                <w:rFonts w:hint="eastAsia" w:ascii="宋体" w:hAnsi="宋体"/>
                <w:iCs/>
                <w:color w:val="auto"/>
                <w:sz w:val="24"/>
              </w:rPr>
              <w:t>年度“三公经费”决算数为</w:t>
            </w:r>
            <w:r>
              <w:rPr>
                <w:rFonts w:hint="eastAsia" w:ascii="宋体" w:hAnsi="宋体"/>
                <w:iCs/>
                <w:color w:val="auto"/>
                <w:sz w:val="24"/>
                <w:lang w:val="en-US" w:eastAsia="zh-CN"/>
              </w:rPr>
              <w:t>24.49</w:t>
            </w:r>
            <w:r>
              <w:rPr>
                <w:rFonts w:hint="eastAsia" w:ascii="宋体" w:hAnsi="宋体"/>
                <w:iCs/>
                <w:color w:val="auto"/>
                <w:sz w:val="24"/>
              </w:rPr>
              <w:t>万元,其中公务用车运行维护费</w:t>
            </w:r>
            <w:r>
              <w:rPr>
                <w:rFonts w:hint="eastAsia" w:ascii="宋体" w:hAnsi="宋体"/>
                <w:iCs/>
                <w:color w:val="auto"/>
                <w:sz w:val="24"/>
                <w:lang w:val="en-US" w:eastAsia="zh-CN"/>
              </w:rPr>
              <w:t>5.35</w:t>
            </w:r>
            <w:r>
              <w:rPr>
                <w:rFonts w:hint="eastAsia" w:ascii="宋体" w:hAnsi="宋体"/>
                <w:iCs/>
                <w:color w:val="auto"/>
                <w:sz w:val="24"/>
              </w:rPr>
              <w:t>元，公务接待费</w:t>
            </w:r>
            <w:r>
              <w:rPr>
                <w:rFonts w:hint="eastAsia" w:ascii="宋体" w:hAnsi="宋体"/>
                <w:iCs/>
                <w:color w:val="auto"/>
                <w:sz w:val="24"/>
                <w:lang w:val="en-US" w:eastAsia="zh-CN"/>
              </w:rPr>
              <w:t>0.68</w:t>
            </w:r>
            <w:r>
              <w:rPr>
                <w:rFonts w:hint="eastAsia" w:ascii="宋体" w:hAnsi="宋体"/>
                <w:iCs/>
                <w:color w:val="auto"/>
                <w:sz w:val="24"/>
              </w:rPr>
              <w:t>元；202</w:t>
            </w:r>
            <w:r>
              <w:rPr>
                <w:rFonts w:hint="eastAsia" w:ascii="宋体" w:hAnsi="宋体"/>
                <w:iCs/>
                <w:color w:val="auto"/>
                <w:sz w:val="24"/>
                <w:lang w:val="en-US" w:eastAsia="zh-CN"/>
              </w:rPr>
              <w:t>1</w:t>
            </w:r>
            <w:r>
              <w:rPr>
                <w:rFonts w:hint="eastAsia" w:ascii="宋体" w:hAnsi="宋体"/>
                <w:iCs/>
                <w:color w:val="auto"/>
                <w:sz w:val="24"/>
              </w:rPr>
              <w:t>年度结余资金</w:t>
            </w:r>
            <w:r>
              <w:rPr>
                <w:rFonts w:hint="eastAsia" w:ascii="宋体" w:hAnsi="宋体"/>
                <w:iCs/>
                <w:color w:val="auto"/>
                <w:sz w:val="24"/>
                <w:lang w:val="en-US" w:eastAsia="zh-CN"/>
              </w:rPr>
              <w:t>93.05万</w:t>
            </w:r>
            <w:r>
              <w:rPr>
                <w:rFonts w:hint="eastAsia" w:ascii="宋体" w:hAnsi="宋体"/>
                <w:iCs/>
                <w:color w:val="auto"/>
                <w:sz w:val="24"/>
              </w:rPr>
              <w:t>元</w:t>
            </w:r>
            <w:r>
              <w:rPr>
                <w:rFonts w:hint="eastAsia" w:ascii="宋体" w:hAnsi="宋体"/>
                <w:iCs/>
                <w:color w:val="auto"/>
                <w:sz w:val="24"/>
                <w:lang w:eastAsia="zh-CN"/>
              </w:rPr>
              <w:t>，与上年度持平</w:t>
            </w:r>
            <w:r>
              <w:rPr>
                <w:rFonts w:hint="eastAsia" w:ascii="宋体" w:hAnsi="宋体"/>
                <w:iCs/>
                <w:color w:val="auto"/>
                <w:sz w:val="24"/>
              </w:rPr>
              <w:t>。</w:t>
            </w:r>
          </w:p>
          <w:p>
            <w:pPr>
              <w:snapToGrid w:val="0"/>
              <w:spacing w:line="520" w:lineRule="exact"/>
              <w:rPr>
                <w:rFonts w:hint="default" w:ascii="宋体" w:hAnsi="宋体" w:eastAsia="宋体" w:cs="Times New Roman"/>
                <w:iCs/>
                <w:color w:val="auto"/>
                <w:sz w:val="24"/>
                <w:lang w:val="en-US" w:eastAsia="zh-CN"/>
              </w:rPr>
            </w:pPr>
            <w:r>
              <w:rPr>
                <w:rFonts w:hint="eastAsia" w:ascii="宋体" w:hAnsi="宋体"/>
                <w:iCs/>
                <w:color w:val="auto"/>
                <w:sz w:val="24"/>
                <w:lang w:val="en-US" w:eastAsia="zh-CN"/>
              </w:rPr>
              <w:t>2、</w:t>
            </w:r>
            <w:r>
              <w:rPr>
                <w:rFonts w:hint="eastAsia" w:ascii="宋体" w:hAnsi="宋体"/>
                <w:iCs/>
                <w:color w:val="auto"/>
                <w:sz w:val="24"/>
                <w:lang w:eastAsia="zh-CN"/>
              </w:rPr>
              <w:t>财政拨款收入支出情况</w:t>
            </w:r>
          </w:p>
          <w:p>
            <w:pPr>
              <w:snapToGrid w:val="0"/>
              <w:spacing w:line="520" w:lineRule="exact"/>
              <w:rPr>
                <w:rFonts w:hint="eastAsia" w:ascii="宋体" w:hAnsi="宋体"/>
                <w:iCs/>
                <w:color w:val="auto"/>
                <w:sz w:val="24"/>
                <w:lang w:val="en-US" w:eastAsia="zh-CN"/>
              </w:rPr>
            </w:pPr>
            <w:r>
              <w:rPr>
                <w:rFonts w:hint="eastAsia" w:ascii="宋体" w:hAnsi="宋体"/>
                <w:iCs/>
                <w:color w:val="auto"/>
                <w:sz w:val="24"/>
                <w:lang w:val="en-US" w:eastAsia="zh-CN"/>
              </w:rPr>
              <w:t>年初一般公共预算财政拨款收入1507.60万元，年中追加129.72万元，年末财政拨款决算收入为1637.32万元。</w:t>
            </w:r>
            <w:r>
              <w:rPr>
                <w:rFonts w:hint="eastAsia" w:ascii="宋体" w:hAnsi="宋体" w:eastAsia="宋体" w:cs="Times New Roman"/>
                <w:iCs/>
                <w:color w:val="auto"/>
                <w:sz w:val="24"/>
                <w:lang w:val="en-US" w:eastAsia="zh-CN"/>
              </w:rPr>
              <w:t>202</w:t>
            </w:r>
            <w:r>
              <w:rPr>
                <w:rFonts w:hint="eastAsia" w:ascii="宋体" w:hAnsi="宋体" w:cs="Times New Roman"/>
                <w:iCs/>
                <w:color w:val="auto"/>
                <w:sz w:val="24"/>
                <w:lang w:val="en-US" w:eastAsia="zh-CN"/>
              </w:rPr>
              <w:t>1</w:t>
            </w:r>
            <w:r>
              <w:rPr>
                <w:rFonts w:hint="eastAsia" w:ascii="宋体" w:hAnsi="宋体" w:eastAsia="宋体" w:cs="Times New Roman"/>
                <w:iCs/>
                <w:color w:val="auto"/>
                <w:sz w:val="24"/>
                <w:lang w:val="en-US" w:eastAsia="zh-CN"/>
              </w:rPr>
              <w:t>年财政拨款支出为</w:t>
            </w:r>
            <w:r>
              <w:rPr>
                <w:rFonts w:hint="eastAsia" w:ascii="宋体" w:hAnsi="宋体" w:cs="Times New Roman"/>
                <w:iCs/>
                <w:color w:val="auto"/>
                <w:sz w:val="24"/>
                <w:lang w:val="en-US" w:eastAsia="zh-CN"/>
              </w:rPr>
              <w:t>1637.32</w:t>
            </w:r>
            <w:r>
              <w:rPr>
                <w:rFonts w:hint="eastAsia" w:ascii="宋体" w:hAnsi="宋体" w:eastAsia="宋体" w:cs="Times New Roman"/>
                <w:iCs/>
                <w:color w:val="auto"/>
                <w:sz w:val="24"/>
                <w:lang w:val="en-US" w:eastAsia="zh-CN"/>
              </w:rPr>
              <w:t>万元，具体如下：基本支出为</w:t>
            </w:r>
            <w:r>
              <w:rPr>
                <w:rFonts w:hint="eastAsia" w:ascii="宋体" w:hAnsi="宋体" w:cs="Times New Roman"/>
                <w:iCs/>
                <w:color w:val="auto"/>
                <w:sz w:val="24"/>
                <w:lang w:val="en-US" w:eastAsia="zh-CN"/>
              </w:rPr>
              <w:t>1339.33</w:t>
            </w:r>
            <w:r>
              <w:rPr>
                <w:rFonts w:hint="eastAsia" w:ascii="宋体" w:hAnsi="宋体" w:eastAsia="宋体" w:cs="Times New Roman"/>
                <w:iCs/>
                <w:color w:val="auto"/>
                <w:sz w:val="24"/>
                <w:lang w:val="en-US" w:eastAsia="zh-CN"/>
              </w:rPr>
              <w:t>万元（其中人员经费</w:t>
            </w:r>
            <w:r>
              <w:rPr>
                <w:rFonts w:hint="eastAsia" w:ascii="宋体" w:hAnsi="宋体" w:cs="Times New Roman"/>
                <w:iCs/>
                <w:color w:val="auto"/>
                <w:sz w:val="24"/>
                <w:lang w:val="en-US" w:eastAsia="zh-CN"/>
              </w:rPr>
              <w:t>1128.16</w:t>
            </w:r>
            <w:r>
              <w:rPr>
                <w:rFonts w:hint="eastAsia" w:ascii="宋体" w:hAnsi="宋体" w:eastAsia="宋体" w:cs="Times New Roman"/>
                <w:iCs/>
                <w:color w:val="auto"/>
                <w:sz w:val="24"/>
                <w:lang w:val="en-US" w:eastAsia="zh-CN"/>
              </w:rPr>
              <w:t>，日常运行公用经费</w:t>
            </w:r>
            <w:r>
              <w:rPr>
                <w:rFonts w:hint="eastAsia" w:ascii="宋体" w:hAnsi="宋体" w:cs="Times New Roman"/>
                <w:iCs/>
                <w:color w:val="auto"/>
                <w:sz w:val="24"/>
                <w:lang w:val="en-US" w:eastAsia="zh-CN"/>
              </w:rPr>
              <w:t>211.17</w:t>
            </w:r>
            <w:r>
              <w:rPr>
                <w:rFonts w:hint="eastAsia" w:ascii="宋体" w:hAnsi="宋体" w:eastAsia="宋体" w:cs="Times New Roman"/>
                <w:iCs/>
                <w:color w:val="auto"/>
                <w:sz w:val="24"/>
                <w:lang w:val="en-US" w:eastAsia="zh-CN"/>
              </w:rPr>
              <w:t>万元）；项目支</w:t>
            </w:r>
            <w:r>
              <w:rPr>
                <w:rFonts w:hint="eastAsia" w:ascii="宋体" w:hAnsi="宋体"/>
                <w:iCs/>
                <w:color w:val="auto"/>
                <w:sz w:val="24"/>
                <w:lang w:val="en-US" w:eastAsia="zh-CN"/>
              </w:rPr>
              <w:t>出为297.97万元，全部为业务性专项支出。</w:t>
            </w:r>
          </w:p>
          <w:p>
            <w:pPr>
              <w:snapToGrid w:val="0"/>
              <w:spacing w:line="520" w:lineRule="exact"/>
              <w:rPr>
                <w:rFonts w:hint="eastAsia" w:ascii="宋体" w:hAnsi="宋体" w:eastAsia="宋体" w:cs="Times New Roman"/>
                <w:iCs/>
                <w:color w:val="auto"/>
                <w:sz w:val="24"/>
                <w:lang w:val="en-US" w:eastAsia="zh-CN"/>
              </w:rPr>
            </w:pPr>
            <w:r>
              <w:rPr>
                <w:rFonts w:hint="eastAsia" w:ascii="宋体" w:hAnsi="宋体"/>
                <w:iCs/>
                <w:color w:val="auto"/>
                <w:sz w:val="24"/>
                <w:lang w:val="en-US" w:eastAsia="zh-CN"/>
              </w:rPr>
              <w:t>3、预算执行结果</w:t>
            </w:r>
            <w:r>
              <w:rPr>
                <w:rFonts w:hint="eastAsia" w:ascii="宋体" w:hAnsi="宋体" w:cs="宋体"/>
                <w:sz w:val="24"/>
                <w:szCs w:val="24"/>
                <w:lang w:val="en-US" w:eastAsia="zh-CN"/>
              </w:rPr>
              <w:t>。</w:t>
            </w:r>
            <w:r>
              <w:rPr>
                <w:rFonts w:hint="eastAsia" w:ascii="宋体" w:hAnsi="宋体" w:eastAsia="宋体" w:cs="Times New Roman"/>
                <w:iCs/>
                <w:color w:val="auto"/>
                <w:sz w:val="24"/>
                <w:lang w:val="en-US" w:eastAsia="zh-CN"/>
              </w:rPr>
              <w:t>通过规范预算支出管理，不断完善内部管理制度,理顺内部业务管理流程，我局各项支出总额均在预算总额内，年中追加资金均因政策落实进行追加，故我局的实际预算调整率为0。根据资金支出进度，预计基本支出控制率、项目支出控制率和三公经费控制率均小于100%。</w:t>
            </w:r>
          </w:p>
          <w:p>
            <w:pPr>
              <w:snapToGrid w:val="0"/>
              <w:spacing w:line="520" w:lineRule="exact"/>
              <w:rPr>
                <w:rFonts w:hint="eastAsia" w:ascii="宋体" w:hAnsi="宋体"/>
                <w:iCs/>
                <w:color w:val="auto"/>
                <w:sz w:val="24"/>
                <w:lang w:eastAsia="zh-CN"/>
              </w:rPr>
            </w:pPr>
            <w:r>
              <w:rPr>
                <w:rFonts w:hint="eastAsia" w:ascii="宋体" w:hAnsi="宋体"/>
                <w:iCs/>
                <w:color w:val="auto"/>
                <w:sz w:val="24"/>
                <w:lang w:eastAsia="zh-CN"/>
              </w:rPr>
              <w:t>（五）预算管理</w:t>
            </w:r>
          </w:p>
          <w:p>
            <w:pPr>
              <w:snapToGrid w:val="0"/>
              <w:spacing w:line="520" w:lineRule="exact"/>
              <w:ind w:firstLine="240" w:firstLineChars="100"/>
              <w:rPr>
                <w:rFonts w:hint="eastAsia" w:ascii="宋体" w:hAnsi="宋体"/>
                <w:iCs/>
                <w:color w:val="auto"/>
                <w:sz w:val="24"/>
                <w:lang w:eastAsia="zh-CN"/>
              </w:rPr>
            </w:pPr>
            <w:r>
              <w:rPr>
                <w:rFonts w:hint="eastAsia" w:ascii="宋体" w:hAnsi="宋体"/>
                <w:iCs/>
                <w:color w:val="auto"/>
                <w:sz w:val="24"/>
                <w:lang w:eastAsia="zh-CN"/>
              </w:rPr>
              <w:t>为规范部门整体支出，贯彻厉行节约反对浪费条例，完善内部财务管理，提高资金使用效率，建立节约型机关，我局在强化业务管理、财务管理、内部控制和厉行节约等方面开展了大量工作，预算管理水平提高显著。我局制定并完善了预算资金管理办法、内部财务管理制度以及会计核算制度等，对项目绩效目标完成支出进行了专账核算，202</w:t>
            </w:r>
            <w:r>
              <w:rPr>
                <w:rFonts w:hint="eastAsia" w:ascii="宋体" w:hAnsi="宋体"/>
                <w:iCs/>
                <w:color w:val="auto"/>
                <w:sz w:val="24"/>
                <w:lang w:val="en-US" w:eastAsia="zh-CN"/>
              </w:rPr>
              <w:t>1</w:t>
            </w:r>
            <w:r>
              <w:rPr>
                <w:rFonts w:hint="eastAsia" w:ascii="宋体" w:hAnsi="宋体"/>
                <w:iCs/>
                <w:color w:val="auto"/>
                <w:sz w:val="24"/>
                <w:lang w:eastAsia="zh-CN"/>
              </w:rPr>
              <w:t>年部门预算已按照政府信息公开的要求在门户网站上进行统一公开，部门决算等县财政局进行决算核查后再按要求公开。严格按照政府采购法的要求进行了政府采购。</w:t>
            </w:r>
          </w:p>
          <w:p>
            <w:pPr>
              <w:numPr>
                <w:ilvl w:val="0"/>
                <w:numId w:val="0"/>
              </w:numPr>
              <w:snapToGrid w:val="0"/>
              <w:spacing w:line="520" w:lineRule="exact"/>
              <w:rPr>
                <w:color w:val="auto"/>
              </w:rPr>
            </w:pPr>
            <w:r>
              <w:rPr>
                <w:rFonts w:hint="eastAsia" w:ascii="宋体" w:hAnsi="宋体" w:cs="宋体"/>
                <w:color w:val="auto"/>
                <w:sz w:val="24"/>
                <w:szCs w:val="24"/>
                <w:lang w:eastAsia="zh-CN"/>
              </w:rPr>
              <w:t>（六）</w:t>
            </w:r>
            <w:r>
              <w:rPr>
                <w:rFonts w:ascii="宋体" w:hAnsi="宋体" w:eastAsia="宋体" w:cs="宋体"/>
                <w:color w:val="auto"/>
                <w:sz w:val="24"/>
                <w:szCs w:val="24"/>
              </w:rPr>
              <w:t>资产管理</w:t>
            </w:r>
          </w:p>
          <w:p>
            <w:pPr>
              <w:snapToGrid w:val="0"/>
              <w:spacing w:line="520" w:lineRule="exact"/>
              <w:ind w:firstLine="480" w:firstLineChars="200"/>
              <w:rPr>
                <w:rFonts w:ascii="宋体" w:hAnsi="宋体"/>
                <w:iCs/>
                <w:sz w:val="24"/>
              </w:rPr>
            </w:pPr>
            <w:r>
              <w:rPr>
                <w:rFonts w:hint="eastAsia" w:ascii="宋体" w:hAnsi="宋体"/>
                <w:iCs/>
                <w:color w:val="auto"/>
                <w:sz w:val="24"/>
                <w:lang w:eastAsia="zh-CN"/>
              </w:rPr>
              <w:t>我单位严格遵守现行国有资产管理法律法规及政策规定，按照行政事业单位内控制度建设相关要求，安排专人开展国有资产工作。完善了资产管理流程同时，每月做好资产月报及资产折旧工作，及时将固定资产变动情况纳入资产管理信息系统，实现固定资产动态管理。提升资产管理信息化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napToGrid w:val="0"/>
              <w:spacing w:line="520" w:lineRule="exact"/>
              <w:ind w:firstLine="480" w:firstLineChars="200"/>
              <w:rPr>
                <w:rFonts w:hint="eastAsia" w:ascii="宋体" w:hAnsi="宋体" w:cs="Times New Roman"/>
                <w:iCs/>
                <w:sz w:val="24"/>
              </w:rPr>
            </w:pPr>
            <w:r>
              <w:rPr>
                <w:rFonts w:hint="eastAsia" w:ascii="宋体" w:hAnsi="宋体" w:cs="Times New Roman"/>
                <w:iCs/>
                <w:sz w:val="24"/>
                <w:lang w:val="en-US" w:eastAsia="zh-CN"/>
              </w:rPr>
              <w:t>2021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pPr>
              <w:snapToGrid w:val="0"/>
              <w:spacing w:line="520" w:lineRule="exact"/>
              <w:rPr>
                <w:rFonts w:ascii="宋体" w:hAnsi="宋体" w:eastAsia="宋体" w:cs="宋体"/>
                <w:sz w:val="24"/>
                <w:szCs w:val="24"/>
              </w:rPr>
            </w:pPr>
            <w:r>
              <w:rPr>
                <w:rFonts w:hint="eastAsia" w:ascii="宋体" w:hAnsi="宋体" w:cs="宋体"/>
                <w:sz w:val="24"/>
                <w:szCs w:val="24"/>
                <w:lang w:val="en-US" w:eastAsia="zh-CN"/>
              </w:rPr>
              <w:t>(1)</w:t>
            </w:r>
            <w:r>
              <w:rPr>
                <w:rFonts w:ascii="宋体" w:hAnsi="宋体" w:eastAsia="宋体" w:cs="宋体"/>
                <w:sz w:val="24"/>
                <w:szCs w:val="24"/>
              </w:rPr>
              <w:t>“智慧矫正”建设方面：2021年今年以来，全县共接收社区矫正对象362人，解除社区矫正对象307人，终止社区矫正对象9人（撤销缓刑3人、因暂予监外执行情形消失收监执行2人），在册社区矫正对象311人，其中缓刑296人，假释5人，暂予监外执行9人，管制1人（系未成年社区矫正对象），手机APP定位290人、移动指纹考勤定位6人，定位率99.66%；警告9人次、训诫14人次、记表扬1人次、治安拘留1人；变更居住地19例；跨市县活动审批120例；接受决定机关委托，共对214例拟适用社区矫正对象进行社会调查评估。</w:t>
            </w:r>
          </w:p>
          <w:p>
            <w:pPr>
              <w:snapToGrid w:val="0"/>
              <w:spacing w:line="520" w:lineRule="exact"/>
              <w:rPr>
                <w:rFonts w:hint="eastAsia" w:ascii="宋体" w:hAnsi="宋体" w:eastAsia="宋体" w:cs="宋体"/>
                <w:sz w:val="24"/>
                <w:szCs w:val="24"/>
                <w:lang w:val="en-US" w:eastAsia="zh-CN"/>
              </w:rPr>
            </w:pPr>
            <w:r>
              <w:rPr>
                <w:rFonts w:hint="eastAsia" w:cs="仿宋_GB2312" w:asciiTheme="minorEastAsia" w:hAnsiTheme="minorEastAsia" w:eastAsiaTheme="minorEastAsia"/>
                <w:sz w:val="28"/>
                <w:szCs w:val="28"/>
                <w:lang w:val="en-US" w:eastAsia="zh-CN"/>
              </w:rPr>
              <w:t>(</w:t>
            </w:r>
            <w:r>
              <w:rPr>
                <w:rFonts w:hint="eastAsia" w:ascii="宋体" w:hAnsi="宋体" w:eastAsia="宋体" w:cs="宋体"/>
                <w:sz w:val="24"/>
                <w:szCs w:val="24"/>
                <w:lang w:val="en-US" w:eastAsia="zh-CN"/>
              </w:rPr>
              <w:t>2)</w:t>
            </w:r>
            <w:r>
              <w:rPr>
                <w:rFonts w:ascii="宋体" w:hAnsi="宋体" w:eastAsia="宋体" w:cs="宋体"/>
                <w:sz w:val="24"/>
                <w:szCs w:val="24"/>
              </w:rPr>
              <w:t>安置帮教工作方面：全县 2460名安置帮教对象无一人重新犯罪，回执率、衔接率、接送率、帮教率均达到100%，为“平安湘潭县”的建设作出了积极贡献</w:t>
            </w:r>
            <w:r>
              <w:rPr>
                <w:rFonts w:hint="eastAsia" w:ascii="宋体" w:hAnsi="宋体" w:eastAsia="宋体" w:cs="宋体"/>
                <w:sz w:val="24"/>
                <w:szCs w:val="24"/>
                <w:lang w:val="en-US" w:eastAsia="zh-CN"/>
              </w:rPr>
              <w:t>.</w:t>
            </w:r>
          </w:p>
          <w:p>
            <w:pPr>
              <w:snapToGrid w:val="0"/>
              <w:spacing w:line="520" w:lineRule="exact"/>
              <w:rPr>
                <w:rFonts w:ascii="宋体" w:hAnsi="宋体" w:eastAsia="宋体" w:cs="宋体"/>
                <w:sz w:val="24"/>
                <w:szCs w:val="24"/>
              </w:rPr>
            </w:pPr>
            <w:r>
              <w:rPr>
                <w:rFonts w:hint="eastAsia" w:ascii="宋体" w:hAnsi="宋体" w:eastAsia="宋体" w:cs="宋体"/>
                <w:sz w:val="24"/>
                <w:szCs w:val="24"/>
                <w:lang w:val="en-US" w:eastAsia="zh-CN"/>
              </w:rPr>
              <w:t>(3)</w:t>
            </w:r>
            <w:r>
              <w:rPr>
                <w:rFonts w:ascii="宋体" w:hAnsi="宋体" w:eastAsia="宋体" w:cs="宋体"/>
                <w:sz w:val="24"/>
                <w:szCs w:val="24"/>
              </w:rPr>
              <w:t>公共法律服务工作方面：扎实推进村级法律顾问工作,制定并下发了《湘潭县2021年度“一村一法律顾问”工作方案》，全县351个村（社区）与3家律师事务所22名律师完成了签约仪式，签订了法律顾问合同，并建立了微信服务群。全年，全县共建立村级顾问微信群351个，完成率100%；为村解答法律咨询516件；推送微信普法信息3116条，进行现场走访449次，参与矛盾纠纷调解25件，举行现场法治宣传18场次，开展现场法治讲座46场次。扎实推进公共法律服务平台建设，进一步完善了全县17个乡镇公共法律服务工作站、351个村级公共法律服务工作点和3550个公共法律服务志愿点的建设工作。县中心2021年接待群众余2000人次，受理法律援助案件482件，引入律师482件、办理公证644件；在如法网平台共录入网络咨询229条，登录法律援助案件482件。</w:t>
            </w:r>
          </w:p>
          <w:p>
            <w:pPr>
              <w:snapToGrid w:val="0"/>
              <w:spacing w:line="520" w:lineRule="exact"/>
              <w:rPr>
                <w:rFonts w:ascii="宋体" w:hAnsi="宋体" w:eastAsia="宋体" w:cs="宋体"/>
                <w:sz w:val="24"/>
                <w:szCs w:val="24"/>
              </w:rPr>
            </w:pPr>
            <w:r>
              <w:rPr>
                <w:rFonts w:hint="eastAsia" w:ascii="宋体" w:hAnsi="宋体" w:eastAsia="宋体" w:cs="宋体"/>
                <w:sz w:val="24"/>
                <w:szCs w:val="24"/>
                <w:lang w:val="en-US" w:eastAsia="zh-CN"/>
              </w:rPr>
              <w:t>(4)</w:t>
            </w:r>
            <w:r>
              <w:rPr>
                <w:rFonts w:ascii="宋体" w:hAnsi="宋体" w:eastAsia="宋体" w:cs="宋体"/>
                <w:sz w:val="24"/>
                <w:szCs w:val="24"/>
              </w:rPr>
              <w:t>法律援助工作方面：</w:t>
            </w:r>
            <w:r>
              <w:rPr>
                <w:rFonts w:hint="eastAsia" w:ascii="宋体" w:hAnsi="宋体" w:eastAsia="宋体" w:cs="宋体"/>
                <w:sz w:val="24"/>
                <w:szCs w:val="24"/>
              </w:rPr>
              <w:t>2021年1月1日至2021年12月31日，法援中心共受理法援案件503件，其中民事319件，刑事111件，行政1件，认罪认罚72件，涉及受援人503人次；值班律师提供法律帮助300余人次，为受援人挽回经济损失5000余万元，免去法律服务费用150多万元。县中心今年被</w:t>
            </w:r>
            <w:r>
              <w:rPr>
                <w:rFonts w:hint="eastAsia" w:ascii="宋体" w:hAnsi="宋体" w:cs="宋体"/>
                <w:sz w:val="24"/>
                <w:szCs w:val="24"/>
                <w:lang w:eastAsia="zh-CN"/>
              </w:rPr>
              <w:t>县委、县政府</w:t>
            </w:r>
            <w:r>
              <w:rPr>
                <w:rFonts w:hint="eastAsia" w:ascii="宋体" w:hAnsi="宋体" w:eastAsia="宋体" w:cs="宋体"/>
                <w:sz w:val="24"/>
                <w:szCs w:val="24"/>
              </w:rPr>
              <w:t xml:space="preserve">评为“十佳基层政法单位”。 </w:t>
            </w:r>
            <w:r>
              <w:rPr>
                <w:rFonts w:ascii="宋体" w:hAnsi="宋体" w:eastAsia="宋体" w:cs="宋体"/>
                <w:sz w:val="24"/>
                <w:szCs w:val="24"/>
              </w:rPr>
              <w:t>加大法律援助工作宣传力度</w:t>
            </w:r>
            <w:r>
              <w:rPr>
                <w:rFonts w:hint="eastAsia" w:ascii="宋体" w:hAnsi="宋体" w:eastAsia="宋体" w:cs="宋体"/>
                <w:sz w:val="24"/>
                <w:szCs w:val="24"/>
              </w:rPr>
              <w:t>，发放宣传资料1万余份，解答法律咨询500余人次。邀请湘潭县电视台记者进行《中华人民共和国法律援助法》专题宣传活动、典型案例等进行宣传报道。中心副主任方琳玲和黄敏律师（承办人）共同撰写的《“债务加入”在欠薪案件中的适用》典型案例，在湖南省律师协会组织的</w:t>
            </w:r>
            <w:r>
              <w:rPr>
                <w:rFonts w:hint="eastAsia" w:ascii="宋体" w:hAnsi="宋体" w:cs="宋体"/>
                <w:sz w:val="24"/>
                <w:szCs w:val="24"/>
                <w:lang w:eastAsia="zh-CN"/>
              </w:rPr>
              <w:t>《中华人民共和国民法典》</w:t>
            </w:r>
            <w:r>
              <w:rPr>
                <w:rFonts w:hint="eastAsia" w:ascii="宋体" w:hAnsi="宋体" w:eastAsia="宋体" w:cs="宋体"/>
                <w:sz w:val="24"/>
                <w:szCs w:val="24"/>
              </w:rPr>
              <w:t>理论与实务征文比赛中获得三等奖。以上系列措施取得了良好的社会反响。</w:t>
            </w:r>
          </w:p>
          <w:p>
            <w:pPr>
              <w:snapToGrid w:val="0"/>
              <w:spacing w:line="520" w:lineRule="exact"/>
              <w:rPr>
                <w:rFonts w:ascii="宋体" w:hAnsi="宋体" w:eastAsia="宋体" w:cs="宋体"/>
                <w:sz w:val="24"/>
                <w:szCs w:val="24"/>
              </w:rPr>
            </w:pPr>
            <w:r>
              <w:rPr>
                <w:rFonts w:hint="eastAsia" w:ascii="宋体" w:hAnsi="宋体" w:eastAsia="宋体" w:cs="宋体"/>
                <w:sz w:val="24"/>
                <w:szCs w:val="24"/>
                <w:lang w:val="en-US" w:eastAsia="zh-CN"/>
              </w:rPr>
              <w:t>(5)</w:t>
            </w:r>
            <w:r>
              <w:rPr>
                <w:rFonts w:ascii="宋体" w:hAnsi="宋体" w:eastAsia="宋体" w:cs="宋体"/>
                <w:sz w:val="24"/>
                <w:szCs w:val="24"/>
              </w:rPr>
              <w:t>人民调解工作方面：2021年，全县共调处各类矛盾纠纷5142起，调解成功5040起，调解成功率98.4%，避免了纠纷激化升级，有力地保障了我县的社会稳定。2021年度的“以奖代补”案件中，全部是通过省基层平台进行录入、审核，平台截止到今年12月31日审核完成的案件有3737件，提高了基层调处矛盾纠纷的主动性、积极性、参与性。全力提升司法所规范化建设,本着确保安全第一、质量第一的原则，对茶恩寺、射埠、谭家山3个司法所的基础设施进行了维修，同时还对云湖桥司法所业务用房墙壁渗水、木窗老化等进行预算，已通过党组会议同意年后即开工建设。</w:t>
            </w:r>
          </w:p>
          <w:p>
            <w:pPr>
              <w:snapToGrid w:val="0"/>
              <w:spacing w:line="520" w:lineRule="exac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全面依法治县统筹推进。一是充分发挥县委全面依法治县委员会办公室职能作用，筹备召开全面依法治县委员会第三次会议，制定了《全面依法治县2021年工作要点》。组织开展全面依法治县工作年度督查，推动我县全面依法治县工作均衡有序推进。二是启动“八五”普法规划筹备工作，集思广益起草好我县“八五”普法规划（草案），全面谋划未来五年湘潭县的法治建设工作蓝图，满足新形势下经济社会发展对普法依法治理工作的新要求。三是深入开展“民主法治示范村(社区)”创建活动。年内，对易俗河镇花果山社区、杨嘉桥镇新桥村等7个村（社区）硬件和软件设施进行统一规范，并分别申报了省级、和市级民主法治示范村（社区），目前在复查评审中。</w:t>
            </w:r>
          </w:p>
          <w:p>
            <w:pPr>
              <w:snapToGrid w:val="0"/>
              <w:spacing w:line="520" w:lineRule="exac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法治政府建设成果显著。一是严格执行规范性文件管理制度，推进重大行政决策规范化。2021年，县司法局共审查各部门起草的政府（政府办）规范性文件15件，实行“三统一”文件14件；审核重大行政决策事项14次，县政府合同29件，县人民政府会议纪要等重要文件121件。二是积极推进行政复议体制改革，5月份，湘潭县人民政府行政复议办公室正式挂牌，设在县司法局。2021年度我们共依法办理行政复议申请42件，县政府被诉行政案件45件。三是</w:t>
            </w:r>
            <w:r>
              <w:rPr>
                <w:rFonts w:hint="eastAsia" w:ascii="宋体" w:hAnsi="宋体" w:eastAsia="宋体" w:cs="宋体"/>
                <w:sz w:val="24"/>
                <w:szCs w:val="24"/>
              </w:rPr>
              <w:t>继续开展行政执法竞赛活动</w:t>
            </w:r>
            <w:r>
              <w:rPr>
                <w:rFonts w:hint="eastAsia" w:ascii="宋体" w:hAnsi="宋体" w:eastAsia="宋体" w:cs="宋体"/>
                <w:sz w:val="24"/>
                <w:szCs w:val="24"/>
                <w:lang w:eastAsia="zh-CN"/>
              </w:rPr>
              <w:t>，指导全县各执法单位规范执法行为，确保严格文明公正执法</w:t>
            </w:r>
            <w:r>
              <w:rPr>
                <w:rFonts w:hint="eastAsia" w:ascii="宋体" w:hAnsi="宋体" w:eastAsia="宋体" w:cs="宋体"/>
                <w:sz w:val="24"/>
                <w:szCs w:val="24"/>
              </w:rPr>
              <w:t>。</w:t>
            </w:r>
            <w:r>
              <w:rPr>
                <w:rFonts w:hint="eastAsia" w:ascii="宋体" w:hAnsi="宋体" w:eastAsia="宋体" w:cs="宋体"/>
                <w:sz w:val="24"/>
                <w:szCs w:val="24"/>
                <w:lang w:val="en-US" w:eastAsia="zh-CN"/>
              </w:rPr>
              <w:t>2021</w:t>
            </w:r>
            <w:r>
              <w:rPr>
                <w:rFonts w:hint="eastAsia" w:ascii="宋体" w:hAnsi="宋体" w:eastAsia="宋体" w:cs="宋体"/>
                <w:sz w:val="24"/>
                <w:szCs w:val="24"/>
              </w:rPr>
              <w:t>年</w:t>
            </w:r>
            <w:r>
              <w:rPr>
                <w:rFonts w:hint="eastAsia" w:ascii="宋体" w:hAnsi="宋体" w:eastAsia="宋体" w:cs="宋体"/>
                <w:sz w:val="24"/>
                <w:szCs w:val="24"/>
                <w:lang w:eastAsia="zh-CN"/>
              </w:rPr>
              <w:t>全县</w:t>
            </w:r>
            <w:r>
              <w:rPr>
                <w:rFonts w:hint="eastAsia" w:ascii="宋体" w:hAnsi="宋体" w:eastAsia="宋体" w:cs="宋体"/>
                <w:sz w:val="24"/>
                <w:szCs w:val="24"/>
              </w:rPr>
              <w:t>行政执法立案88331起，到位罚没款2709万元，拆除违建面积8820.2平方米。</w:t>
            </w:r>
          </w:p>
          <w:p>
            <w:pPr>
              <w:snapToGrid w:val="0"/>
              <w:spacing w:line="520" w:lineRule="exac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3"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1．项目档案管理需进一步规范。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项目单位对项目管理的重视程度有待进一步提高，少数部门和单位对绩效评价工作的认识不足，重视不够，项目档案没有按要求及时进行归集整理，存在未保存相关部门的审批文件、文件日期标注不明、无工程项目施工过程记录照片的情况，没有进行专门的项目管理。</w:t>
            </w:r>
          </w:p>
          <w:p>
            <w:pPr>
              <w:snapToGrid w:val="0"/>
              <w:spacing w:line="520" w:lineRule="exact"/>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2.年末存量资金大，预算完成率低，项目资金未能按预算及时使用，项目推进力度有待进一步加强。</w:t>
            </w:r>
          </w:p>
          <w:p>
            <w:pPr>
              <w:snapToGrid w:val="0"/>
              <w:spacing w:line="520" w:lineRule="exact"/>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3.政府采购年初预算与实际执行偏差大，政府采购预算编制准确性有待提高。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napToGrid w:val="0"/>
              <w:spacing w:line="520" w:lineRule="exac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加强预算绩效管理。进一步加强各单位的预算资金管理，减少预算资金使用的随意性，对预算的事前、事中、事后进行全过程控制，加大对预算编制与执行的监督管理力度，提高预算资金使用效率。同时，提高各单位人员对预算资金使用效益的认识，把预算资金是否发挥使用效益与各岗位是否履职尽责相结合，将预算资金使用的效率和效益作为对各岗位人员工作考核评价的重要内容之一。对预算外经费严格落实“收支两条线”要求，精细测算支出额度，把需求核准核实，充分发挥财政资金的效益。</w:t>
            </w:r>
          </w:p>
          <w:p>
            <w:pPr>
              <w:snapToGrid w:val="0"/>
              <w:spacing w:line="520" w:lineRule="exac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default" w:ascii="宋体" w:hAnsi="宋体" w:eastAsia="宋体" w:cs="宋体"/>
                <w:kern w:val="2"/>
                <w:sz w:val="24"/>
                <w:szCs w:val="24"/>
                <w:lang w:val="en-US" w:eastAsia="zh-CN" w:bidi="ar-SA"/>
              </w:rPr>
              <w:t>强化预算执行，提高预算完成率。严格按项目和进度执行预算，合理安排资金支出，增强预算执行的规范性和</w:t>
            </w:r>
            <w:r>
              <w:rPr>
                <w:rFonts w:hint="eastAsia" w:ascii="宋体" w:hAnsi="宋体" w:cs="宋体"/>
                <w:kern w:val="2"/>
                <w:sz w:val="24"/>
                <w:szCs w:val="24"/>
                <w:lang w:val="en-US" w:eastAsia="zh-CN" w:bidi="ar-SA"/>
              </w:rPr>
              <w:t>严肃</w:t>
            </w:r>
            <w:r>
              <w:rPr>
                <w:rFonts w:hint="eastAsia" w:ascii="宋体" w:hAnsi="宋体" w:eastAsia="宋体" w:cs="宋体"/>
                <w:kern w:val="2"/>
                <w:sz w:val="24"/>
                <w:szCs w:val="24"/>
                <w:lang w:val="en-US" w:eastAsia="zh-CN" w:bidi="ar-SA"/>
              </w:rPr>
              <w:t>性，股</w:t>
            </w:r>
            <w:r>
              <w:rPr>
                <w:rFonts w:hint="default" w:ascii="宋体" w:hAnsi="宋体" w:eastAsia="宋体" w:cs="宋体"/>
                <w:kern w:val="2"/>
                <w:sz w:val="24"/>
                <w:szCs w:val="24"/>
                <w:lang w:val="en-US" w:eastAsia="zh-CN" w:bidi="ar-SA"/>
              </w:rPr>
              <w:t>室为项目实施责任单位，应加强与财务部门的沟通协调和项目实施，定期做好预算执行分析，及时了解预算执行差异，合理</w:t>
            </w:r>
            <w:r>
              <w:rPr>
                <w:rFonts w:hint="eastAsia" w:ascii="宋体" w:hAnsi="宋体" w:eastAsia="宋体" w:cs="宋体"/>
                <w:kern w:val="2"/>
                <w:sz w:val="24"/>
                <w:szCs w:val="24"/>
                <w:lang w:val="en-US" w:eastAsia="zh-CN" w:bidi="ar-SA"/>
              </w:rPr>
              <w:t>编制预算，</w:t>
            </w:r>
            <w:r>
              <w:rPr>
                <w:rFonts w:hint="default" w:ascii="宋体" w:hAnsi="宋体" w:eastAsia="宋体" w:cs="宋体"/>
                <w:kern w:val="2"/>
                <w:sz w:val="24"/>
                <w:szCs w:val="24"/>
                <w:lang w:val="en-US" w:eastAsia="zh-CN" w:bidi="ar-SA"/>
              </w:rPr>
              <w:t>加快预算的执行进度，减少存量资金，切实提高预算完成率及资金使用效益，</w:t>
            </w:r>
            <w:r>
              <w:rPr>
                <w:rFonts w:hint="eastAsia" w:ascii="宋体" w:hAnsi="宋体" w:eastAsia="宋体" w:cs="宋体"/>
                <w:kern w:val="2"/>
                <w:sz w:val="24"/>
                <w:szCs w:val="24"/>
                <w:lang w:val="en-US" w:eastAsia="zh-CN" w:bidi="ar-SA"/>
              </w:rPr>
              <w:t>纠正预算执行偏差。</w:t>
            </w:r>
          </w:p>
          <w:p>
            <w:pPr>
              <w:snapToGrid w:val="0"/>
              <w:spacing w:line="520" w:lineRule="exac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r>
              <w:rPr>
                <w:rFonts w:hint="default" w:ascii="宋体" w:hAnsi="宋体" w:eastAsia="宋体" w:cs="宋体"/>
                <w:kern w:val="2"/>
                <w:sz w:val="24"/>
                <w:szCs w:val="24"/>
                <w:lang w:val="en-US" w:eastAsia="zh-CN" w:bidi="ar-SA"/>
              </w:rPr>
              <w:t>科学合理编制政府采购预算，强化政府采购预算执行，确保政府采购预算切合单位实际。</w:t>
            </w:r>
          </w:p>
          <w:p>
            <w:pPr>
              <w:snapToGrid w:val="0"/>
              <w:spacing w:line="520" w:lineRule="exact"/>
              <w:rPr>
                <w:rFonts w:hint="default"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宋体" w:hAnsi="宋体" w:cs="宋体"/>
                <w:sz w:val="24"/>
                <w:szCs w:val="24"/>
                <w:lang w:eastAsia="zh-CN"/>
              </w:rPr>
              <w:t>无</w:t>
            </w:r>
          </w:p>
        </w:tc>
      </w:tr>
    </w:tbl>
    <w:p>
      <w:pPr>
        <w:widowControl/>
        <w:jc w:val="left"/>
        <w:rPr>
          <w:rFonts w:ascii="仿宋_GB2312" w:hAnsi="黑体" w:eastAsia="仿宋_GB2312" w:cs="黑体"/>
          <w:color w:val="000000"/>
          <w:sz w:val="32"/>
          <w:szCs w:val="32"/>
        </w:rPr>
      </w:pPr>
    </w:p>
    <w:p>
      <w:pPr>
        <w:widowControl/>
        <w:jc w:val="left"/>
        <w:rPr>
          <w:rFonts w:ascii="黑体" w:hAnsi="黑体" w:eastAsia="黑体" w:cs="黑体"/>
          <w:color w:val="000000"/>
          <w:sz w:val="32"/>
          <w:szCs w:val="32"/>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202</w:t>
      </w:r>
      <w:r>
        <w:rPr>
          <w:rFonts w:hint="eastAsia" w:ascii="方正小标宋简体" w:eastAsia="方正小标宋简体" w:cs="方正小标宋_GBK"/>
          <w:sz w:val="36"/>
          <w:szCs w:val="36"/>
          <w:lang w:val="en-US" w:eastAsia="zh-CN"/>
        </w:rPr>
        <w:t>1</w:t>
      </w:r>
      <w:r>
        <w:rPr>
          <w:rFonts w:hint="eastAsia" w:ascii="方正小标宋简体" w:eastAsia="方正小标宋简体" w:cs="方正小标宋_GBK"/>
          <w:sz w:val="36"/>
          <w:szCs w:val="36"/>
        </w:rPr>
        <w:t>年度</w:t>
      </w:r>
      <w:r>
        <w:rPr>
          <w:rFonts w:hint="eastAsia" w:ascii="方正小标宋简体" w:eastAsia="方正小标宋简体" w:cs="方正小标宋_GBK"/>
          <w:sz w:val="36"/>
          <w:szCs w:val="36"/>
          <w:lang w:eastAsia="zh-CN"/>
        </w:rPr>
        <w:t>湘潭县司法局</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部门整体支出绩效</w:t>
      </w:r>
      <w:r>
        <w:rPr>
          <w:rFonts w:hint="eastAsia" w:ascii="方正小标宋简体" w:eastAsia="方正小标宋简体" w:cs="方正小标宋_GBK"/>
          <w:sz w:val="36"/>
          <w:szCs w:val="36"/>
          <w:lang w:eastAsia="zh-CN"/>
        </w:rPr>
        <w:t>评价指标完成情况表</w:t>
      </w:r>
    </w:p>
    <w:tbl>
      <w:tblPr>
        <w:tblStyle w:val="10"/>
        <w:tblW w:w="53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4"/>
        <w:gridCol w:w="668"/>
        <w:gridCol w:w="890"/>
        <w:gridCol w:w="668"/>
        <w:gridCol w:w="2805"/>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blHeader/>
          <w:jc w:val="center"/>
        </w:trPr>
        <w:tc>
          <w:tcPr>
            <w:tcW w:w="306" w:type="pct"/>
            <w:tcMar>
              <w:top w:w="10" w:type="dxa"/>
              <w:left w:w="10" w:type="dxa"/>
              <w:bottom w:w="0" w:type="dxa"/>
              <w:right w:w="10" w:type="dxa"/>
            </w:tcMar>
            <w:vAlign w:val="center"/>
          </w:tcPr>
          <w:p>
            <w:pPr>
              <w:spacing w:line="240" w:lineRule="exact"/>
              <w:jc w:val="center"/>
              <w:rPr>
                <w:rFonts w:hint="eastAsia" w:ascii="宋体" w:hAnsi="宋体" w:eastAsia="宋体" w:cs="宋体"/>
                <w:b/>
                <w:bCs/>
                <w:lang w:eastAsia="zh-CN"/>
              </w:rPr>
            </w:pPr>
            <w:r>
              <w:rPr>
                <w:rFonts w:hint="eastAsia" w:ascii="宋体" w:hAnsi="宋体" w:cs="宋体"/>
                <w:b/>
                <w:bCs/>
              </w:rPr>
              <w:t>一级</w:t>
            </w:r>
          </w:p>
          <w:p>
            <w:pPr>
              <w:spacing w:line="240" w:lineRule="exact"/>
              <w:jc w:val="center"/>
              <w:rPr>
                <w:rFonts w:ascii="宋体" w:cs="宋体"/>
                <w:b/>
                <w:bCs/>
              </w:rPr>
            </w:pPr>
            <w:r>
              <w:rPr>
                <w:rFonts w:hint="eastAsia" w:ascii="宋体" w:hAnsi="宋体" w:cs="宋体"/>
                <w:b/>
                <w:bCs/>
              </w:rPr>
              <w:t>指标</w:t>
            </w:r>
          </w:p>
        </w:tc>
        <w:tc>
          <w:tcPr>
            <w:tcW w:w="375" w:type="pct"/>
            <w:tcMar>
              <w:top w:w="10" w:type="dxa"/>
              <w:left w:w="10" w:type="dxa"/>
              <w:bottom w:w="0" w:type="dxa"/>
              <w:right w:w="10" w:type="dxa"/>
            </w:tcMar>
            <w:vAlign w:val="center"/>
          </w:tcPr>
          <w:p>
            <w:pPr>
              <w:spacing w:line="240" w:lineRule="exact"/>
              <w:ind w:right="-174" w:rightChars="-83"/>
              <w:jc w:val="center"/>
              <w:rPr>
                <w:rFonts w:ascii="宋体" w:cs="宋体"/>
                <w:b/>
                <w:bCs/>
              </w:rPr>
            </w:pPr>
            <w:r>
              <w:rPr>
                <w:rFonts w:hint="eastAsia" w:ascii="宋体" w:hAnsi="宋体" w:cs="宋体"/>
                <w:b/>
                <w:bCs/>
              </w:rPr>
              <w:t>二级</w:t>
            </w:r>
          </w:p>
          <w:p>
            <w:pPr>
              <w:spacing w:line="240" w:lineRule="exact"/>
              <w:ind w:right="-174" w:rightChars="-83"/>
              <w:jc w:val="center"/>
              <w:rPr>
                <w:rFonts w:ascii="宋体" w:cs="宋体"/>
                <w:b/>
                <w:bCs/>
              </w:rPr>
            </w:pPr>
            <w:r>
              <w:rPr>
                <w:rFonts w:hint="eastAsia" w:ascii="宋体" w:hAnsi="宋体" w:cs="宋体"/>
                <w:b/>
                <w:bCs/>
              </w:rPr>
              <w:t>指标</w:t>
            </w:r>
          </w:p>
        </w:tc>
        <w:tc>
          <w:tcPr>
            <w:tcW w:w="500" w:type="pct"/>
            <w:tcMar>
              <w:top w:w="10" w:type="dxa"/>
              <w:left w:w="10" w:type="dxa"/>
              <w:bottom w:w="0" w:type="dxa"/>
              <w:right w:w="10" w:type="dxa"/>
            </w:tcMar>
            <w:vAlign w:val="center"/>
          </w:tcPr>
          <w:p>
            <w:pPr>
              <w:spacing w:line="240" w:lineRule="exact"/>
              <w:jc w:val="center"/>
              <w:rPr>
                <w:rFonts w:ascii="宋体" w:cs="宋体"/>
                <w:b/>
                <w:bCs/>
              </w:rPr>
            </w:pPr>
            <w:r>
              <w:rPr>
                <w:rFonts w:hint="eastAsia" w:ascii="宋体" w:hAnsi="宋体" w:cs="宋体"/>
                <w:b/>
                <w:bCs/>
              </w:rPr>
              <w:t>三级</w:t>
            </w:r>
          </w:p>
          <w:p>
            <w:pPr>
              <w:spacing w:line="240" w:lineRule="exact"/>
              <w:jc w:val="center"/>
              <w:rPr>
                <w:rFonts w:ascii="宋体" w:cs="宋体"/>
                <w:b/>
                <w:bCs/>
              </w:rPr>
            </w:pPr>
            <w:r>
              <w:rPr>
                <w:rFonts w:hint="eastAsia" w:ascii="宋体" w:hAnsi="宋体" w:cs="宋体"/>
                <w:b/>
                <w:bCs/>
              </w:rPr>
              <w:t>指标</w:t>
            </w:r>
          </w:p>
        </w:tc>
        <w:tc>
          <w:tcPr>
            <w:tcW w:w="375" w:type="pct"/>
            <w:vAlign w:val="center"/>
          </w:tcPr>
          <w:p>
            <w:pPr>
              <w:spacing w:line="240" w:lineRule="exact"/>
              <w:ind w:left="105" w:leftChars="50" w:right="105" w:rightChars="50"/>
              <w:jc w:val="center"/>
              <w:rPr>
                <w:rFonts w:ascii="宋体" w:cs="宋体"/>
                <w:b/>
                <w:bCs/>
              </w:rPr>
            </w:pPr>
            <w:r>
              <w:rPr>
                <w:rFonts w:hint="eastAsia" w:ascii="宋体" w:hAnsi="宋体" w:cs="宋体"/>
                <w:b/>
                <w:bCs/>
              </w:rPr>
              <w:t>自评分</w:t>
            </w:r>
          </w:p>
        </w:tc>
        <w:tc>
          <w:tcPr>
            <w:tcW w:w="157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指标解释</w:t>
            </w:r>
          </w:p>
        </w:tc>
        <w:tc>
          <w:tcPr>
            <w:tcW w:w="186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投</w:t>
            </w:r>
            <w:r>
              <w:rPr>
                <w:rFonts w:ascii="宋体" w:hAnsi="宋体" w:cs="宋体"/>
              </w:rPr>
              <w:t xml:space="preserve">   </w:t>
            </w:r>
            <w:r>
              <w:rPr>
                <w:rFonts w:hint="eastAsia" w:ascii="宋体" w:hAnsi="宋体" w:cs="宋体"/>
              </w:rPr>
              <w:t>入（</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目标</w:t>
            </w:r>
          </w:p>
          <w:p>
            <w:pPr>
              <w:spacing w:line="240" w:lineRule="exact"/>
              <w:jc w:val="center"/>
              <w:rPr>
                <w:rFonts w:ascii="宋体" w:cs="宋体"/>
              </w:rPr>
            </w:pPr>
            <w:r>
              <w:rPr>
                <w:rFonts w:hint="eastAsia" w:ascii="宋体" w:hAnsi="宋体" w:cs="宋体"/>
              </w:rPr>
              <w:t>设定（</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绩效目标</w:t>
            </w:r>
          </w:p>
          <w:p>
            <w:pPr>
              <w:spacing w:line="240" w:lineRule="exact"/>
              <w:jc w:val="center"/>
              <w:rPr>
                <w:rFonts w:ascii="宋体" w:cs="宋体"/>
              </w:rPr>
            </w:pPr>
            <w:r>
              <w:rPr>
                <w:rFonts w:hint="eastAsia" w:ascii="宋体" w:hAnsi="宋体" w:cs="宋体"/>
              </w:rPr>
              <w:t>合理性（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部门所设立的整体绩效目标依据是否充分，是否符合客观实际，用以反映和考核部门整体绩效目标与部门履职、年度工作任务的相符性情况。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①是否符合国家法律法规、国民经济和社会发展总体规划；</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②是否符合部门“三定”方案确定的职责；</w:t>
            </w:r>
          </w:p>
          <w:p>
            <w:pPr>
              <w:spacing w:line="240" w:lineRule="exact"/>
              <w:ind w:left="105" w:leftChars="50" w:right="105" w:rightChars="50"/>
              <w:rPr>
                <w:rFonts w:ascii="宋体" w:cs="宋体"/>
              </w:rPr>
            </w:pPr>
            <w:r>
              <w:rPr>
                <w:rFonts w:hint="eastAsia" w:ascii="宋体" w:hAnsi="宋体" w:cs="宋体"/>
              </w:rPr>
              <w:t>③是否符合部门制定的中长期实施规划。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7"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绩效指标</w:t>
            </w:r>
          </w:p>
          <w:p>
            <w:pPr>
              <w:spacing w:line="240" w:lineRule="exact"/>
              <w:jc w:val="center"/>
              <w:rPr>
                <w:rFonts w:ascii="宋体" w:cs="宋体"/>
              </w:rPr>
            </w:pPr>
            <w:r>
              <w:rPr>
                <w:rFonts w:hint="eastAsia" w:ascii="宋体" w:hAnsi="宋体" w:cs="宋体"/>
              </w:rPr>
              <w:t>明确性（</w:t>
            </w:r>
            <w:r>
              <w:rPr>
                <w:rFonts w:ascii="宋体" w:hAnsi="宋体" w:cs="宋体"/>
              </w:rPr>
              <w:t>3</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部门依据整体绩效目标所设定的绩效指标是否清晰、细化、可衡量，用以反映和考核部门整体绩效目标的明细化情况。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①是否将部门整体的绩效目标细化分解为具体的工作任务；</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②是否通过清晰、可衡量的指标值予以体现。</w:t>
            </w:r>
            <w:r>
              <w:rPr>
                <w:rFonts w:ascii="宋体" w:hAnsi="宋体" w:cs="宋体"/>
              </w:rPr>
              <w:t xml:space="preserve">    </w:t>
            </w:r>
            <w:r>
              <w:rPr>
                <w:rFonts w:hint="eastAsia" w:ascii="宋体" w:hAnsi="宋体" w:cs="宋体"/>
              </w:rPr>
              <w:t>③是否与部门年度的任务数或计划数相对应；</w:t>
            </w:r>
          </w:p>
          <w:p>
            <w:pPr>
              <w:spacing w:line="240" w:lineRule="exact"/>
              <w:ind w:left="105" w:leftChars="50" w:right="105" w:rightChars="50"/>
              <w:rPr>
                <w:rFonts w:ascii="宋体" w:cs="宋体"/>
              </w:rPr>
            </w:pPr>
            <w:r>
              <w:rPr>
                <w:rFonts w:hint="eastAsia" w:ascii="宋体" w:hAnsi="宋体" w:cs="宋体"/>
              </w:rPr>
              <w:t>④是否与本年度部门预算资金相匹配。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1" w:hRule="atLeast"/>
          <w:jc w:val="center"/>
        </w:trPr>
        <w:tc>
          <w:tcPr>
            <w:tcW w:w="306" w:type="pct"/>
            <w:vMerge w:val="continue"/>
            <w:vAlign w:val="center"/>
          </w:tcPr>
          <w:p>
            <w:pPr>
              <w:spacing w:line="240" w:lineRule="exact"/>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配置（</w:t>
            </w:r>
            <w:r>
              <w:rPr>
                <w:rFonts w:ascii="宋体" w:hAnsi="宋体" w:cs="宋体"/>
              </w:rPr>
              <w:t>15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在职人员</w:t>
            </w:r>
          </w:p>
          <w:p>
            <w:pPr>
              <w:spacing w:line="240" w:lineRule="exact"/>
              <w:jc w:val="center"/>
              <w:rPr>
                <w:rFonts w:ascii="宋体" w:cs="宋体"/>
              </w:rPr>
            </w:pPr>
            <w:r>
              <w:rPr>
                <w:rFonts w:hint="eastAsia" w:ascii="宋体" w:hAnsi="宋体" w:cs="宋体"/>
              </w:rPr>
              <w:t>控制率（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部门本年度实际在职人员数与编制数的比率，用以反映和考核部门对人员成本的控制程度。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在职人员控制率</w:t>
            </w:r>
            <w:r>
              <w:rPr>
                <w:rFonts w:ascii="宋体" w:hAnsi="宋体" w:cs="宋体"/>
              </w:rPr>
              <w:t>=</w:t>
            </w:r>
            <w:r>
              <w:rPr>
                <w:rFonts w:hint="eastAsia" w:ascii="宋体" w:hAnsi="宋体" w:cs="宋体"/>
              </w:rPr>
              <w:t>（在职人员数</w:t>
            </w:r>
            <w:r>
              <w:rPr>
                <w:rFonts w:ascii="宋体" w:hAnsi="宋体" w:cs="宋体"/>
              </w:rPr>
              <w:t>/</w:t>
            </w:r>
            <w:r>
              <w:rPr>
                <w:rFonts w:hint="eastAsia" w:ascii="宋体" w:hAnsi="宋体" w:cs="宋体"/>
              </w:rPr>
              <w:t>编制数）×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在职人员数：部门实际在职人数，以财政部确定的部门决算编制口径为准。</w:t>
            </w:r>
          </w:p>
          <w:p>
            <w:pPr>
              <w:spacing w:line="240" w:lineRule="exact"/>
              <w:ind w:left="105" w:leftChars="50" w:right="105" w:rightChars="50"/>
              <w:rPr>
                <w:rFonts w:ascii="宋体" w:cs="宋体"/>
              </w:rPr>
            </w:pPr>
            <w:r>
              <w:rPr>
                <w:rFonts w:hint="eastAsia" w:ascii="宋体" w:hAnsi="宋体" w:cs="宋体"/>
              </w:rPr>
              <w:t>编制数：机构编制部门核定批复的部门的人员编制数。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w:t>
            </w:r>
          </w:p>
          <w:p>
            <w:pPr>
              <w:spacing w:line="240" w:lineRule="exact"/>
              <w:jc w:val="center"/>
              <w:rPr>
                <w:rFonts w:ascii="宋体" w:cs="宋体"/>
              </w:rPr>
            </w:pPr>
            <w:r>
              <w:rPr>
                <w:rFonts w:hint="eastAsia" w:ascii="宋体" w:hAnsi="宋体" w:cs="宋体"/>
              </w:rPr>
              <w:t>变动率（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部门本年度“三公经费”预算数与上年度“三公经费”预算数的变动比率，用以反映和考核部门对控制重点行政成本的努力程度。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“三公经费”变动率</w:t>
            </w:r>
            <w:r>
              <w:rPr>
                <w:rFonts w:ascii="宋体" w:hAnsi="宋体" w:cs="宋体"/>
              </w:rPr>
              <w:t>=[</w:t>
            </w:r>
            <w:r>
              <w:rPr>
                <w:rFonts w:hint="eastAsia" w:ascii="宋体" w:hAnsi="宋体" w:cs="宋体"/>
              </w:rPr>
              <w:t>（本年度“三公经费”总额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“三公经费”：年度预算安排的因公出国（境）费、公务车辆购置及运行费和公务招待费。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重点支出</w:t>
            </w:r>
          </w:p>
          <w:p>
            <w:pPr>
              <w:spacing w:line="240" w:lineRule="exact"/>
              <w:jc w:val="center"/>
              <w:rPr>
                <w:rFonts w:ascii="宋体" w:cs="宋体"/>
              </w:rPr>
            </w:pPr>
            <w:r>
              <w:rPr>
                <w:rFonts w:hint="eastAsia" w:ascii="宋体" w:hAnsi="宋体" w:cs="宋体"/>
              </w:rPr>
              <w:t>安排率（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部门本年度预算安排的重点预算支出与部门预算总支出的比率，用以反映和考核部门对履行主要职责或完成重点任务的保障程度。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重点支出安排率</w:t>
            </w:r>
            <w:r>
              <w:rPr>
                <w:rFonts w:ascii="宋体" w:hAnsi="宋体" w:cs="宋体"/>
              </w:rPr>
              <w:t>=</w:t>
            </w:r>
            <w:r>
              <w:rPr>
                <w:rFonts w:hint="eastAsia" w:ascii="宋体" w:hAnsi="宋体" w:cs="宋体"/>
              </w:rPr>
              <w:t>（重点预算支出</w:t>
            </w:r>
            <w:r>
              <w:rPr>
                <w:rFonts w:ascii="宋体" w:hAnsi="宋体" w:cs="宋体"/>
              </w:rPr>
              <w:t>/</w:t>
            </w:r>
            <w:r>
              <w:rPr>
                <w:rFonts w:hint="eastAsia" w:ascii="宋体" w:hAnsi="宋体" w:cs="宋体"/>
              </w:rPr>
              <w:t>预算总支出）×</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重点预算支出：部门年度预算安排的，与本部门履职和发展密切相关、具有明显社会和经济影响、党委政府关心或社会比较关注的预算</w:t>
            </w:r>
            <w:r>
              <w:rPr>
                <w:rFonts w:hint="eastAsia" w:ascii="宋体" w:hAnsi="宋体" w:cs="宋体"/>
                <w:lang w:eastAsia="zh-CN"/>
              </w:rPr>
              <w:t>支出</w:t>
            </w:r>
            <w:r>
              <w:rPr>
                <w:rFonts w:hint="eastAsia" w:ascii="宋体" w:hAnsi="宋体" w:cs="宋体"/>
              </w:rPr>
              <w:t>总额。</w:t>
            </w:r>
          </w:p>
          <w:p>
            <w:pPr>
              <w:spacing w:line="240" w:lineRule="exact"/>
              <w:ind w:left="105" w:leftChars="50" w:right="105" w:rightChars="50"/>
              <w:rPr>
                <w:rFonts w:ascii="宋体" w:cs="宋体"/>
              </w:rPr>
            </w:pPr>
            <w:r>
              <w:rPr>
                <w:rFonts w:hint="eastAsia" w:ascii="宋体" w:hAnsi="宋体" w:cs="宋体"/>
              </w:rPr>
              <w:t>预算总支出：部门年度预算安排的预算</w:t>
            </w:r>
            <w:r>
              <w:rPr>
                <w:rFonts w:hint="eastAsia" w:ascii="宋体" w:hAnsi="宋体" w:cs="宋体"/>
                <w:lang w:eastAsia="zh-CN"/>
              </w:rPr>
              <w:t>支出</w:t>
            </w:r>
            <w:r>
              <w:rPr>
                <w:rFonts w:hint="eastAsia" w:ascii="宋体" w:hAnsi="宋体" w:cs="宋体"/>
              </w:rPr>
              <w:t>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过</w:t>
            </w:r>
            <w:r>
              <w:rPr>
                <w:rFonts w:ascii="宋体" w:hAnsi="宋体" w:cs="宋体"/>
              </w:rPr>
              <w:t xml:space="preserve">   </w:t>
            </w: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3</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部门本年度预算完成数与预算数的比率，用以反映和考核部门预算完成程度。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预算执行率</w:t>
            </w:r>
            <w:r>
              <w:rPr>
                <w:rFonts w:ascii="宋体" w:hAnsi="宋体" w:cs="宋体"/>
              </w:rPr>
              <w:t>=</w:t>
            </w:r>
            <w:r>
              <w:rPr>
                <w:rFonts w:hint="eastAsia" w:ascii="宋体" w:hAnsi="宋体" w:cs="宋体"/>
              </w:rPr>
              <w:t>（预算执行数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预算执行数：部门本年度实际完成的预算数。</w:t>
            </w:r>
          </w:p>
          <w:p>
            <w:pPr>
              <w:spacing w:line="240" w:lineRule="exact"/>
              <w:ind w:left="105" w:leftChars="50" w:right="105" w:rightChars="50"/>
              <w:rPr>
                <w:rFonts w:ascii="宋体" w:cs="宋体"/>
              </w:rPr>
            </w:pPr>
            <w:r>
              <w:rPr>
                <w:rFonts w:hint="eastAsia" w:ascii="宋体" w:hAnsi="宋体" w:cs="宋体"/>
              </w:rPr>
              <w:t>预算数：财政部门批复的本年度部门预算数。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4"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调整率（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部门本年度预算调整数与预算数的比率，用以反映和考核部门预算的调整程度。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预算调整率</w:t>
            </w:r>
            <w:r>
              <w:rPr>
                <w:rFonts w:ascii="宋体" w:hAnsi="宋体" w:cs="宋体"/>
              </w:rPr>
              <w:t>=</w:t>
            </w:r>
            <w:r>
              <w:rPr>
                <w:rFonts w:hint="eastAsia" w:ascii="宋体" w:hAnsi="宋体" w:cs="宋体"/>
              </w:rPr>
              <w:t>（预算调整数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预算调整数：部门在本年度内涉及预算的追加、追减或结构调整的资金总和（因落实国家政策、发生不可抗力、上级部门或本级党委政府临时交办而产生的调整除外）。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1"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支付</w:t>
            </w:r>
          </w:p>
          <w:p>
            <w:pPr>
              <w:spacing w:line="240" w:lineRule="exact"/>
              <w:jc w:val="center"/>
              <w:rPr>
                <w:rFonts w:ascii="宋体" w:cs="宋体"/>
              </w:rPr>
            </w:pPr>
            <w:r>
              <w:rPr>
                <w:rFonts w:hint="eastAsia" w:ascii="宋体" w:hAnsi="宋体" w:cs="宋体"/>
              </w:rPr>
              <w:t>进度率（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部门实际支付进度与既定支付进度的比率，用以反映和考核部门预算执行的及时性和均衡性程度。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支付进度率</w:t>
            </w:r>
            <w:r>
              <w:rPr>
                <w:rFonts w:ascii="宋体" w:hAnsi="宋体" w:cs="宋体"/>
              </w:rPr>
              <w:t>=</w:t>
            </w:r>
            <w:r>
              <w:rPr>
                <w:rFonts w:hint="eastAsia" w:ascii="宋体" w:hAnsi="宋体" w:cs="宋体"/>
              </w:rPr>
              <w:t>（实际支付进度</w:t>
            </w:r>
            <w:r>
              <w:rPr>
                <w:rFonts w:ascii="宋体" w:hAnsi="宋体" w:cs="宋体"/>
              </w:rPr>
              <w:t>/</w:t>
            </w:r>
            <w:r>
              <w:rPr>
                <w:rFonts w:hint="eastAsia" w:ascii="宋体" w:hAnsi="宋体" w:cs="宋体"/>
              </w:rPr>
              <w:t>既定支付进度）×</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实际支付进度：部门在某一时点的支出预算执行总数与年度支出预算数的比率。</w:t>
            </w:r>
          </w:p>
          <w:p>
            <w:pPr>
              <w:spacing w:line="240" w:lineRule="exact"/>
              <w:ind w:left="105" w:leftChars="50" w:right="105" w:rightChars="50"/>
              <w:rPr>
                <w:rFonts w:ascii="宋体" w:cs="宋体"/>
              </w:rPr>
            </w:pPr>
            <w:r>
              <w:rPr>
                <w:rFonts w:hint="eastAsia" w:ascii="宋体" w:hAnsi="宋体" w:cs="宋体"/>
              </w:rPr>
              <w:t>既定支付进度：由部门在申报部门整体绩效目标时，参照序时支付进度、前三年支付进度、本级部门平均支付进度水平等确定的，在某一时点应达到的支付进度（比率）。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continue"/>
            <w:tcMar>
              <w:top w:w="10" w:type="dxa"/>
              <w:left w:w="10" w:type="dxa"/>
              <w:bottom w:w="0" w:type="dxa"/>
              <w:right w:w="10" w:type="dxa"/>
            </w:tcMar>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w:t>
            </w:r>
          </w:p>
          <w:p>
            <w:pPr>
              <w:spacing w:line="240" w:lineRule="exact"/>
              <w:jc w:val="center"/>
              <w:rPr>
                <w:rFonts w:ascii="宋体" w:cs="宋体"/>
              </w:rPr>
            </w:pPr>
            <w:r>
              <w:rPr>
                <w:rFonts w:hint="eastAsia" w:ascii="宋体" w:hAnsi="宋体" w:cs="宋体"/>
              </w:rPr>
              <w:t>结余率（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部门本年度结转结余总额与支出预算数的比率，用以反映和考核部门对本年度结转结余资金的实际控制程度。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结转结余率</w:t>
            </w:r>
            <w:r>
              <w:rPr>
                <w:rFonts w:ascii="宋体" w:hAnsi="宋体" w:cs="宋体"/>
              </w:rPr>
              <w:t>=</w:t>
            </w:r>
            <w:r>
              <w:rPr>
                <w:rFonts w:hint="eastAsia" w:ascii="宋体" w:hAnsi="宋体" w:cs="宋体"/>
              </w:rPr>
              <w:t>结转结余总额</w:t>
            </w:r>
            <w:r>
              <w:rPr>
                <w:rFonts w:ascii="宋体" w:hAnsi="宋体" w:cs="宋体"/>
              </w:rPr>
              <w:t>/</w:t>
            </w:r>
            <w:r>
              <w:rPr>
                <w:rFonts w:hint="eastAsia" w:ascii="宋体" w:hAnsi="宋体" w:cs="宋体"/>
              </w:rPr>
              <w:t>支出预算数×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结转结余总额：部门本年度的结转资金与结余资金之和（以决算数为准）。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结转结余</w:t>
            </w:r>
          </w:p>
          <w:p>
            <w:pPr>
              <w:spacing w:line="240" w:lineRule="exact"/>
              <w:jc w:val="center"/>
              <w:rPr>
                <w:rFonts w:ascii="宋体" w:cs="宋体"/>
              </w:rPr>
            </w:pPr>
            <w:r>
              <w:rPr>
                <w:rFonts w:hint="eastAsia" w:ascii="宋体" w:hAnsi="宋体" w:cs="宋体"/>
              </w:rPr>
              <w:t>变动率（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部门本年度结转结余资金总额与上年度结转结余资金总额的变动比率，用以反映和考核部门对控制结转结余资金的努力程度。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结转结余变动率</w:t>
            </w:r>
            <w:r>
              <w:rPr>
                <w:rFonts w:ascii="宋体" w:hAnsi="宋体" w:cs="宋体"/>
              </w:rPr>
              <w:t>=[</w:t>
            </w:r>
            <w:r>
              <w:rPr>
                <w:rFonts w:hint="eastAsia" w:ascii="宋体" w:hAnsi="宋体" w:cs="宋体"/>
              </w:rPr>
              <w:t>（本年度累计结转结余资金总额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公用经费</w:t>
            </w:r>
          </w:p>
          <w:p>
            <w:pPr>
              <w:spacing w:line="240" w:lineRule="exact"/>
              <w:jc w:val="center"/>
              <w:rPr>
                <w:rFonts w:ascii="宋体" w:cs="宋体"/>
              </w:rPr>
            </w:pPr>
            <w:r>
              <w:rPr>
                <w:rFonts w:hint="eastAsia" w:ascii="宋体" w:hAnsi="宋体" w:cs="宋体"/>
              </w:rPr>
              <w:t>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部门本年度实际支出的公用经费总额与预算安排的公用经费总额的比率，用以反映和考核部门对机构运转成本的实际控制程度。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公用经费控制率</w:t>
            </w:r>
            <w:r>
              <w:rPr>
                <w:rFonts w:ascii="宋体" w:hAnsi="宋体" w:cs="宋体"/>
              </w:rPr>
              <w:t>=</w:t>
            </w:r>
            <w:r>
              <w:rPr>
                <w:rFonts w:hint="eastAsia" w:ascii="宋体" w:hAnsi="宋体" w:cs="宋体"/>
              </w:rPr>
              <w:t>（实际支出公用经费总额</w:t>
            </w:r>
            <w:r>
              <w:rPr>
                <w:rFonts w:ascii="宋体" w:hAnsi="宋体" w:cs="宋体"/>
              </w:rPr>
              <w:t>/</w:t>
            </w:r>
            <w:r>
              <w:rPr>
                <w:rFonts w:hint="eastAsia" w:ascii="宋体" w:hAnsi="宋体" w:cs="宋体"/>
              </w:rPr>
              <w:t>预算安排公用经费总额）×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8"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部门本年度“三公经费”实际支出数与预算安排数的比率，用以反映和考核部门对“三公经费”的实际控制程度。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“三公经费”控制率</w:t>
            </w:r>
            <w:r>
              <w:rPr>
                <w:rFonts w:ascii="宋体" w:hAnsi="宋体" w:cs="宋体"/>
              </w:rPr>
              <w:t>=</w:t>
            </w:r>
            <w:r>
              <w:rPr>
                <w:rFonts w:hint="eastAsia" w:ascii="宋体" w:hAnsi="宋体" w:cs="宋体"/>
              </w:rPr>
              <w:t>（“三公经费”实际支出数</w:t>
            </w:r>
            <w:r>
              <w:rPr>
                <w:rFonts w:ascii="宋体" w:hAnsi="宋体" w:cs="宋体"/>
              </w:rPr>
              <w:t>/</w:t>
            </w:r>
            <w:r>
              <w:rPr>
                <w:rFonts w:hint="eastAsia" w:ascii="宋体" w:hAnsi="宋体" w:cs="宋体"/>
              </w:rPr>
              <w:t>“三公经费”预算安排数）×</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0"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政府采购</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部门本年度实际政府采购金额与年初政府采购预算的比率，用以反映和考核部门政府采购预算执行情况。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政府采购执行率</w:t>
            </w:r>
            <w:r>
              <w:rPr>
                <w:rFonts w:ascii="宋体" w:hAnsi="宋体" w:cs="宋体"/>
              </w:rPr>
              <w:t>=</w:t>
            </w:r>
            <w:r>
              <w:rPr>
                <w:rFonts w:hint="eastAsia" w:ascii="宋体" w:hAnsi="宋体" w:cs="宋体"/>
              </w:rPr>
              <w:t>（实际政府采购金额</w:t>
            </w:r>
            <w:r>
              <w:rPr>
                <w:rFonts w:ascii="宋体" w:hAnsi="宋体" w:cs="宋体"/>
              </w:rPr>
              <w:t>/</w:t>
            </w:r>
            <w:r>
              <w:rPr>
                <w:rFonts w:hint="eastAsia" w:ascii="宋体" w:hAnsi="宋体" w:cs="宋体"/>
              </w:rPr>
              <w:t>政府采购预算数）×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hAnsi="宋体" w:cs="宋体"/>
              </w:rPr>
            </w:pPr>
            <w:r>
              <w:rPr>
                <w:rFonts w:hint="eastAsia" w:ascii="宋体" w:hAnsi="宋体" w:cs="宋体"/>
              </w:rPr>
              <w:t>政府采购预算：采购机关根据事业发展计划和行政任务编制的、并经过规定程序批准的年度政府采购计划。</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9" w:hRule="atLeast"/>
          <w:jc w:val="center"/>
        </w:trPr>
        <w:tc>
          <w:tcPr>
            <w:tcW w:w="306" w:type="pct"/>
            <w:vMerge w:val="restart"/>
            <w:vAlign w:val="center"/>
          </w:tcPr>
          <w:p>
            <w:pPr>
              <w:spacing w:line="240" w:lineRule="exact"/>
              <w:jc w:val="center"/>
              <w:rPr>
                <w:rFonts w:ascii="宋体" w:cs="宋体"/>
              </w:rPr>
            </w:pPr>
            <w:r>
              <w:rPr>
                <w:rFonts w:hint="eastAsia" w:ascii="宋体" w:hAnsi="宋体" w:cs="宋体"/>
              </w:rPr>
              <w:t>过</w:t>
            </w:r>
          </w:p>
          <w:p>
            <w:pPr>
              <w:spacing w:line="240" w:lineRule="exact"/>
              <w:jc w:val="center"/>
              <w:rPr>
                <w:rFonts w:ascii="宋体" w:cs="宋体"/>
              </w:rPr>
            </w:pP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p>
            <w:pPr>
              <w:spacing w:line="240" w:lineRule="exact"/>
              <w:jc w:val="center"/>
              <w:rPr>
                <w:rFonts w:ascii="宋体" w:cs="宋体"/>
              </w:rPr>
            </w:pPr>
            <w:r>
              <w:rPr>
                <w:rFonts w:hint="eastAsia" w:ascii="宋体" w:hAnsi="宋体" w:cs="宋体"/>
              </w:rPr>
              <w:t>）</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部门为加强预算管理、规范财务行为而制定的管理制度是否健全完整，用以反映和考核部门预算管理制度对完成主要职责或促进事业发展的保障情况。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①是否已制定或具有预算资金管理办法、内部财务管理制度、会计核算制度等管理制度；</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②相关管理制度是否合法、合规、完整；</w:t>
            </w:r>
          </w:p>
          <w:p>
            <w:pPr>
              <w:spacing w:line="240" w:lineRule="exact"/>
              <w:ind w:left="105" w:leftChars="50" w:right="105" w:rightChars="50"/>
              <w:rPr>
                <w:rFonts w:ascii="宋体" w:cs="宋体"/>
              </w:rPr>
            </w:pPr>
            <w:r>
              <w:rPr>
                <w:rFonts w:hint="eastAsia" w:ascii="宋体" w:hAnsi="宋体" w:cs="宋体"/>
              </w:rPr>
              <w:t>③相关管理制度是否得到有效执行。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资金使用</w:t>
            </w:r>
          </w:p>
          <w:p>
            <w:pPr>
              <w:spacing w:line="240" w:lineRule="exact"/>
              <w:jc w:val="center"/>
              <w:rPr>
                <w:rFonts w:ascii="宋体" w:cs="宋体"/>
              </w:rPr>
            </w:pPr>
            <w:r>
              <w:rPr>
                <w:rFonts w:hint="eastAsia" w:ascii="宋体" w:hAnsi="宋体" w:cs="宋体"/>
              </w:rPr>
              <w:t>合规性（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部门使用预算资金是否符合相关的预算财务管理制度的规定，用以反映和考核部门预算资金的规范运行情况。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①是否符合国家财经法规和财务管理制度规定以及有关预算支出管理办法的规定；</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②资金的拨付是否有完整的审批程序和手续；</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③预算支出的重大开支是否经过评估论证；</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④是否符合部门预算批复的用途；</w:t>
            </w:r>
          </w:p>
          <w:p>
            <w:pPr>
              <w:spacing w:line="240" w:lineRule="exact"/>
              <w:ind w:left="105" w:leftChars="50" w:right="105" w:rightChars="50"/>
              <w:rPr>
                <w:rFonts w:ascii="宋体" w:cs="宋体"/>
              </w:rPr>
            </w:pPr>
            <w:r>
              <w:rPr>
                <w:rFonts w:hint="eastAsia" w:ascii="宋体" w:hAnsi="宋体" w:cs="宋体"/>
              </w:rPr>
              <w:t>⑤是否存在截留、挤占、挪用、虚列支出等情况。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预决算信</w:t>
            </w:r>
          </w:p>
          <w:p>
            <w:pPr>
              <w:spacing w:line="240" w:lineRule="exact"/>
              <w:jc w:val="center"/>
              <w:rPr>
                <w:rFonts w:ascii="宋体" w:cs="宋体"/>
              </w:rPr>
            </w:pPr>
            <w:r>
              <w:rPr>
                <w:rFonts w:hint="eastAsia" w:ascii="宋体" w:hAnsi="宋体" w:cs="宋体"/>
              </w:rPr>
              <w:t>息公开性（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部门是否按照政府信息公开有关规定公开相关预决算信息，用以反映和考核部门预决算管理的公开透明情况。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①是否按规定内容公开预决算信息；</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②是否按规定时限公开预决算信息。</w:t>
            </w:r>
          </w:p>
          <w:p>
            <w:pPr>
              <w:spacing w:line="240" w:lineRule="exact"/>
              <w:ind w:left="105" w:leftChars="50" w:right="105" w:rightChars="50"/>
              <w:rPr>
                <w:rFonts w:ascii="宋体" w:cs="宋体"/>
              </w:rPr>
            </w:pPr>
            <w:r>
              <w:rPr>
                <w:rFonts w:hint="eastAsia" w:ascii="宋体" w:hAnsi="宋体" w:cs="宋体"/>
              </w:rPr>
              <w:t>预决算信息是指与部门预算、执行、决算、监督、绩效等管理相关的信息。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基础信息</w:t>
            </w:r>
          </w:p>
          <w:p>
            <w:pPr>
              <w:spacing w:line="240" w:lineRule="exact"/>
              <w:jc w:val="center"/>
              <w:rPr>
                <w:rFonts w:ascii="宋体" w:cs="宋体"/>
              </w:rPr>
            </w:pPr>
            <w:r>
              <w:rPr>
                <w:rFonts w:hint="eastAsia" w:ascii="宋体" w:hAnsi="宋体" w:cs="宋体"/>
              </w:rPr>
              <w:t>完善性（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部门基础信息是否完善，用以反映和考核基础信息对预算管理工作的支撑情况。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①基础数据信息和会计信息资料是否真实；</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②基础数据信息和会计信息资料是否完整；</w:t>
            </w:r>
          </w:p>
          <w:p>
            <w:pPr>
              <w:spacing w:line="240" w:lineRule="exact"/>
              <w:ind w:left="105" w:leftChars="50" w:right="105" w:rightChars="50"/>
              <w:rPr>
                <w:rFonts w:ascii="宋体" w:cs="宋体"/>
              </w:rPr>
            </w:pPr>
            <w:r>
              <w:rPr>
                <w:rFonts w:hint="eastAsia" w:ascii="宋体" w:hAnsi="宋体" w:cs="宋体"/>
              </w:rPr>
              <w:t>③基础数据信息和会计信息资料是否准确。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资产</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部门为加强资产管理、规范资产管理行为而制定的管理制度是否健全完整，用以反映和考核部门资产管理制度对完成主要职责或促进社会发展的保障情况。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①是否已制定或具有资产管理制度；</w:t>
            </w:r>
            <w:r>
              <w:rPr>
                <w:rFonts w:ascii="宋体" w:hAnsi="宋体" w:cs="宋体"/>
              </w:rPr>
              <w:t xml:space="preserve">           </w:t>
            </w:r>
            <w:r>
              <w:rPr>
                <w:rFonts w:hint="eastAsia" w:ascii="宋体" w:hAnsi="宋体" w:cs="宋体"/>
              </w:rPr>
              <w:t>②相关资金管理制度是否合法、合规、完整；</w:t>
            </w:r>
          </w:p>
          <w:p>
            <w:pPr>
              <w:spacing w:line="240" w:lineRule="exact"/>
              <w:ind w:left="105" w:leftChars="50" w:right="105" w:rightChars="50"/>
              <w:rPr>
                <w:rFonts w:ascii="宋体" w:cs="宋体"/>
              </w:rPr>
            </w:pPr>
            <w:r>
              <w:rPr>
                <w:rFonts w:hint="eastAsia" w:ascii="宋体" w:hAnsi="宋体" w:cs="宋体"/>
              </w:rPr>
              <w:t>③相关资产管理制度是否得到有效执行。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资产管理</w:t>
            </w:r>
          </w:p>
          <w:p>
            <w:pPr>
              <w:spacing w:line="240" w:lineRule="exact"/>
              <w:jc w:val="center"/>
              <w:rPr>
                <w:rFonts w:ascii="宋体" w:cs="宋体"/>
              </w:rPr>
            </w:pPr>
            <w:r>
              <w:rPr>
                <w:rFonts w:hint="eastAsia" w:ascii="宋体" w:hAnsi="宋体" w:cs="宋体"/>
              </w:rPr>
              <w:t>安全性（</w:t>
            </w:r>
            <w:r>
              <w:rPr>
                <w:rFonts w:ascii="宋体" w:hAnsi="宋体" w:cs="宋体"/>
              </w:rPr>
              <w:t>2</w:t>
            </w:r>
            <w:r>
              <w:rPr>
                <w:rFonts w:hint="eastAsia" w:ascii="宋体" w:hAnsi="宋体" w:cs="宋体"/>
              </w:rPr>
              <w:t>分）</w:t>
            </w:r>
          </w:p>
        </w:tc>
        <w:tc>
          <w:tcPr>
            <w:tcW w:w="375" w:type="pct"/>
            <w:vAlign w:val="center"/>
          </w:tcPr>
          <w:p>
            <w:pPr>
              <w:tabs>
                <w:tab w:val="left" w:pos="761"/>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761"/>
                <w:tab w:val="left" w:pos="2604"/>
              </w:tabs>
              <w:spacing w:line="240" w:lineRule="exact"/>
              <w:ind w:left="105" w:leftChars="50" w:right="105" w:rightChars="50" w:firstLine="96" w:firstLineChars="46"/>
              <w:rPr>
                <w:rFonts w:ascii="宋体" w:cs="宋体"/>
              </w:rPr>
            </w:pPr>
            <w:r>
              <w:rPr>
                <w:rFonts w:hint="eastAsia" w:ascii="宋体" w:hAnsi="宋体" w:cs="宋体"/>
              </w:rPr>
              <w:t>部门的资产是否保存完整、使用合规、配置合理、处置规范、收入及时足额上缴，用以反映和考核部门资产安全运行情况。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①资产保存是否完整；</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②资产配置是否合理；</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③资产处置是否规范；</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④资产账务管理是否合规，是否</w:t>
            </w:r>
            <w:r>
              <w:rPr>
                <w:rFonts w:hint="eastAsia" w:ascii="宋体" w:hAnsi="宋体" w:cs="宋体"/>
                <w:lang w:eastAsia="zh-CN"/>
              </w:rPr>
              <w:t>账</w:t>
            </w:r>
            <w:r>
              <w:rPr>
                <w:rFonts w:hint="eastAsia" w:ascii="宋体" w:hAnsi="宋体" w:cs="宋体"/>
              </w:rPr>
              <w:t>实相符；</w:t>
            </w:r>
          </w:p>
          <w:p>
            <w:pPr>
              <w:spacing w:line="240" w:lineRule="exact"/>
              <w:ind w:left="105" w:leftChars="50" w:right="105" w:rightChars="50"/>
              <w:rPr>
                <w:rFonts w:ascii="宋体" w:cs="宋体"/>
              </w:rPr>
            </w:pPr>
            <w:r>
              <w:rPr>
                <w:rFonts w:hint="eastAsia" w:ascii="宋体" w:hAnsi="宋体" w:cs="宋体"/>
              </w:rPr>
              <w:t>⑤资产是否有偿使用及处置收入及时足额上缴。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固定资产</w:t>
            </w:r>
          </w:p>
          <w:p>
            <w:pPr>
              <w:spacing w:line="240" w:lineRule="exact"/>
              <w:jc w:val="center"/>
              <w:rPr>
                <w:rFonts w:ascii="宋体" w:cs="宋体"/>
              </w:rPr>
            </w:pPr>
            <w:r>
              <w:rPr>
                <w:rFonts w:hint="eastAsia" w:ascii="宋体" w:hAnsi="宋体" w:cs="宋体"/>
              </w:rPr>
              <w:t>利用率（</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部门实际在用固定资产总额与所有固定资产总额的比率，用以反映和考核部门固定资产使用效率程度。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固定资产利用率</w:t>
            </w:r>
            <w:r>
              <w:rPr>
                <w:rFonts w:ascii="宋体" w:hAnsi="宋体" w:cs="宋体"/>
              </w:rPr>
              <w:t>=</w:t>
            </w:r>
            <w:r>
              <w:rPr>
                <w:rFonts w:hint="eastAsia" w:ascii="宋体" w:hAnsi="宋体" w:cs="宋体"/>
              </w:rPr>
              <w:t>（实际在用固定资产总额</w:t>
            </w:r>
            <w:r>
              <w:rPr>
                <w:rFonts w:ascii="宋体" w:hAnsi="宋体" w:cs="宋体"/>
              </w:rPr>
              <w:t>/</w:t>
            </w:r>
            <w:r>
              <w:rPr>
                <w:rFonts w:hint="eastAsia" w:ascii="宋体" w:hAnsi="宋体" w:cs="宋体"/>
              </w:rPr>
              <w:t>所有固定资产总额）×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1"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产</w:t>
            </w:r>
            <w:r>
              <w:rPr>
                <w:rFonts w:ascii="宋体" w:hAnsi="宋体" w:cs="宋体"/>
              </w:rPr>
              <w:t xml:space="preserve">   </w:t>
            </w:r>
            <w:r>
              <w:rPr>
                <w:rFonts w:hint="eastAsia" w:ascii="宋体" w:hAnsi="宋体" w:cs="宋体"/>
              </w:rPr>
              <w:t>出（</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职责</w:t>
            </w:r>
          </w:p>
          <w:p>
            <w:pPr>
              <w:spacing w:line="240" w:lineRule="exact"/>
              <w:jc w:val="center"/>
              <w:rPr>
                <w:rFonts w:ascii="宋体" w:cs="宋体"/>
              </w:rPr>
            </w:pPr>
            <w:r>
              <w:rPr>
                <w:rFonts w:hint="eastAsia" w:ascii="宋体" w:hAnsi="宋体" w:cs="宋体"/>
              </w:rPr>
              <w:t>履行（</w:t>
            </w:r>
            <w:r>
              <w:rPr>
                <w:rFonts w:ascii="宋体" w:hAnsi="宋体" w:cs="宋体"/>
              </w:rPr>
              <w:t>30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实际</w:t>
            </w:r>
          </w:p>
          <w:p>
            <w:pPr>
              <w:spacing w:line="240" w:lineRule="exact"/>
              <w:jc w:val="center"/>
              <w:rPr>
                <w:rFonts w:ascii="宋体" w:cs="宋体"/>
              </w:rPr>
            </w:pPr>
            <w:r>
              <w:rPr>
                <w:rFonts w:hint="eastAsia" w:ascii="宋体" w:hAnsi="宋体" w:cs="宋体"/>
              </w:rPr>
              <w:t>完成率（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8</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部门履行职责而实际完成工作数与计划工作数的比率，用以反映和考核部门履职工作任务目标的实现程度。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实际完成率</w:t>
            </w:r>
            <w:r>
              <w:rPr>
                <w:rFonts w:ascii="宋体" w:hAnsi="宋体" w:cs="宋体"/>
              </w:rPr>
              <w:t>=</w:t>
            </w:r>
            <w:r>
              <w:rPr>
                <w:rFonts w:hint="eastAsia" w:ascii="宋体" w:hAnsi="宋体" w:cs="宋体"/>
              </w:rPr>
              <w:t>（实际完成工作数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实际完成工作数：一定时期（年度或规划期）内部门实际完成工作任务的数量。</w:t>
            </w:r>
          </w:p>
          <w:p>
            <w:pPr>
              <w:spacing w:line="240" w:lineRule="exact"/>
              <w:ind w:left="105" w:leftChars="50" w:right="105" w:rightChars="50"/>
              <w:rPr>
                <w:rFonts w:ascii="宋体" w:cs="宋体"/>
              </w:rPr>
            </w:pPr>
            <w:r>
              <w:rPr>
                <w:rFonts w:hint="eastAsia" w:ascii="宋体" w:hAnsi="宋体" w:cs="宋体"/>
              </w:rPr>
              <w:t>计划工作数：部门整体绩效目标确定的一定时期（年度或规划期）内预计完成工作任务的数量。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3" w:hRule="atLeast"/>
          <w:jc w:val="center"/>
        </w:trPr>
        <w:tc>
          <w:tcPr>
            <w:tcW w:w="306" w:type="pct"/>
            <w:vMerge w:val="continue"/>
            <w:textDirection w:val="tbRlV"/>
            <w:vAlign w:val="center"/>
          </w:tcPr>
          <w:p>
            <w:pPr>
              <w:spacing w:line="240" w:lineRule="exact"/>
              <w:ind w:left="113"/>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完成</w:t>
            </w:r>
          </w:p>
          <w:p>
            <w:pPr>
              <w:spacing w:line="240" w:lineRule="exact"/>
              <w:jc w:val="center"/>
              <w:rPr>
                <w:rFonts w:ascii="宋体" w:cs="宋体"/>
              </w:rPr>
            </w:pPr>
            <w:r>
              <w:rPr>
                <w:rFonts w:hint="eastAsia" w:ascii="宋体" w:hAnsi="宋体" w:cs="宋体"/>
              </w:rPr>
              <w:t>及时率（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部门在规定时限内及时完成的实际工作数与计划工作数的比率</w:t>
            </w:r>
            <w:r>
              <w:rPr>
                <w:rFonts w:ascii="宋体" w:hAnsi="宋体" w:cs="宋体"/>
              </w:rPr>
              <w:t>,</w:t>
            </w:r>
            <w:r>
              <w:rPr>
                <w:rFonts w:hint="eastAsia" w:ascii="宋体" w:hAnsi="宋体" w:cs="宋体"/>
              </w:rPr>
              <w:t>用以反映和考核部门履职时效目标的实现程度。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完成及时率</w:t>
            </w:r>
            <w:r>
              <w:rPr>
                <w:rFonts w:ascii="宋体" w:hAnsi="宋体" w:cs="宋体"/>
              </w:rPr>
              <w:t>=</w:t>
            </w:r>
            <w:r>
              <w:rPr>
                <w:rFonts w:hint="eastAsia" w:ascii="宋体" w:hAnsi="宋体" w:cs="宋体"/>
              </w:rPr>
              <w:t>（及时完成实际工作数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及时完成实际工作数：部门按照整体绩效目标确定的时限实际完成的工作任务数量。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质量</w:t>
            </w:r>
          </w:p>
          <w:p>
            <w:pPr>
              <w:spacing w:line="240" w:lineRule="exact"/>
              <w:jc w:val="center"/>
              <w:rPr>
                <w:rFonts w:ascii="宋体" w:cs="宋体"/>
              </w:rPr>
            </w:pPr>
            <w:r>
              <w:rPr>
                <w:rFonts w:hint="eastAsia" w:ascii="宋体" w:hAnsi="宋体" w:cs="宋体"/>
              </w:rPr>
              <w:t>达标率（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7</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达到质量标准（绩效标准值）的实际工作数与计划工作数的比率</w:t>
            </w:r>
            <w:r>
              <w:rPr>
                <w:rFonts w:ascii="宋体" w:hAnsi="宋体" w:cs="宋体"/>
              </w:rPr>
              <w:t>,</w:t>
            </w:r>
            <w:r>
              <w:rPr>
                <w:rFonts w:hint="eastAsia" w:ascii="宋体" w:hAnsi="宋体" w:cs="宋体"/>
              </w:rPr>
              <w:t>用以反映和考核部门履职质量目标的实现程度。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质量达标率</w:t>
            </w:r>
            <w:r>
              <w:rPr>
                <w:rFonts w:ascii="宋体" w:hAnsi="宋体" w:cs="宋体"/>
              </w:rPr>
              <w:t>=</w:t>
            </w:r>
            <w:r>
              <w:rPr>
                <w:rFonts w:hint="eastAsia" w:ascii="宋体" w:hAnsi="宋体" w:cs="宋体"/>
              </w:rPr>
              <w:t>（质量达标实际工作数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质量达标实际工作数：一定时期（年度或规划期）内部门实际完成工作数中达到部门绩效目标要求（绩效标准值）的工作任务数量。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重点工作</w:t>
            </w:r>
          </w:p>
          <w:p>
            <w:pPr>
              <w:spacing w:line="240" w:lineRule="exact"/>
              <w:jc w:val="center"/>
              <w:rPr>
                <w:rFonts w:ascii="宋体" w:cs="宋体"/>
              </w:rPr>
            </w:pPr>
            <w:r>
              <w:rPr>
                <w:rFonts w:hint="eastAsia" w:ascii="宋体" w:hAnsi="宋体" w:cs="宋体"/>
              </w:rPr>
              <w:t>办结率（</w:t>
            </w:r>
            <w:r>
              <w:rPr>
                <w:rFonts w:ascii="宋体" w:hAnsi="宋体" w:cs="宋体"/>
              </w:rPr>
              <w:t>10</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10</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部门年度重点工作实际完成数与交办或下达数的比率，用以反映部门对重点工作的办理落实程度。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重点工作办结率</w:t>
            </w:r>
            <w:r>
              <w:rPr>
                <w:rFonts w:ascii="宋体" w:hAnsi="宋体" w:cs="宋体"/>
              </w:rPr>
              <w:t>=</w:t>
            </w:r>
            <w:r>
              <w:rPr>
                <w:rFonts w:hint="eastAsia" w:ascii="宋体" w:hAnsi="宋体" w:cs="宋体"/>
              </w:rPr>
              <w:t>（重点工作实际完成数</w:t>
            </w:r>
            <w:r>
              <w:rPr>
                <w:rFonts w:ascii="宋体" w:hAnsi="宋体" w:cs="宋体"/>
              </w:rPr>
              <w:t>/</w:t>
            </w:r>
            <w:r>
              <w:rPr>
                <w:rFonts w:hint="eastAsia" w:ascii="宋体" w:hAnsi="宋体" w:cs="宋体"/>
              </w:rPr>
              <w:t>交办或下达数）×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重点工作是指党委、政府、人大、相关部门交办或下达的工作任务。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效</w:t>
            </w:r>
            <w:r>
              <w:rPr>
                <w:rFonts w:ascii="宋体" w:hAnsi="宋体" w:cs="宋体"/>
              </w:rPr>
              <w:t xml:space="preserve">   </w:t>
            </w:r>
            <w:r>
              <w:rPr>
                <w:rFonts w:hint="eastAsia" w:ascii="宋体" w:hAnsi="宋体" w:cs="宋体"/>
              </w:rPr>
              <w:t>果（</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履职</w:t>
            </w:r>
          </w:p>
          <w:p>
            <w:pPr>
              <w:spacing w:line="240" w:lineRule="exact"/>
              <w:jc w:val="center"/>
              <w:rPr>
                <w:rFonts w:ascii="宋体" w:cs="宋体"/>
              </w:rPr>
            </w:pPr>
            <w:r>
              <w:rPr>
                <w:rFonts w:hint="eastAsia" w:ascii="宋体" w:hAnsi="宋体" w:cs="宋体"/>
              </w:rPr>
              <w:t>效益（</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经济效益（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部门履行职责对经济发展所带来的直接或间接影响。</w:t>
            </w:r>
          </w:p>
        </w:tc>
        <w:tc>
          <w:tcPr>
            <w:tcW w:w="1866" w:type="pct"/>
            <w:vMerge w:val="restar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此三项指标为设置部门整体支出绩效评价指标时必须考虑的共性要素，可根据部门实际并结合部门整体支出绩效目标设立情况有选择的进行设置，并将其细化为相应的个性化指标。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部门履行职责对社会发展所带来的直接或间接影响。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生态效益（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部门履行职责对生态环境所带来的直接或间接影响。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社会公众</w:t>
            </w:r>
          </w:p>
          <w:p>
            <w:pPr>
              <w:spacing w:line="240" w:lineRule="exact"/>
              <w:jc w:val="center"/>
              <w:rPr>
                <w:rFonts w:ascii="宋体" w:cs="宋体"/>
              </w:rPr>
            </w:pPr>
            <w:r>
              <w:rPr>
                <w:rFonts w:hint="eastAsia" w:ascii="宋体" w:hAnsi="宋体" w:cs="宋体"/>
              </w:rPr>
              <w:t>或服务对</w:t>
            </w:r>
          </w:p>
          <w:p>
            <w:pPr>
              <w:spacing w:line="240" w:lineRule="exact"/>
              <w:jc w:val="center"/>
              <w:rPr>
                <w:rFonts w:ascii="宋体" w:cs="宋体"/>
              </w:rPr>
            </w:pPr>
            <w:r>
              <w:rPr>
                <w:rFonts w:hint="eastAsia" w:ascii="宋体" w:hAnsi="宋体" w:cs="宋体"/>
              </w:rPr>
              <w:t>象满意度（</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社会公众或部门的服务对象对部门履职效果的满意程度。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社会公众或服务对象是指部门履行职责而影响到的部门、群体或个人。一般采取社会调查的方式。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306" w:type="pct"/>
            <w:vAlign w:val="center"/>
          </w:tcPr>
          <w:p>
            <w:pPr>
              <w:spacing w:line="240" w:lineRule="exact"/>
              <w:rPr>
                <w:rFonts w:ascii="宋体" w:cs="宋体"/>
              </w:rPr>
            </w:pPr>
            <w:r>
              <w:rPr>
                <w:rFonts w:hint="eastAsia" w:ascii="宋体" w:hAnsi="宋体" w:cs="宋体"/>
              </w:rPr>
              <w:t>总分</w:t>
            </w:r>
          </w:p>
        </w:tc>
        <w:tc>
          <w:tcPr>
            <w:tcW w:w="375" w:type="pct"/>
            <w:vAlign w:val="center"/>
          </w:tcPr>
          <w:p>
            <w:pPr>
              <w:spacing w:line="240" w:lineRule="exact"/>
              <w:jc w:val="center"/>
              <w:rPr>
                <w:rFonts w:hint="default" w:ascii="宋体" w:eastAsia="宋体" w:cs="宋体"/>
                <w:lang w:val="en-US" w:eastAsia="zh-CN"/>
              </w:rPr>
            </w:pPr>
            <w:r>
              <w:rPr>
                <w:rFonts w:hint="eastAsia" w:ascii="宋体" w:cs="宋体"/>
                <w:lang w:val="en-US" w:eastAsia="zh-CN"/>
              </w:rPr>
              <w:t>90分</w:t>
            </w:r>
          </w:p>
        </w:tc>
        <w:tc>
          <w:tcPr>
            <w:tcW w:w="500" w:type="pct"/>
            <w:tcMar>
              <w:top w:w="10" w:type="dxa"/>
              <w:left w:w="10" w:type="dxa"/>
              <w:bottom w:w="0" w:type="dxa"/>
              <w:right w:w="10" w:type="dxa"/>
            </w:tcMar>
            <w:vAlign w:val="center"/>
          </w:tcPr>
          <w:p>
            <w:pPr>
              <w:spacing w:line="240" w:lineRule="exact"/>
              <w:jc w:val="center"/>
              <w:rPr>
                <w:rFonts w:ascii="宋体" w:cs="宋体"/>
              </w:rPr>
            </w:pPr>
          </w:p>
        </w:tc>
        <w:tc>
          <w:tcPr>
            <w:tcW w:w="375" w:type="pct"/>
          </w:tcPr>
          <w:p>
            <w:pPr>
              <w:tabs>
                <w:tab w:val="left" w:pos="2604"/>
              </w:tabs>
              <w:spacing w:line="240" w:lineRule="exact"/>
              <w:ind w:left="105" w:leftChars="50" w:right="105" w:rightChars="50" w:firstLine="96" w:firstLineChars="46"/>
              <w:rPr>
                <w:rFonts w:ascii="宋体" w:cs="宋体"/>
              </w:rPr>
            </w:pP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p>
        </w:tc>
      </w:tr>
    </w:tbl>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sectPr>
      <w:headerReference r:id="rId3" w:type="default"/>
      <w:footerReference r:id="rId4" w:type="default"/>
      <w:pgSz w:w="11907" w:h="16839"/>
      <w:pgMar w:top="1440" w:right="1797" w:bottom="1440" w:left="1797" w:header="1134"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15DCC7-2163-471F-9FBA-768210E835A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2" w:fontKey="{174AD9EA-54D9-40E7-8E9C-3D0464D94B57}"/>
  </w:font>
  <w:font w:name="仿宋_GB2312">
    <w:panose1 w:val="02010609030101010101"/>
    <w:charset w:val="86"/>
    <w:family w:val="modern"/>
    <w:pitch w:val="default"/>
    <w:sig w:usb0="00000001" w:usb1="080E0000" w:usb2="00000000" w:usb3="00000000" w:csb0="00040000" w:csb1="00000000"/>
    <w:embedRegular r:id="rId3" w:fontKey="{ED268DFA-5BC2-48D9-AF3F-1A6922BDC664}"/>
  </w:font>
  <w:font w:name="方正小标宋简体">
    <w:panose1 w:val="03000509000000000000"/>
    <w:charset w:val="86"/>
    <w:family w:val="auto"/>
    <w:pitch w:val="default"/>
    <w:sig w:usb0="00000001" w:usb1="080E0000" w:usb2="00000000" w:usb3="00000000" w:csb0="00040000" w:csb1="00000000"/>
    <w:embedRegular r:id="rId4" w:fontKey="{BB112E6C-1503-4F9F-92CF-3A457292B8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pStyle w:val="6"/>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D2TH3RAAAAAwEAAA8AAAAAAAAAAQAgAAAAIgAAAGRycy9kb3du&#10;cmV2LnhtbFBLAQIUABQAAAAIAIdO4kA2/rymzQEAAJcDAAAOAAAAAAAAAAEAIAAAACABAABkcnMv&#10;ZTJvRG9jLnhtbFBLBQYAAAAABgAGAFkBAABfBQAAAAA=&#10;">
              <v:fill on="f" focussize="0,0"/>
              <v:stroke on="f"/>
              <v:imagedata o:title=""/>
              <o:lock v:ext="edit" aspectratio="f"/>
              <v:textbox inset="0mm,0mm,0mm,0mm" style="mso-fit-shape-to-text:t;">
                <w:txbxContent>
                  <w:p>
                    <w:pPr>
                      <w:pStyle w:val="6"/>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0YjU4NTBjZjI5MWY2MDY0NThjNDVkYjYwNGQ2MzIifQ=="/>
  </w:docVars>
  <w:rsids>
    <w:rsidRoot w:val="00B31492"/>
    <w:rsid w:val="0000576B"/>
    <w:rsid w:val="0000765B"/>
    <w:rsid w:val="00015C04"/>
    <w:rsid w:val="00022090"/>
    <w:rsid w:val="00027999"/>
    <w:rsid w:val="00040749"/>
    <w:rsid w:val="00044ABC"/>
    <w:rsid w:val="00054DD5"/>
    <w:rsid w:val="000722B9"/>
    <w:rsid w:val="00073416"/>
    <w:rsid w:val="00080EF1"/>
    <w:rsid w:val="000900F1"/>
    <w:rsid w:val="00091451"/>
    <w:rsid w:val="0009535D"/>
    <w:rsid w:val="000A1134"/>
    <w:rsid w:val="000A5544"/>
    <w:rsid w:val="000B301B"/>
    <w:rsid w:val="000B5306"/>
    <w:rsid w:val="000C10FB"/>
    <w:rsid w:val="000C4D3C"/>
    <w:rsid w:val="000C731D"/>
    <w:rsid w:val="000D0F40"/>
    <w:rsid w:val="000D5127"/>
    <w:rsid w:val="000D57CB"/>
    <w:rsid w:val="000D747F"/>
    <w:rsid w:val="000E0B2B"/>
    <w:rsid w:val="000E2985"/>
    <w:rsid w:val="000E36C4"/>
    <w:rsid w:val="000E3F10"/>
    <w:rsid w:val="000E4EF8"/>
    <w:rsid w:val="000E57AB"/>
    <w:rsid w:val="0011120E"/>
    <w:rsid w:val="00117CF4"/>
    <w:rsid w:val="00123970"/>
    <w:rsid w:val="00131B2C"/>
    <w:rsid w:val="00134C35"/>
    <w:rsid w:val="00135095"/>
    <w:rsid w:val="00140798"/>
    <w:rsid w:val="00145A11"/>
    <w:rsid w:val="00145E64"/>
    <w:rsid w:val="0015632B"/>
    <w:rsid w:val="00163FD1"/>
    <w:rsid w:val="0016625A"/>
    <w:rsid w:val="00173782"/>
    <w:rsid w:val="001835CC"/>
    <w:rsid w:val="0019211B"/>
    <w:rsid w:val="001944C9"/>
    <w:rsid w:val="001A58D4"/>
    <w:rsid w:val="001B113D"/>
    <w:rsid w:val="001B3C1E"/>
    <w:rsid w:val="001C0145"/>
    <w:rsid w:val="001C3048"/>
    <w:rsid w:val="001C40F4"/>
    <w:rsid w:val="001C575F"/>
    <w:rsid w:val="001C5833"/>
    <w:rsid w:val="001D55E5"/>
    <w:rsid w:val="001D62E0"/>
    <w:rsid w:val="001E0A51"/>
    <w:rsid w:val="001F1A3F"/>
    <w:rsid w:val="001F1E9B"/>
    <w:rsid w:val="0020112F"/>
    <w:rsid w:val="002049ED"/>
    <w:rsid w:val="002063CE"/>
    <w:rsid w:val="00230CBD"/>
    <w:rsid w:val="002342D8"/>
    <w:rsid w:val="00247245"/>
    <w:rsid w:val="00252C84"/>
    <w:rsid w:val="0025648E"/>
    <w:rsid w:val="00275A2B"/>
    <w:rsid w:val="00283D7B"/>
    <w:rsid w:val="00292015"/>
    <w:rsid w:val="002931ED"/>
    <w:rsid w:val="002A3B44"/>
    <w:rsid w:val="002A4853"/>
    <w:rsid w:val="002A5CDE"/>
    <w:rsid w:val="002B12AA"/>
    <w:rsid w:val="002B32F1"/>
    <w:rsid w:val="002B6F7B"/>
    <w:rsid w:val="002C1348"/>
    <w:rsid w:val="002C7776"/>
    <w:rsid w:val="002C7EC5"/>
    <w:rsid w:val="002D1084"/>
    <w:rsid w:val="002D6947"/>
    <w:rsid w:val="002F3512"/>
    <w:rsid w:val="002F5762"/>
    <w:rsid w:val="0030782F"/>
    <w:rsid w:val="00311298"/>
    <w:rsid w:val="00331FAC"/>
    <w:rsid w:val="00336322"/>
    <w:rsid w:val="00340884"/>
    <w:rsid w:val="00347C80"/>
    <w:rsid w:val="00350547"/>
    <w:rsid w:val="00350A4D"/>
    <w:rsid w:val="00352D01"/>
    <w:rsid w:val="00355435"/>
    <w:rsid w:val="00360129"/>
    <w:rsid w:val="00366764"/>
    <w:rsid w:val="00366EE2"/>
    <w:rsid w:val="00372EF3"/>
    <w:rsid w:val="003948BE"/>
    <w:rsid w:val="003A190D"/>
    <w:rsid w:val="003A2BF3"/>
    <w:rsid w:val="003A53A5"/>
    <w:rsid w:val="003A7E51"/>
    <w:rsid w:val="003B5FA6"/>
    <w:rsid w:val="003B658E"/>
    <w:rsid w:val="003B7FAA"/>
    <w:rsid w:val="003C7C2B"/>
    <w:rsid w:val="003D29D9"/>
    <w:rsid w:val="003E72EB"/>
    <w:rsid w:val="003F19D9"/>
    <w:rsid w:val="003F35EB"/>
    <w:rsid w:val="003F5F53"/>
    <w:rsid w:val="003F73B4"/>
    <w:rsid w:val="00414B84"/>
    <w:rsid w:val="004212AA"/>
    <w:rsid w:val="004215E8"/>
    <w:rsid w:val="00440DA9"/>
    <w:rsid w:val="004515AD"/>
    <w:rsid w:val="00455622"/>
    <w:rsid w:val="00455834"/>
    <w:rsid w:val="00460940"/>
    <w:rsid w:val="00461D77"/>
    <w:rsid w:val="00462455"/>
    <w:rsid w:val="00464B98"/>
    <w:rsid w:val="0046525C"/>
    <w:rsid w:val="00467029"/>
    <w:rsid w:val="00467BC3"/>
    <w:rsid w:val="00467EF2"/>
    <w:rsid w:val="00471464"/>
    <w:rsid w:val="00473533"/>
    <w:rsid w:val="0047675A"/>
    <w:rsid w:val="004778F7"/>
    <w:rsid w:val="004927D2"/>
    <w:rsid w:val="00492B9B"/>
    <w:rsid w:val="00493F4C"/>
    <w:rsid w:val="004A303E"/>
    <w:rsid w:val="004A6D78"/>
    <w:rsid w:val="004B1A54"/>
    <w:rsid w:val="004C27E5"/>
    <w:rsid w:val="004D1774"/>
    <w:rsid w:val="004D17DD"/>
    <w:rsid w:val="004D6E5E"/>
    <w:rsid w:val="004E1C5B"/>
    <w:rsid w:val="004E5938"/>
    <w:rsid w:val="004E7365"/>
    <w:rsid w:val="004F5CC3"/>
    <w:rsid w:val="005029FA"/>
    <w:rsid w:val="005120D4"/>
    <w:rsid w:val="0051663A"/>
    <w:rsid w:val="005260E1"/>
    <w:rsid w:val="00527A87"/>
    <w:rsid w:val="00532E16"/>
    <w:rsid w:val="00534320"/>
    <w:rsid w:val="00536EFD"/>
    <w:rsid w:val="00541E92"/>
    <w:rsid w:val="00551F05"/>
    <w:rsid w:val="00561B93"/>
    <w:rsid w:val="00562E2F"/>
    <w:rsid w:val="005673CE"/>
    <w:rsid w:val="00567819"/>
    <w:rsid w:val="00573400"/>
    <w:rsid w:val="00576326"/>
    <w:rsid w:val="00580167"/>
    <w:rsid w:val="00582E1A"/>
    <w:rsid w:val="005919FA"/>
    <w:rsid w:val="00593C92"/>
    <w:rsid w:val="005A1A08"/>
    <w:rsid w:val="005A433C"/>
    <w:rsid w:val="005A6BE1"/>
    <w:rsid w:val="005A7B28"/>
    <w:rsid w:val="005B2710"/>
    <w:rsid w:val="005C3E6E"/>
    <w:rsid w:val="005C6524"/>
    <w:rsid w:val="005D153C"/>
    <w:rsid w:val="005D7D3B"/>
    <w:rsid w:val="005E00E8"/>
    <w:rsid w:val="005E28B1"/>
    <w:rsid w:val="005F253D"/>
    <w:rsid w:val="006049B8"/>
    <w:rsid w:val="006127F6"/>
    <w:rsid w:val="00615B61"/>
    <w:rsid w:val="006179F6"/>
    <w:rsid w:val="00620354"/>
    <w:rsid w:val="00620B87"/>
    <w:rsid w:val="00622068"/>
    <w:rsid w:val="006224CF"/>
    <w:rsid w:val="00635C4C"/>
    <w:rsid w:val="00644573"/>
    <w:rsid w:val="00657147"/>
    <w:rsid w:val="006611E6"/>
    <w:rsid w:val="00662342"/>
    <w:rsid w:val="00663274"/>
    <w:rsid w:val="00665EDA"/>
    <w:rsid w:val="0067028C"/>
    <w:rsid w:val="00673791"/>
    <w:rsid w:val="006819E5"/>
    <w:rsid w:val="00682504"/>
    <w:rsid w:val="00696039"/>
    <w:rsid w:val="006B1373"/>
    <w:rsid w:val="006B241E"/>
    <w:rsid w:val="006C3681"/>
    <w:rsid w:val="006E3D80"/>
    <w:rsid w:val="006E44A5"/>
    <w:rsid w:val="006E4909"/>
    <w:rsid w:val="006F3690"/>
    <w:rsid w:val="00706732"/>
    <w:rsid w:val="0070749B"/>
    <w:rsid w:val="00712F25"/>
    <w:rsid w:val="00723BF8"/>
    <w:rsid w:val="00723F2E"/>
    <w:rsid w:val="0072712F"/>
    <w:rsid w:val="00732A99"/>
    <w:rsid w:val="007418B5"/>
    <w:rsid w:val="00744462"/>
    <w:rsid w:val="007476FC"/>
    <w:rsid w:val="00756BD7"/>
    <w:rsid w:val="00776107"/>
    <w:rsid w:val="0078256C"/>
    <w:rsid w:val="00782AE4"/>
    <w:rsid w:val="00786AE5"/>
    <w:rsid w:val="0079503D"/>
    <w:rsid w:val="007A646A"/>
    <w:rsid w:val="007A6BE0"/>
    <w:rsid w:val="007B4AC5"/>
    <w:rsid w:val="007B7B94"/>
    <w:rsid w:val="007C55B1"/>
    <w:rsid w:val="007D672B"/>
    <w:rsid w:val="007E63E6"/>
    <w:rsid w:val="007E69ED"/>
    <w:rsid w:val="007F0BE7"/>
    <w:rsid w:val="007F0C00"/>
    <w:rsid w:val="007F1081"/>
    <w:rsid w:val="007F1083"/>
    <w:rsid w:val="007F6C4B"/>
    <w:rsid w:val="007F6CBF"/>
    <w:rsid w:val="00810FAF"/>
    <w:rsid w:val="00815CCC"/>
    <w:rsid w:val="00820013"/>
    <w:rsid w:val="00821B72"/>
    <w:rsid w:val="008267BE"/>
    <w:rsid w:val="00837E36"/>
    <w:rsid w:val="008403BE"/>
    <w:rsid w:val="008441C6"/>
    <w:rsid w:val="008512EA"/>
    <w:rsid w:val="00851B4E"/>
    <w:rsid w:val="0085218E"/>
    <w:rsid w:val="008624AD"/>
    <w:rsid w:val="008654E7"/>
    <w:rsid w:val="00867BA9"/>
    <w:rsid w:val="00872997"/>
    <w:rsid w:val="00872F78"/>
    <w:rsid w:val="00876E9D"/>
    <w:rsid w:val="0088077B"/>
    <w:rsid w:val="00882F2B"/>
    <w:rsid w:val="0088593E"/>
    <w:rsid w:val="00887B1E"/>
    <w:rsid w:val="008905EF"/>
    <w:rsid w:val="00893A99"/>
    <w:rsid w:val="00897195"/>
    <w:rsid w:val="008A281B"/>
    <w:rsid w:val="008B1B10"/>
    <w:rsid w:val="008B4D0A"/>
    <w:rsid w:val="008B6109"/>
    <w:rsid w:val="008C027C"/>
    <w:rsid w:val="008C1252"/>
    <w:rsid w:val="008D0C29"/>
    <w:rsid w:val="008D275B"/>
    <w:rsid w:val="008D638C"/>
    <w:rsid w:val="008E7345"/>
    <w:rsid w:val="008F16D3"/>
    <w:rsid w:val="008F53CE"/>
    <w:rsid w:val="008F553D"/>
    <w:rsid w:val="00905316"/>
    <w:rsid w:val="00911DA7"/>
    <w:rsid w:val="00912398"/>
    <w:rsid w:val="00936154"/>
    <w:rsid w:val="00936C27"/>
    <w:rsid w:val="00940854"/>
    <w:rsid w:val="009445E0"/>
    <w:rsid w:val="00951EB4"/>
    <w:rsid w:val="009578ED"/>
    <w:rsid w:val="00962BF2"/>
    <w:rsid w:val="009639BD"/>
    <w:rsid w:val="00963E1B"/>
    <w:rsid w:val="00973951"/>
    <w:rsid w:val="0097405B"/>
    <w:rsid w:val="00974599"/>
    <w:rsid w:val="00985C91"/>
    <w:rsid w:val="00986CA5"/>
    <w:rsid w:val="00987D07"/>
    <w:rsid w:val="009B59C2"/>
    <w:rsid w:val="009C2D90"/>
    <w:rsid w:val="009C46DD"/>
    <w:rsid w:val="009C5D27"/>
    <w:rsid w:val="009D10B9"/>
    <w:rsid w:val="009D5685"/>
    <w:rsid w:val="009D57F3"/>
    <w:rsid w:val="009E6232"/>
    <w:rsid w:val="009F64FB"/>
    <w:rsid w:val="009F7575"/>
    <w:rsid w:val="00A014B9"/>
    <w:rsid w:val="00A0262A"/>
    <w:rsid w:val="00A25E38"/>
    <w:rsid w:val="00A324D4"/>
    <w:rsid w:val="00A32712"/>
    <w:rsid w:val="00A354B0"/>
    <w:rsid w:val="00A46247"/>
    <w:rsid w:val="00A462AF"/>
    <w:rsid w:val="00A533B0"/>
    <w:rsid w:val="00A56338"/>
    <w:rsid w:val="00A70D33"/>
    <w:rsid w:val="00A71BB7"/>
    <w:rsid w:val="00A72C2E"/>
    <w:rsid w:val="00A84FFE"/>
    <w:rsid w:val="00A92BA5"/>
    <w:rsid w:val="00A93F07"/>
    <w:rsid w:val="00AB22ED"/>
    <w:rsid w:val="00AB3024"/>
    <w:rsid w:val="00AB3869"/>
    <w:rsid w:val="00AC4C5B"/>
    <w:rsid w:val="00AC564C"/>
    <w:rsid w:val="00AD1A92"/>
    <w:rsid w:val="00AD5397"/>
    <w:rsid w:val="00AD6549"/>
    <w:rsid w:val="00AE1247"/>
    <w:rsid w:val="00AF00C6"/>
    <w:rsid w:val="00AF5133"/>
    <w:rsid w:val="00B02E40"/>
    <w:rsid w:val="00B14E06"/>
    <w:rsid w:val="00B217A7"/>
    <w:rsid w:val="00B31492"/>
    <w:rsid w:val="00B32B67"/>
    <w:rsid w:val="00B32F54"/>
    <w:rsid w:val="00B346D2"/>
    <w:rsid w:val="00B43DFD"/>
    <w:rsid w:val="00B4618B"/>
    <w:rsid w:val="00B5643B"/>
    <w:rsid w:val="00B57E3F"/>
    <w:rsid w:val="00B65CD6"/>
    <w:rsid w:val="00B66F03"/>
    <w:rsid w:val="00B712BB"/>
    <w:rsid w:val="00B72C80"/>
    <w:rsid w:val="00B75D17"/>
    <w:rsid w:val="00B84948"/>
    <w:rsid w:val="00B84CC2"/>
    <w:rsid w:val="00B8516C"/>
    <w:rsid w:val="00BA03BD"/>
    <w:rsid w:val="00BA788E"/>
    <w:rsid w:val="00BC20DD"/>
    <w:rsid w:val="00BC6D95"/>
    <w:rsid w:val="00BC7932"/>
    <w:rsid w:val="00BD2E88"/>
    <w:rsid w:val="00BD405F"/>
    <w:rsid w:val="00BE0554"/>
    <w:rsid w:val="00BE06DD"/>
    <w:rsid w:val="00BE408A"/>
    <w:rsid w:val="00BE7B6C"/>
    <w:rsid w:val="00BF3B38"/>
    <w:rsid w:val="00C15A6D"/>
    <w:rsid w:val="00C22BD8"/>
    <w:rsid w:val="00C24CE7"/>
    <w:rsid w:val="00C25511"/>
    <w:rsid w:val="00C44090"/>
    <w:rsid w:val="00C66C3E"/>
    <w:rsid w:val="00C84862"/>
    <w:rsid w:val="00C84865"/>
    <w:rsid w:val="00CA0567"/>
    <w:rsid w:val="00CB1093"/>
    <w:rsid w:val="00CB28F5"/>
    <w:rsid w:val="00CB586D"/>
    <w:rsid w:val="00CB6201"/>
    <w:rsid w:val="00CB64C4"/>
    <w:rsid w:val="00CC087A"/>
    <w:rsid w:val="00CC2304"/>
    <w:rsid w:val="00CC30AE"/>
    <w:rsid w:val="00CC450D"/>
    <w:rsid w:val="00CC60BF"/>
    <w:rsid w:val="00CE0E0E"/>
    <w:rsid w:val="00CE3D2D"/>
    <w:rsid w:val="00CF0D45"/>
    <w:rsid w:val="00CF2F2D"/>
    <w:rsid w:val="00CF67BD"/>
    <w:rsid w:val="00CF67DB"/>
    <w:rsid w:val="00D046B5"/>
    <w:rsid w:val="00D15FEF"/>
    <w:rsid w:val="00D238EE"/>
    <w:rsid w:val="00D2549D"/>
    <w:rsid w:val="00D276E1"/>
    <w:rsid w:val="00D31D53"/>
    <w:rsid w:val="00D329E3"/>
    <w:rsid w:val="00D3432B"/>
    <w:rsid w:val="00D368B6"/>
    <w:rsid w:val="00D45CBE"/>
    <w:rsid w:val="00D46713"/>
    <w:rsid w:val="00D46F00"/>
    <w:rsid w:val="00D477A8"/>
    <w:rsid w:val="00D516DD"/>
    <w:rsid w:val="00D527A1"/>
    <w:rsid w:val="00D7722A"/>
    <w:rsid w:val="00D91E94"/>
    <w:rsid w:val="00D92CF5"/>
    <w:rsid w:val="00D93FBB"/>
    <w:rsid w:val="00D97C4A"/>
    <w:rsid w:val="00DA1265"/>
    <w:rsid w:val="00DA3C6C"/>
    <w:rsid w:val="00DA6269"/>
    <w:rsid w:val="00DB40E7"/>
    <w:rsid w:val="00DB5F91"/>
    <w:rsid w:val="00DC3E91"/>
    <w:rsid w:val="00DD29AE"/>
    <w:rsid w:val="00DD2A0E"/>
    <w:rsid w:val="00DD5B5F"/>
    <w:rsid w:val="00DD7C43"/>
    <w:rsid w:val="00DE2956"/>
    <w:rsid w:val="00E03477"/>
    <w:rsid w:val="00E051C2"/>
    <w:rsid w:val="00E12376"/>
    <w:rsid w:val="00E14B8C"/>
    <w:rsid w:val="00E17C65"/>
    <w:rsid w:val="00E24B6E"/>
    <w:rsid w:val="00E2539C"/>
    <w:rsid w:val="00E258B9"/>
    <w:rsid w:val="00E30DDC"/>
    <w:rsid w:val="00E37910"/>
    <w:rsid w:val="00E51D89"/>
    <w:rsid w:val="00E55A88"/>
    <w:rsid w:val="00E65A87"/>
    <w:rsid w:val="00E679DF"/>
    <w:rsid w:val="00E83671"/>
    <w:rsid w:val="00E865BE"/>
    <w:rsid w:val="00E872F7"/>
    <w:rsid w:val="00E90AE8"/>
    <w:rsid w:val="00EA28D3"/>
    <w:rsid w:val="00EB0201"/>
    <w:rsid w:val="00EB06F6"/>
    <w:rsid w:val="00EB0D38"/>
    <w:rsid w:val="00ED7329"/>
    <w:rsid w:val="00EE164F"/>
    <w:rsid w:val="00EE2E89"/>
    <w:rsid w:val="00EF3D96"/>
    <w:rsid w:val="00F14649"/>
    <w:rsid w:val="00F2232D"/>
    <w:rsid w:val="00F32CCF"/>
    <w:rsid w:val="00F349D7"/>
    <w:rsid w:val="00F35540"/>
    <w:rsid w:val="00F40986"/>
    <w:rsid w:val="00F522E1"/>
    <w:rsid w:val="00F85846"/>
    <w:rsid w:val="00F92DBA"/>
    <w:rsid w:val="00F95F8C"/>
    <w:rsid w:val="00FA734B"/>
    <w:rsid w:val="00FA7C92"/>
    <w:rsid w:val="00FB536E"/>
    <w:rsid w:val="00FC32CC"/>
    <w:rsid w:val="00FF141D"/>
    <w:rsid w:val="00FF32B9"/>
    <w:rsid w:val="017851C6"/>
    <w:rsid w:val="017A0458"/>
    <w:rsid w:val="01B60E76"/>
    <w:rsid w:val="01FC08A3"/>
    <w:rsid w:val="033D721B"/>
    <w:rsid w:val="03631ADA"/>
    <w:rsid w:val="03721629"/>
    <w:rsid w:val="040A0ABD"/>
    <w:rsid w:val="0470331E"/>
    <w:rsid w:val="04AB5E07"/>
    <w:rsid w:val="04F827CB"/>
    <w:rsid w:val="052218A9"/>
    <w:rsid w:val="055B059B"/>
    <w:rsid w:val="055C757F"/>
    <w:rsid w:val="0578569D"/>
    <w:rsid w:val="05CF6062"/>
    <w:rsid w:val="061C763A"/>
    <w:rsid w:val="063615A1"/>
    <w:rsid w:val="068F337D"/>
    <w:rsid w:val="0733320C"/>
    <w:rsid w:val="081568B5"/>
    <w:rsid w:val="087676FA"/>
    <w:rsid w:val="093141F9"/>
    <w:rsid w:val="099A26A5"/>
    <w:rsid w:val="09E35157"/>
    <w:rsid w:val="09F54CD6"/>
    <w:rsid w:val="0A565F02"/>
    <w:rsid w:val="0B3D25EC"/>
    <w:rsid w:val="0C074E58"/>
    <w:rsid w:val="0CB91541"/>
    <w:rsid w:val="0CE762C8"/>
    <w:rsid w:val="0D470847"/>
    <w:rsid w:val="0D833CC3"/>
    <w:rsid w:val="0DC0642E"/>
    <w:rsid w:val="0E3E79BE"/>
    <w:rsid w:val="0E465D80"/>
    <w:rsid w:val="0E62446D"/>
    <w:rsid w:val="0E8128AD"/>
    <w:rsid w:val="0EE85134"/>
    <w:rsid w:val="0FC25973"/>
    <w:rsid w:val="105B502F"/>
    <w:rsid w:val="10722829"/>
    <w:rsid w:val="10E44496"/>
    <w:rsid w:val="110E6A3F"/>
    <w:rsid w:val="112359C1"/>
    <w:rsid w:val="11346BB9"/>
    <w:rsid w:val="115642ED"/>
    <w:rsid w:val="1230033C"/>
    <w:rsid w:val="12677DBA"/>
    <w:rsid w:val="128F7CF2"/>
    <w:rsid w:val="130951AC"/>
    <w:rsid w:val="13476BCA"/>
    <w:rsid w:val="134F09D1"/>
    <w:rsid w:val="13CD7430"/>
    <w:rsid w:val="14B14FF7"/>
    <w:rsid w:val="14B619A1"/>
    <w:rsid w:val="14FB53C0"/>
    <w:rsid w:val="150671B1"/>
    <w:rsid w:val="15311591"/>
    <w:rsid w:val="1558296C"/>
    <w:rsid w:val="156D4F4D"/>
    <w:rsid w:val="162D156A"/>
    <w:rsid w:val="1765329C"/>
    <w:rsid w:val="19A17D34"/>
    <w:rsid w:val="1A4935A8"/>
    <w:rsid w:val="1AD436C1"/>
    <w:rsid w:val="1B07763C"/>
    <w:rsid w:val="1B0B46A1"/>
    <w:rsid w:val="1BB64F82"/>
    <w:rsid w:val="1BF3164C"/>
    <w:rsid w:val="1C032D7E"/>
    <w:rsid w:val="1C2806C3"/>
    <w:rsid w:val="1C66658E"/>
    <w:rsid w:val="1C86422F"/>
    <w:rsid w:val="1C8875C2"/>
    <w:rsid w:val="1C8879B4"/>
    <w:rsid w:val="1CB259F0"/>
    <w:rsid w:val="1DAC2903"/>
    <w:rsid w:val="1E665C27"/>
    <w:rsid w:val="1E960A5A"/>
    <w:rsid w:val="1F76584A"/>
    <w:rsid w:val="1F881881"/>
    <w:rsid w:val="1FEA5F80"/>
    <w:rsid w:val="200D3D4A"/>
    <w:rsid w:val="207D3E14"/>
    <w:rsid w:val="20D1077A"/>
    <w:rsid w:val="215B4B6E"/>
    <w:rsid w:val="216A0283"/>
    <w:rsid w:val="229D1F54"/>
    <w:rsid w:val="22EE79A4"/>
    <w:rsid w:val="22F21DC3"/>
    <w:rsid w:val="23226D95"/>
    <w:rsid w:val="240C3E58"/>
    <w:rsid w:val="249B048C"/>
    <w:rsid w:val="24CC6B72"/>
    <w:rsid w:val="250118B0"/>
    <w:rsid w:val="252D68F9"/>
    <w:rsid w:val="2554611C"/>
    <w:rsid w:val="26123B3D"/>
    <w:rsid w:val="262F0F1B"/>
    <w:rsid w:val="265C03E0"/>
    <w:rsid w:val="26A74346"/>
    <w:rsid w:val="273006B0"/>
    <w:rsid w:val="27EC37D2"/>
    <w:rsid w:val="27F024AF"/>
    <w:rsid w:val="27F84F81"/>
    <w:rsid w:val="27FD2479"/>
    <w:rsid w:val="280B3E7F"/>
    <w:rsid w:val="280B4B23"/>
    <w:rsid w:val="2851004E"/>
    <w:rsid w:val="28575C44"/>
    <w:rsid w:val="285D2309"/>
    <w:rsid w:val="287E6941"/>
    <w:rsid w:val="290F35A8"/>
    <w:rsid w:val="2926329E"/>
    <w:rsid w:val="295321C8"/>
    <w:rsid w:val="297067D9"/>
    <w:rsid w:val="2AA35D6F"/>
    <w:rsid w:val="2AB52C7C"/>
    <w:rsid w:val="2B415103"/>
    <w:rsid w:val="2B581D66"/>
    <w:rsid w:val="2B76406C"/>
    <w:rsid w:val="2BA03B6A"/>
    <w:rsid w:val="2BA801E5"/>
    <w:rsid w:val="2BF14481"/>
    <w:rsid w:val="2D5955B4"/>
    <w:rsid w:val="2DCB436E"/>
    <w:rsid w:val="2DE05B04"/>
    <w:rsid w:val="2E1B5892"/>
    <w:rsid w:val="2E2F3BA1"/>
    <w:rsid w:val="2F2B3F19"/>
    <w:rsid w:val="2F3E02A1"/>
    <w:rsid w:val="2F876D2C"/>
    <w:rsid w:val="2FAE65EC"/>
    <w:rsid w:val="312C67A7"/>
    <w:rsid w:val="33260A5E"/>
    <w:rsid w:val="336E6ACD"/>
    <w:rsid w:val="33D120D7"/>
    <w:rsid w:val="34A758FF"/>
    <w:rsid w:val="358778C8"/>
    <w:rsid w:val="35955B8E"/>
    <w:rsid w:val="35D07222"/>
    <w:rsid w:val="35EF5204"/>
    <w:rsid w:val="35F52F65"/>
    <w:rsid w:val="363C7D0D"/>
    <w:rsid w:val="36A2445A"/>
    <w:rsid w:val="374C2B2E"/>
    <w:rsid w:val="37967102"/>
    <w:rsid w:val="37BF3CB2"/>
    <w:rsid w:val="37DB6523"/>
    <w:rsid w:val="387A0A59"/>
    <w:rsid w:val="388B2DF3"/>
    <w:rsid w:val="38F65C6C"/>
    <w:rsid w:val="395B7471"/>
    <w:rsid w:val="396D68CF"/>
    <w:rsid w:val="3A8F4AE5"/>
    <w:rsid w:val="3B5409BF"/>
    <w:rsid w:val="3B680449"/>
    <w:rsid w:val="3B743F5C"/>
    <w:rsid w:val="3BE94DB1"/>
    <w:rsid w:val="3C346509"/>
    <w:rsid w:val="3C632DF4"/>
    <w:rsid w:val="3C991AAE"/>
    <w:rsid w:val="3D474727"/>
    <w:rsid w:val="3DAA0380"/>
    <w:rsid w:val="3DB10B5C"/>
    <w:rsid w:val="3E28754B"/>
    <w:rsid w:val="3F0F3B88"/>
    <w:rsid w:val="3F320F34"/>
    <w:rsid w:val="40EA7C23"/>
    <w:rsid w:val="413A3F00"/>
    <w:rsid w:val="41595488"/>
    <w:rsid w:val="416F3E63"/>
    <w:rsid w:val="41934CF8"/>
    <w:rsid w:val="41CD4AC0"/>
    <w:rsid w:val="41DB333E"/>
    <w:rsid w:val="420F1BBE"/>
    <w:rsid w:val="42641245"/>
    <w:rsid w:val="44EB0D89"/>
    <w:rsid w:val="452847E4"/>
    <w:rsid w:val="45316C44"/>
    <w:rsid w:val="45467A41"/>
    <w:rsid w:val="456E0AB1"/>
    <w:rsid w:val="459865A3"/>
    <w:rsid w:val="45D634C8"/>
    <w:rsid w:val="46A4182D"/>
    <w:rsid w:val="46E713B1"/>
    <w:rsid w:val="47A206B4"/>
    <w:rsid w:val="47E266EC"/>
    <w:rsid w:val="47F12C7A"/>
    <w:rsid w:val="4824151F"/>
    <w:rsid w:val="48CA0603"/>
    <w:rsid w:val="49214F13"/>
    <w:rsid w:val="49256DB2"/>
    <w:rsid w:val="49AC160F"/>
    <w:rsid w:val="4A114183"/>
    <w:rsid w:val="4A4A0EC5"/>
    <w:rsid w:val="4A5A3C1B"/>
    <w:rsid w:val="4AC95927"/>
    <w:rsid w:val="4AD06FF9"/>
    <w:rsid w:val="4B2C3FB9"/>
    <w:rsid w:val="4B362D73"/>
    <w:rsid w:val="4B5A002A"/>
    <w:rsid w:val="4BAD4D63"/>
    <w:rsid w:val="4C025F8C"/>
    <w:rsid w:val="4CBF1324"/>
    <w:rsid w:val="4D0A0C33"/>
    <w:rsid w:val="4DC0279A"/>
    <w:rsid w:val="4DE8734A"/>
    <w:rsid w:val="4E782B52"/>
    <w:rsid w:val="4EB35B3E"/>
    <w:rsid w:val="4ECF6883"/>
    <w:rsid w:val="4F356F0D"/>
    <w:rsid w:val="4F573995"/>
    <w:rsid w:val="50DD219B"/>
    <w:rsid w:val="514670E4"/>
    <w:rsid w:val="51967CDB"/>
    <w:rsid w:val="52154E23"/>
    <w:rsid w:val="523E5368"/>
    <w:rsid w:val="526F6B18"/>
    <w:rsid w:val="528323D3"/>
    <w:rsid w:val="530864C9"/>
    <w:rsid w:val="53432C6D"/>
    <w:rsid w:val="53F63CF0"/>
    <w:rsid w:val="54125E50"/>
    <w:rsid w:val="546569EF"/>
    <w:rsid w:val="549F1CE7"/>
    <w:rsid w:val="54C55939"/>
    <w:rsid w:val="55D6790C"/>
    <w:rsid w:val="56902CC1"/>
    <w:rsid w:val="56E033B2"/>
    <w:rsid w:val="56F21DB6"/>
    <w:rsid w:val="578C4CFE"/>
    <w:rsid w:val="57D30EF3"/>
    <w:rsid w:val="58107308"/>
    <w:rsid w:val="584824A6"/>
    <w:rsid w:val="58B8306E"/>
    <w:rsid w:val="59BA0C02"/>
    <w:rsid w:val="5A0F0191"/>
    <w:rsid w:val="5A357637"/>
    <w:rsid w:val="5A6D3339"/>
    <w:rsid w:val="5ACF34A9"/>
    <w:rsid w:val="5BAC4663"/>
    <w:rsid w:val="5CFB1D51"/>
    <w:rsid w:val="5D601129"/>
    <w:rsid w:val="5D8E1997"/>
    <w:rsid w:val="5DB623E8"/>
    <w:rsid w:val="5DD02850"/>
    <w:rsid w:val="5DDF7A88"/>
    <w:rsid w:val="5E1171EA"/>
    <w:rsid w:val="5E6F565B"/>
    <w:rsid w:val="5E8432C6"/>
    <w:rsid w:val="5F4A09BC"/>
    <w:rsid w:val="5FC57BB1"/>
    <w:rsid w:val="5FCB6F85"/>
    <w:rsid w:val="5FE81BFB"/>
    <w:rsid w:val="5FED128A"/>
    <w:rsid w:val="614E4113"/>
    <w:rsid w:val="619A43D0"/>
    <w:rsid w:val="61BA082B"/>
    <w:rsid w:val="61BF15F6"/>
    <w:rsid w:val="61C00E90"/>
    <w:rsid w:val="621F51C0"/>
    <w:rsid w:val="62FB16E5"/>
    <w:rsid w:val="6359707A"/>
    <w:rsid w:val="63850490"/>
    <w:rsid w:val="6406207C"/>
    <w:rsid w:val="647F33B5"/>
    <w:rsid w:val="648B6175"/>
    <w:rsid w:val="6520209E"/>
    <w:rsid w:val="66D166A2"/>
    <w:rsid w:val="67603F4C"/>
    <w:rsid w:val="67ED4E96"/>
    <w:rsid w:val="67F76E01"/>
    <w:rsid w:val="68757392"/>
    <w:rsid w:val="69402640"/>
    <w:rsid w:val="694E5DA8"/>
    <w:rsid w:val="6A1A637C"/>
    <w:rsid w:val="6AB05D5B"/>
    <w:rsid w:val="6B535152"/>
    <w:rsid w:val="6BFC024E"/>
    <w:rsid w:val="6D480FC3"/>
    <w:rsid w:val="6D9C004C"/>
    <w:rsid w:val="6DCD311C"/>
    <w:rsid w:val="6E9F12F5"/>
    <w:rsid w:val="6F1D5620"/>
    <w:rsid w:val="6F5407F4"/>
    <w:rsid w:val="6F9F20E2"/>
    <w:rsid w:val="6FB45EDA"/>
    <w:rsid w:val="70373012"/>
    <w:rsid w:val="7039065C"/>
    <w:rsid w:val="70E11CA8"/>
    <w:rsid w:val="70E176A7"/>
    <w:rsid w:val="711A118E"/>
    <w:rsid w:val="711D7258"/>
    <w:rsid w:val="71982D7F"/>
    <w:rsid w:val="72D06577"/>
    <w:rsid w:val="743F4A7D"/>
    <w:rsid w:val="74503B27"/>
    <w:rsid w:val="7457767C"/>
    <w:rsid w:val="75672C3A"/>
    <w:rsid w:val="756807C7"/>
    <w:rsid w:val="767D0555"/>
    <w:rsid w:val="768A5358"/>
    <w:rsid w:val="78122D90"/>
    <w:rsid w:val="782354D2"/>
    <w:rsid w:val="78272F1E"/>
    <w:rsid w:val="7833477B"/>
    <w:rsid w:val="786C351A"/>
    <w:rsid w:val="78896628"/>
    <w:rsid w:val="78B81DC9"/>
    <w:rsid w:val="79243DCA"/>
    <w:rsid w:val="79C54E29"/>
    <w:rsid w:val="79DA55A5"/>
    <w:rsid w:val="7A0C6344"/>
    <w:rsid w:val="7A5F0B02"/>
    <w:rsid w:val="7A7279BA"/>
    <w:rsid w:val="7BF22C25"/>
    <w:rsid w:val="7C4214E9"/>
    <w:rsid w:val="7C9A6CB0"/>
    <w:rsid w:val="7CA05DDC"/>
    <w:rsid w:val="7CC741DE"/>
    <w:rsid w:val="7DB25487"/>
    <w:rsid w:val="7DD73F51"/>
    <w:rsid w:val="7DE840BC"/>
    <w:rsid w:val="7E483F23"/>
    <w:rsid w:val="7F583FB9"/>
    <w:rsid w:val="7F59662A"/>
    <w:rsid w:val="7F5F62DB"/>
    <w:rsid w:val="7FDF232C"/>
    <w:rsid w:val="7FE94A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Date"/>
    <w:basedOn w:val="1"/>
    <w:next w:val="1"/>
    <w:qFormat/>
    <w:uiPriority w:val="0"/>
    <w:pPr>
      <w:ind w:left="100" w:leftChars="2500"/>
    </w:pPr>
  </w:style>
  <w:style w:type="paragraph" w:styleId="5">
    <w:name w:val="Balloon Text"/>
    <w:basedOn w:val="1"/>
    <w:link w:val="24"/>
    <w:qFormat/>
    <w:uiPriority w:val="0"/>
    <w:rPr>
      <w:sz w:val="18"/>
      <w:szCs w:val="18"/>
    </w:rPr>
  </w:style>
  <w:style w:type="paragraph" w:styleId="6">
    <w:name w:val="footer"/>
    <w:basedOn w:val="1"/>
    <w:link w:val="23"/>
    <w:qFormat/>
    <w:uiPriority w:val="99"/>
    <w:pPr>
      <w:tabs>
        <w:tab w:val="center" w:pos="4153"/>
        <w:tab w:val="right" w:pos="8306"/>
      </w:tabs>
      <w:snapToGrid w:val="0"/>
      <w:jc w:val="left"/>
    </w:pPr>
    <w:rPr>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qFormat/>
    <w:uiPriority w:val="0"/>
    <w:pPr>
      <w:widowControl w:val="0"/>
      <w:snapToGrid w:val="0"/>
    </w:pPr>
    <w:rPr>
      <w:rFonts w:ascii="Times New Roman" w:hAnsi="Times New Roman" w:eastAsia="宋体" w:cs="Times New Roman"/>
      <w:kern w:val="2"/>
      <w:sz w:val="18"/>
      <w:szCs w:val="18"/>
      <w:lang w:val="en-US" w:eastAsia="zh-CN" w:bidi="ar-SA"/>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FollowedHyperlink"/>
    <w:basedOn w:val="12"/>
    <w:qFormat/>
    <w:uiPriority w:val="0"/>
    <w:rPr>
      <w:color w:val="333333"/>
      <w:u w:val="none"/>
    </w:rPr>
  </w:style>
  <w:style w:type="character" w:styleId="16">
    <w:name w:val="Emphasis"/>
    <w:basedOn w:val="12"/>
    <w:qFormat/>
    <w:uiPriority w:val="20"/>
    <w:rPr>
      <w:i/>
      <w:iCs/>
    </w:rPr>
  </w:style>
  <w:style w:type="character" w:styleId="17">
    <w:name w:val="HTML Definition"/>
    <w:basedOn w:val="12"/>
    <w:qFormat/>
    <w:uiPriority w:val="0"/>
    <w:rPr>
      <w:i/>
      <w:iCs/>
    </w:rPr>
  </w:style>
  <w:style w:type="character" w:styleId="18">
    <w:name w:val="Hyperlink"/>
    <w:basedOn w:val="12"/>
    <w:qFormat/>
    <w:uiPriority w:val="0"/>
    <w:rPr>
      <w:color w:val="0000FF"/>
      <w:u w:val="single"/>
    </w:rPr>
  </w:style>
  <w:style w:type="character" w:styleId="19">
    <w:name w:val="HTML Code"/>
    <w:basedOn w:val="12"/>
    <w:qFormat/>
    <w:uiPriority w:val="0"/>
    <w:rPr>
      <w:rFonts w:hint="default" w:ascii="Consolas" w:hAnsi="Consolas" w:eastAsia="Consolas" w:cs="Consolas"/>
      <w:color w:val="C7254E"/>
      <w:sz w:val="21"/>
      <w:szCs w:val="21"/>
      <w:shd w:val="clear" w:fill="F9F2F4"/>
    </w:rPr>
  </w:style>
  <w:style w:type="character" w:styleId="20">
    <w:name w:val="footnote reference"/>
    <w:qFormat/>
    <w:uiPriority w:val="0"/>
    <w:rPr>
      <w:vertAlign w:val="superscript"/>
    </w:rPr>
  </w:style>
  <w:style w:type="character" w:styleId="21">
    <w:name w:val="HTML Keyboard"/>
    <w:basedOn w:val="12"/>
    <w:qFormat/>
    <w:uiPriority w:val="0"/>
    <w:rPr>
      <w:rFonts w:hint="default" w:ascii="Consolas" w:hAnsi="Consolas" w:eastAsia="Consolas" w:cs="Consolas"/>
      <w:color w:val="FFFFFF"/>
      <w:sz w:val="21"/>
      <w:szCs w:val="21"/>
      <w:shd w:val="clear" w:fill="333333"/>
    </w:rPr>
  </w:style>
  <w:style w:type="character" w:styleId="22">
    <w:name w:val="HTML Sample"/>
    <w:basedOn w:val="12"/>
    <w:qFormat/>
    <w:uiPriority w:val="0"/>
    <w:rPr>
      <w:rFonts w:ascii="Consolas" w:hAnsi="Consolas" w:eastAsia="Consolas" w:cs="Consolas"/>
      <w:sz w:val="21"/>
      <w:szCs w:val="21"/>
    </w:rPr>
  </w:style>
  <w:style w:type="character" w:customStyle="1" w:styleId="23">
    <w:name w:val="页脚 Char"/>
    <w:basedOn w:val="12"/>
    <w:link w:val="6"/>
    <w:qFormat/>
    <w:uiPriority w:val="99"/>
    <w:rPr>
      <w:kern w:val="2"/>
      <w:sz w:val="18"/>
      <w:szCs w:val="18"/>
    </w:rPr>
  </w:style>
  <w:style w:type="character" w:customStyle="1" w:styleId="24">
    <w:name w:val="批注框文本 Char"/>
    <w:basedOn w:val="12"/>
    <w:link w:val="5"/>
    <w:qFormat/>
    <w:uiPriority w:val="0"/>
    <w:rPr>
      <w:kern w:val="2"/>
      <w:sz w:val="18"/>
      <w:szCs w:val="18"/>
    </w:rPr>
  </w:style>
  <w:style w:type="character" w:customStyle="1" w:styleId="25">
    <w:name w:val="Character Style 2"/>
    <w:qFormat/>
    <w:uiPriority w:val="0"/>
    <w:rPr>
      <w:sz w:val="20"/>
      <w:szCs w:val="20"/>
    </w:rPr>
  </w:style>
  <w:style w:type="character" w:customStyle="1" w:styleId="26">
    <w:name w:val="页眉 Char"/>
    <w:basedOn w:val="12"/>
    <w:link w:val="7"/>
    <w:qFormat/>
    <w:uiPriority w:val="99"/>
    <w:rPr>
      <w:kern w:val="2"/>
      <w:sz w:val="18"/>
      <w:szCs w:val="18"/>
    </w:rPr>
  </w:style>
  <w:style w:type="paragraph" w:customStyle="1" w:styleId="27">
    <w:name w:val="Char Char Char Char Char Char1 Char Char Char Char Char Char Char Char Char Char Char Char Char"/>
    <w:basedOn w:val="1"/>
    <w:qFormat/>
    <w:uiPriority w:val="0"/>
    <w:pPr>
      <w:tabs>
        <w:tab w:val="left" w:pos="360"/>
      </w:tabs>
    </w:pPr>
    <w:rPr>
      <w:sz w:val="24"/>
    </w:rPr>
  </w:style>
  <w:style w:type="paragraph" w:customStyle="1" w:styleId="28">
    <w:name w:val="myindent"/>
    <w:basedOn w:val="1"/>
    <w:qFormat/>
    <w:uiPriority w:val="0"/>
    <w:pPr>
      <w:widowControl/>
      <w:spacing w:before="100" w:beforeAutospacing="1" w:after="100" w:afterAutospacing="1"/>
      <w:jc w:val="left"/>
    </w:pPr>
    <w:rPr>
      <w:rFonts w:ascii="宋体" w:hAnsi="宋体" w:cs="宋体"/>
      <w:kern w:val="0"/>
      <w:sz w:val="24"/>
    </w:rPr>
  </w:style>
  <w:style w:type="character" w:customStyle="1" w:styleId="29">
    <w:name w:val="text"/>
    <w:basedOn w:val="12"/>
    <w:qFormat/>
    <w:uiPriority w:val="0"/>
    <w:rPr>
      <w:color w:val="666666"/>
    </w:rPr>
  </w:style>
  <w:style w:type="character" w:customStyle="1" w:styleId="30">
    <w:name w:val="cgreen"/>
    <w:basedOn w:val="12"/>
    <w:qFormat/>
    <w:uiPriority w:val="0"/>
    <w:rPr>
      <w:color w:val="0A9100"/>
    </w:rPr>
  </w:style>
  <w:style w:type="character" w:customStyle="1" w:styleId="31">
    <w:name w:val="cgreen1"/>
    <w:basedOn w:val="12"/>
    <w:qFormat/>
    <w:uiPriority w:val="0"/>
    <w:rPr>
      <w:color w:val="0A9100"/>
    </w:rPr>
  </w:style>
  <w:style w:type="character" w:customStyle="1" w:styleId="32">
    <w:name w:val="last"/>
    <w:basedOn w:val="12"/>
    <w:qFormat/>
    <w:uiPriority w:val="0"/>
  </w:style>
  <w:style w:type="character" w:customStyle="1" w:styleId="33">
    <w:name w:val="after"/>
    <w:basedOn w:val="12"/>
    <w:qFormat/>
    <w:uiPriority w:val="0"/>
    <w:rPr>
      <w:shd w:val="clear" w:fill="FFFFFF"/>
    </w:rPr>
  </w:style>
  <w:style w:type="character" w:customStyle="1" w:styleId="34">
    <w:name w:val="hover23"/>
    <w:basedOn w:val="12"/>
    <w:qFormat/>
    <w:uiPriority w:val="0"/>
    <w:rPr>
      <w:shd w:val="clear" w:fill="0069AE"/>
    </w:rPr>
  </w:style>
  <w:style w:type="character" w:customStyle="1" w:styleId="35">
    <w:name w:val="hover24"/>
    <w:basedOn w:val="12"/>
    <w:qFormat/>
    <w:uiPriority w:val="0"/>
    <w:rPr>
      <w:color w:val="000000"/>
      <w:shd w:val="clear" w:fill="FFFFFF"/>
    </w:rPr>
  </w:style>
  <w:style w:type="character" w:customStyle="1" w:styleId="36">
    <w:name w:val="wx-space"/>
    <w:basedOn w:val="12"/>
    <w:qFormat/>
    <w:uiPriority w:val="0"/>
  </w:style>
  <w:style w:type="character" w:customStyle="1" w:styleId="37">
    <w:name w:val="bsharetext"/>
    <w:basedOn w:val="12"/>
    <w:qFormat/>
    <w:uiPriority w:val="0"/>
  </w:style>
  <w:style w:type="character" w:customStyle="1" w:styleId="38">
    <w:name w:val="wx-space1"/>
    <w:basedOn w:val="12"/>
    <w:qFormat/>
    <w:uiPriority w:val="0"/>
  </w:style>
  <w:style w:type="character" w:customStyle="1" w:styleId="39">
    <w:name w:val="select2-selection__rendered"/>
    <w:basedOn w:val="12"/>
    <w:qFormat/>
    <w:uiPriority w:val="0"/>
    <w:rPr>
      <w:sz w:val="18"/>
      <w:szCs w:val="18"/>
    </w:rPr>
  </w:style>
  <w:style w:type="character" w:customStyle="1" w:styleId="40">
    <w:name w:val="active18"/>
    <w:basedOn w:val="12"/>
    <w:qFormat/>
    <w:uiPriority w:val="0"/>
    <w:rPr>
      <w:color w:val="FFFFFF"/>
      <w:shd w:val="clear" w:fill="0069AE"/>
    </w:rPr>
  </w:style>
  <w:style w:type="character" w:customStyle="1" w:styleId="41">
    <w:name w:val="active19"/>
    <w:basedOn w:val="12"/>
    <w:qFormat/>
    <w:uiPriority w:val="0"/>
    <w:rPr>
      <w:shd w:val="clear" w:fill="20A0E4"/>
    </w:rPr>
  </w:style>
  <w:style w:type="character" w:customStyle="1" w:styleId="42">
    <w:name w:val="time"/>
    <w:basedOn w:val="12"/>
    <w:qFormat/>
    <w:uiPriority w:val="0"/>
    <w:rPr>
      <w:rFonts w:ascii="Arial" w:hAnsi="Arial" w:cs="Arial"/>
      <w:color w:val="999999"/>
      <w:sz w:val="21"/>
      <w:szCs w:val="21"/>
    </w:rPr>
  </w:style>
  <w:style w:type="character" w:customStyle="1" w:styleId="43">
    <w:name w:val="box6"/>
    <w:basedOn w:val="12"/>
    <w:qFormat/>
    <w:uiPriority w:val="0"/>
    <w:rPr>
      <w:rFonts w:ascii="微软雅黑" w:hAnsi="微软雅黑" w:eastAsia="微软雅黑" w:cs="微软雅黑"/>
      <w:sz w:val="21"/>
      <w:szCs w:val="21"/>
    </w:rPr>
  </w:style>
  <w:style w:type="character" w:customStyle="1" w:styleId="44">
    <w:name w:val="hover54"/>
    <w:basedOn w:val="12"/>
    <w:qFormat/>
    <w:uiPriority w:val="0"/>
    <w:rPr>
      <w:color w:val="000000"/>
      <w:shd w:val="clear" w:fill="FFFFFF"/>
    </w:rPr>
  </w:style>
  <w:style w:type="character" w:customStyle="1" w:styleId="45">
    <w:name w:val="active2"/>
    <w:basedOn w:val="12"/>
    <w:qFormat/>
    <w:uiPriority w:val="0"/>
    <w:rPr>
      <w:color w:val="FFFFFF"/>
      <w:shd w:val="clear" w:fill="0069AE"/>
    </w:rPr>
  </w:style>
  <w:style w:type="character" w:customStyle="1" w:styleId="46">
    <w:name w:val="active3"/>
    <w:basedOn w:val="12"/>
    <w:qFormat/>
    <w:uiPriority w:val="0"/>
    <w:rPr>
      <w:shd w:val="clear" w:fill="20A0E4"/>
    </w:rPr>
  </w:style>
  <w:style w:type="character" w:customStyle="1" w:styleId="47">
    <w:name w:val="hover47"/>
    <w:basedOn w:val="12"/>
    <w:qFormat/>
    <w:uiPriority w:val="0"/>
    <w:rPr>
      <w:color w:val="000000"/>
      <w:shd w:val="clear" w:fill="FFFFFF"/>
    </w:rPr>
  </w:style>
  <w:style w:type="character" w:customStyle="1" w:styleId="48">
    <w:name w:val="hover"/>
    <w:basedOn w:val="12"/>
    <w:qFormat/>
    <w:uiPriority w:val="0"/>
    <w:rPr>
      <w:color w:val="000000"/>
      <w:shd w:val="clear" w:fill="FFFFFF"/>
    </w:rPr>
  </w:style>
  <w:style w:type="character" w:customStyle="1" w:styleId="49">
    <w:name w:val="active"/>
    <w:basedOn w:val="12"/>
    <w:qFormat/>
    <w:uiPriority w:val="0"/>
    <w:rPr>
      <w:shd w:val="clear" w:fill="20A0E4"/>
    </w:rPr>
  </w:style>
  <w:style w:type="character" w:customStyle="1" w:styleId="50">
    <w:name w:val="active1"/>
    <w:basedOn w:val="12"/>
    <w:qFormat/>
    <w:uiPriority w:val="0"/>
    <w:rPr>
      <w:color w:val="FFFFFF"/>
      <w:shd w:val="clear" w:fill="0069AE"/>
    </w:rPr>
  </w:style>
  <w:style w:type="character" w:customStyle="1" w:styleId="51">
    <w:name w:val="box"/>
    <w:basedOn w:val="12"/>
    <w:qFormat/>
    <w:uiPriority w:val="0"/>
    <w:rPr>
      <w:rFonts w:ascii="微软雅黑" w:hAnsi="微软雅黑" w:eastAsia="微软雅黑" w:cs="微软雅黑"/>
      <w:color w:val="666666"/>
      <w:sz w:val="21"/>
      <w:szCs w:val="21"/>
      <w:shd w:val="clear" w:fill="FFFFFF"/>
    </w:rPr>
  </w:style>
  <w:style w:type="character" w:customStyle="1" w:styleId="52">
    <w:name w:val="before4"/>
    <w:basedOn w:val="12"/>
    <w:qFormat/>
    <w:uiPriority w:val="0"/>
    <w:rPr>
      <w:shd w:val="clear" w:fill="DCDCDC"/>
    </w:rPr>
  </w:style>
  <w:style w:type="character" w:customStyle="1" w:styleId="53">
    <w:name w:val="before5"/>
    <w:basedOn w:val="12"/>
    <w:qFormat/>
    <w:uiPriority w:val="0"/>
    <w:rPr>
      <w:shd w:val="clear" w:fill="0466C7"/>
    </w:rPr>
  </w:style>
  <w:style w:type="character" w:customStyle="1" w:styleId="54">
    <w:name w:val="before6"/>
    <w:basedOn w:val="12"/>
    <w:qFormat/>
    <w:uiPriority w:val="0"/>
  </w:style>
  <w:style w:type="character" w:customStyle="1" w:styleId="55">
    <w:name w:val="before7"/>
    <w:basedOn w:val="12"/>
    <w:qFormat/>
    <w:uiPriority w:val="0"/>
    <w:rPr>
      <w:shd w:val="clear" w:fill="0466C7"/>
    </w:rPr>
  </w:style>
  <w:style w:type="character" w:customStyle="1" w:styleId="56">
    <w:name w:val="logo_img"/>
    <w:basedOn w:val="12"/>
    <w:qFormat/>
    <w:uiPriority w:val="0"/>
  </w:style>
  <w:style w:type="character" w:customStyle="1" w:styleId="57">
    <w:name w:val="logo_img1"/>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16</Pages>
  <Words>8839</Words>
  <Characters>9325</Characters>
  <Lines>3</Lines>
  <Paragraphs>7</Paragraphs>
  <TotalTime>21</TotalTime>
  <ScaleCrop>false</ScaleCrop>
  <LinksUpToDate>false</LinksUpToDate>
  <CharactersWithSpaces>9357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2021-06-30T07:55:00Z</dcterms:created>
  <dc:creator>admin</dc:creator>
  <cp:lastModifiedBy>炫铃</cp:lastModifiedBy>
  <cp:lastPrinted>2019-07-31T10:04:00Z</cp:lastPrinted>
  <dcterms:modified xsi:type="dcterms:W3CDTF">2023-09-08T01:43:01Z</dcterms:modified>
  <dc:title>派 车 存 单              湘潭市公务用车派车单</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1692453310FB4809A135DC6BFE19A697</vt:lpwstr>
  </property>
</Properties>
</file>