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26"/>
        <w:rPr>
          <w:rFonts w:asciiTheme="majorEastAsia" w:hAnsiTheme="majorEastAsia" w:eastAsiaTheme="majorEastAsia"/>
          <w:color w:val="000000"/>
          <w:sz w:val="24"/>
        </w:rPr>
      </w:pPr>
      <w:r>
        <w:rPr>
          <w:rFonts w:hint="eastAsia" w:asciiTheme="majorEastAsia" w:hAnsiTheme="majorEastAsia" w:eastAsiaTheme="majorEastAsia"/>
          <w:color w:val="000000"/>
          <w:sz w:val="24"/>
        </w:rPr>
        <w:t>附件</w:t>
      </w:r>
      <w:r>
        <w:rPr>
          <w:rFonts w:asciiTheme="majorEastAsia" w:hAnsiTheme="majorEastAsia" w:eastAsiaTheme="majorEastAsia"/>
          <w:color w:val="000000"/>
          <w:sz w:val="24"/>
        </w:rPr>
        <w:t>5-2</w:t>
      </w:r>
    </w:p>
    <w:tbl>
      <w:tblPr>
        <w:tblStyle w:val="13"/>
        <w:tblW w:w="99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beforeLines="100" w:afterLines="100" w:line="500" w:lineRule="exact"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</w:rPr>
              <w:t>202</w:t>
            </w: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</w:rPr>
              <w:t>年项目支出绩效目标表</w:t>
            </w:r>
          </w:p>
          <w:tbl>
            <w:tblPr>
              <w:tblStyle w:val="13"/>
              <w:tblW w:w="9928" w:type="dxa"/>
              <w:jc w:val="center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"/>
              <w:gridCol w:w="703"/>
              <w:gridCol w:w="1140"/>
              <w:gridCol w:w="237"/>
              <w:gridCol w:w="897"/>
              <w:gridCol w:w="1143"/>
              <w:gridCol w:w="903"/>
              <w:gridCol w:w="657"/>
              <w:gridCol w:w="60"/>
              <w:gridCol w:w="663"/>
              <w:gridCol w:w="750"/>
              <w:gridCol w:w="218"/>
              <w:gridCol w:w="607"/>
              <w:gridCol w:w="1054"/>
              <w:gridCol w:w="788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66" w:hRule="atLeast"/>
                <w:jc w:val="center"/>
              </w:trPr>
              <w:tc>
                <w:tcPr>
                  <w:tcW w:w="9032" w:type="dxa"/>
                  <w:gridSpan w:val="13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ind w:right="120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kern w:val="0"/>
                      <w:sz w:val="24"/>
                    </w:rPr>
                    <w:t>填报单位：（盖章）湘潭县卫生健康局</w:t>
                  </w:r>
                  <w:r>
                    <w:rPr>
                      <w:rFonts w:asciiTheme="majorEastAsia" w:hAnsiTheme="majorEastAsia" w:eastAsiaTheme="majorEastAsia"/>
                      <w:kern w:val="0"/>
                      <w:sz w:val="24"/>
                    </w:rPr>
                    <w:t xml:space="preserve">                                        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单位：万元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56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项目支出名称</w:t>
                  </w:r>
                </w:p>
              </w:tc>
              <w:tc>
                <w:tcPr>
                  <w:tcW w:w="2277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妇幼专项经费（两癌免费筛查、贫困危重孕产妇救助、免费产前筛查、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eastAsia="zh-CN"/>
                    </w:rPr>
                    <w:t>免费产筛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、免费新生儿疾病筛查）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预算部门</w:t>
                  </w:r>
                </w:p>
              </w:tc>
              <w:tc>
                <w:tcPr>
                  <w:tcW w:w="3352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湘潭县卫生健康局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60" w:hRule="atLeast"/>
                <w:jc w:val="center"/>
              </w:trPr>
              <w:tc>
                <w:tcPr>
                  <w:tcW w:w="184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年度预算金额</w:t>
                  </w:r>
                </w:p>
              </w:tc>
              <w:tc>
                <w:tcPr>
                  <w:tcW w:w="2277" w:type="dxa"/>
                  <w:gridSpan w:val="3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  <w:t>355.99</w:t>
                  </w:r>
                </w:p>
              </w:tc>
              <w:tc>
                <w:tcPr>
                  <w:tcW w:w="903" w:type="dxa"/>
                  <w:vMerge w:val="restart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其中：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中央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/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省级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市级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县级</w:t>
                  </w:r>
                </w:p>
              </w:tc>
              <w:tc>
                <w:tcPr>
                  <w:tcW w:w="10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其他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73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277" w:type="dxa"/>
                  <w:gridSpan w:val="3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903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  <w:t>95.99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  <w:t>260</w:t>
                  </w:r>
                </w:p>
              </w:tc>
              <w:tc>
                <w:tcPr>
                  <w:tcW w:w="10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43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项目属性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ind w:firstLine="840" w:firstLineChars="350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新增项目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   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延续项目</w:t>
                  </w:r>
                  <w:r>
                    <w:rPr>
                      <w:rFonts w:hint="eastAsia" w:hAnsi="MS Mincho" w:eastAsia="MS Mincho" w:cs="MS Mincho" w:asciiTheme="majorEastAsia"/>
                      <w:kern w:val="0"/>
                      <w:sz w:val="24"/>
                    </w:rPr>
                    <w:t>☑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862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项目类型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1.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基本建设类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其中：新建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扩建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改建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2.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行政事业类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其中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: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采购类□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政府购买服务类□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</w:p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3.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其他专项类</w:t>
                  </w:r>
                  <w:r>
                    <w:rPr>
                      <w:rFonts w:hint="eastAsia" w:hAnsi="MS Mincho" w:eastAsia="MS Mincho" w:cs="MS Mincho" w:asciiTheme="majorEastAsia"/>
                      <w:kern w:val="0"/>
                      <w:sz w:val="24"/>
                    </w:rPr>
                    <w:t>☑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74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项目支出实施期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2021.1.1-2021.12.31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实施期绩效目标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为全县育龄夫妇提供免费服务和政策支持，减少目标人群支出. 1、完成农村适龄妇女“两癌”检查计划1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25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00人；2、完成贫困及危重孕产妇救助、救治；3、完成免费产前筛查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人；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4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、完成免费新生儿疾病筛查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人。　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434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本年度绩效目标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为全县育龄夫妇提供免费服务和政策支持，减少目标人群支出. 1、完成农村适龄妇女“两癌”检查计划1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25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00人；2、完成贫困及危重孕产妇救助、救治；3、完成免费产前筛查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人；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4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、完成免费新生儿疾病筛查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人。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本年度</w:t>
                  </w:r>
                </w:p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绩效指标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一级指标</w:t>
                  </w:r>
                </w:p>
              </w:tc>
              <w:tc>
                <w:tcPr>
                  <w:tcW w:w="11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二级指标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三级指标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指标值及单位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绩效标准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产出指标</w:t>
                  </w: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数量指标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计划完成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140元/人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56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计划完成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360元/人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56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免费两癌检查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计划完成1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2500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140元/人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56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贫困危重孕产妇救助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12人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质量指标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100%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100%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免费两癌检查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100%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贫困危重孕产妇救助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61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时效指标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12月底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12月底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免费两癌检查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12月底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贫困危重孕产妇救助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12月底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成本指标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51.14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万元（省2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0.44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万元；县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30.70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万元）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140元/人，省配套40%、县配套60%。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129.85</w:t>
                  </w:r>
                  <w:bookmarkStart w:id="0" w:name="_GoBack"/>
                  <w:bookmarkEnd w:id="0"/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万元（县全部承担）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360元/人（县全部承担）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免费两癌检查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175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万元（省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70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万元；县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105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万元）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140元/人。省配套40%，县配套60%。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贫困危重孕产妇救助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万元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both"/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val="en-US" w:eastAsia="zh-CN"/>
                    </w:rPr>
                    <w:t>由市级负担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效益指标</w:t>
                  </w: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经济效益指标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免费产前筛查完成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人提高孕产妇产前筛查率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4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免费新生儿疾病筛查完成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3650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人提高出生人口素质筛查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4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农村适龄妇女“两癌”检查计划1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25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00人，减少目标人群支出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4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贫困及危重孕产妇救助，保障城乡贫困危重孕产妇能够得到及时有效救治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社会效益指标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效果明显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效果明显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免费两癌检查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效果明显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贫困及危重孕产妇救助：保障城乡贫困危重孕产妇能够得到及时有效救治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效果明显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1083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生态效益指标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50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可持续影响指标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免费产前筛查：提高孕产妇产前筛查率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显著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99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免费新生儿疾病筛查：提高出生人口素质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显著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99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农村适龄妇女和城镇低保适龄妇女两癌：提高农村适龄妇女“两癌”早诊早治率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显著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99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贫困危重孕产妇救助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  <w:lang w:eastAsia="zh-CN"/>
                    </w:rPr>
                    <w:t>显著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8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社会公众或服务对象满意度指标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对提供免费产前筛查满意度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　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95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%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对提供免费新生儿疾病筛查援助满意率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95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%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对提供农村适龄妇女“两癌”检查满意率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95%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对提供贫困及危重孕产妇救助满意度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cs="仿宋" w:asciiTheme="majorEastAsia" w:hAnsiTheme="majorEastAsia" w:eastAsiaTheme="majorEastAsia"/>
                      <w:kern w:val="0"/>
                      <w:sz w:val="24"/>
                    </w:rPr>
                  </w:pP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  <w:lang w:val="en-US" w:eastAsia="zh-CN"/>
                    </w:rPr>
                    <w:t>95</w:t>
                  </w:r>
                  <w:r>
                    <w:rPr>
                      <w:rFonts w:hint="eastAsia" w:cs="仿宋" w:asciiTheme="majorEastAsia" w:hAnsiTheme="majorEastAsia" w:eastAsiaTheme="majorEastAsia"/>
                      <w:kern w:val="0"/>
                      <w:sz w:val="24"/>
                    </w:rPr>
                    <w:t>%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811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财政部门审核意见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审核股室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4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审核的主要内容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</w:tcPr>
                <w:p>
                  <w:pPr>
                    <w:pStyle w:val="16"/>
                    <w:spacing w:line="240" w:lineRule="exact"/>
                    <w:ind w:left="420" w:firstLine="0" w:firstLineChars="0"/>
                    <w:jc w:val="center"/>
                    <w:rPr>
                      <w:rFonts w:cs="Times New Roman"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  <w:p>
                  <w:pPr>
                    <w:pStyle w:val="16"/>
                    <w:spacing w:line="240" w:lineRule="exact"/>
                    <w:ind w:left="420" w:firstLine="0" w:firstLineChars="0"/>
                    <w:jc w:val="center"/>
                    <w:rPr>
                      <w:rFonts w:cs="Times New Roman"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cs="Times New Roman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审核意见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8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财政部门归口业务股室审核意见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bottom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、是否立项及项目属性确定；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2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、绩效目标设定是否合理；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3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、预算资金可供量是否合理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4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、项目、资金及财务管理措施；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5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、其他。</w:t>
                  </w:r>
                </w:p>
                <w:p>
                  <w:pPr>
                    <w:widowControl/>
                    <w:spacing w:line="240" w:lineRule="exact"/>
                    <w:ind w:right="480"/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              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vAlign w:val="bottom"/>
                </w:tcPr>
                <w:p>
                  <w:pP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审核人：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    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年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6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绩效评价股审核意见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bottom"/>
                </w:tcPr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、填报内容是否完整；</w:t>
                  </w:r>
                </w:p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2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、是否设定量化的绩效目标；</w:t>
                  </w:r>
                </w:p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3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、是否有适当、细化的绩效指标及其与绩效目标的对应性；</w:t>
                  </w:r>
                </w:p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4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、其他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vAlign w:val="bottom"/>
                </w:tcPr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审核人：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    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年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4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预算股审核意见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vAlign w:val="bottom"/>
                </w:tcPr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1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、县委、县政府已确定的项目；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 2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、财政待安排项目；</w:t>
                  </w:r>
                </w:p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3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、是否进入备选项目；</w:t>
                  </w:r>
                </w:p>
                <w:p>
                  <w:pPr>
                    <w:jc w:val="left"/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>4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、财政项目预算资金安排可供与完成项目绩效目标的保障度。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000000" w:sz="8" w:space="0"/>
                  </w:tcBorders>
                  <w:vAlign w:val="bottom"/>
                </w:tcPr>
                <w:p>
                  <w:pP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审核人：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        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年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Theme="majorEastAsia" w:hAnsiTheme="majorEastAsia" w:eastAsiaTheme="majorEastAsia"/>
                      <w:color w:val="000000"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</w:tr>
          </w:tbl>
          <w:p>
            <w:pPr>
              <w:widowControl/>
              <w:spacing w:line="240" w:lineRule="exact"/>
              <w:ind w:right="480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widowControl/>
              <w:spacing w:line="240" w:lineRule="exact"/>
              <w:ind w:right="480"/>
              <w:rPr>
                <w:rFonts w:hint="eastAsia" w:cs="宋体" w:asciiTheme="majorEastAsia" w:hAnsiTheme="majorEastAsia" w:eastAsiaTheme="majorEastAsia"/>
                <w:kern w:val="0"/>
                <w:sz w:val="24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填报人：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lang w:eastAsia="zh-CN"/>
              </w:rPr>
              <w:t>赵星</w:t>
            </w:r>
            <w:r>
              <w:rPr>
                <w:rFonts w:cs="宋体" w:asciiTheme="majorEastAsia" w:hAnsiTheme="majorEastAsia" w:eastAsiaTheme="majorEastAsia"/>
                <w:kern w:val="0"/>
                <w:sz w:val="24"/>
              </w:rPr>
              <w:t xml:space="preserve">     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联系电话：57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lang w:val="en-US" w:eastAsia="zh-CN"/>
              </w:rPr>
              <w:t>800799</w:t>
            </w:r>
            <w:r>
              <w:rPr>
                <w:rFonts w:cs="宋体" w:asciiTheme="majorEastAsia" w:hAnsiTheme="majorEastAsia" w:eastAsiaTheme="majorEastAsia"/>
                <w:kern w:val="0"/>
                <w:sz w:val="24"/>
              </w:rPr>
              <w:t xml:space="preserve">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填报日期：202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lang w:val="en-US" w:eastAsia="zh-CN"/>
              </w:rPr>
              <w:t>26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日</w:t>
            </w:r>
            <w:r>
              <w:rPr>
                <w:rFonts w:cs="宋体" w:asciiTheme="majorEastAsia" w:hAnsiTheme="majorEastAsia" w:eastAsiaTheme="majorEastAsia"/>
                <w:kern w:val="0"/>
                <w:sz w:val="24"/>
              </w:rPr>
              <w:t xml:space="preserve">      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单位负责人签字：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lang w:eastAsia="zh-CN"/>
              </w:rPr>
              <w:t>钟金盆</w:t>
            </w:r>
          </w:p>
          <w:p>
            <w:pPr>
              <w:spacing w:line="480" w:lineRule="exact"/>
              <w:ind w:right="26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注：</w:t>
            </w:r>
            <w:r>
              <w:rPr>
                <w:rFonts w:cs="宋体" w:asciiTheme="majorEastAsia" w:hAnsiTheme="majorEastAsia" w:eastAsiaTheme="majorEastAsia"/>
                <w:kern w:val="0"/>
                <w:sz w:val="24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、此表一式二份，经财政部门审核后，单位自存一份，绩效管理股一份。</w:t>
            </w:r>
          </w:p>
          <w:p>
            <w:pPr>
              <w:spacing w:line="480" w:lineRule="exact"/>
              <w:ind w:right="26" w:firstLine="480" w:firstLineChars="200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4"/>
              </w:rPr>
              <w:t>2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、本表上报时须附部门绩效目标制定依据。</w:t>
            </w:r>
          </w:p>
          <w:p>
            <w:pPr>
              <w:spacing w:line="48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cs="宋体" w:asciiTheme="majorEastAsia" w:hAnsiTheme="majorEastAsia" w:eastAsiaTheme="majorEastAsia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cs="宋体" w:asciiTheme="majorEastAsia" w:hAnsiTheme="majorEastAsia" w:eastAsiaTheme="majorEastAsia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cs="宋体" w:asciiTheme="majorEastAsia" w:hAnsiTheme="majorEastAsia" w:eastAsiaTheme="majorEastAsia"/>
                <w:b/>
                <w:bCs/>
                <w:kern w:val="0"/>
                <w:sz w:val="24"/>
              </w:rPr>
            </w:pPr>
          </w:p>
        </w:tc>
      </w:tr>
    </w:tbl>
    <w:p>
      <w:pPr>
        <w:widowControl/>
        <w:spacing w:beforeLines="100" w:afterLines="100" w:line="600" w:lineRule="exact"/>
        <w:jc w:val="center"/>
        <w:rPr>
          <w:rFonts w:asciiTheme="majorEastAsia" w:hAnsiTheme="majorEastAsia" w:eastAsiaTheme="majorEastAsia"/>
          <w:bCs/>
          <w:kern w:val="0"/>
          <w:sz w:val="24"/>
        </w:rPr>
      </w:pPr>
    </w:p>
    <w:p>
      <w:pPr>
        <w:spacing w:line="480" w:lineRule="exact"/>
        <w:jc w:val="left"/>
        <w:rPr>
          <w:rFonts w:hint="eastAsia" w:asciiTheme="majorEastAsia" w:hAnsiTheme="majorEastAsia" w:eastAsiaTheme="majorEastAsia"/>
          <w:kern w:val="0"/>
          <w:sz w:val="24"/>
        </w:rPr>
      </w:pPr>
    </w:p>
    <w:p>
      <w:pPr>
        <w:spacing w:line="480" w:lineRule="exact"/>
        <w:jc w:val="left"/>
        <w:rPr>
          <w:rFonts w:hint="eastAsia" w:asciiTheme="majorEastAsia" w:hAnsiTheme="majorEastAsia" w:eastAsiaTheme="majorEastAsia"/>
          <w:kern w:val="0"/>
          <w:sz w:val="24"/>
        </w:rPr>
      </w:pPr>
    </w:p>
    <w:p>
      <w:pPr>
        <w:spacing w:line="480" w:lineRule="exact"/>
        <w:jc w:val="left"/>
        <w:rPr>
          <w:rFonts w:hint="eastAsia" w:asciiTheme="majorEastAsia" w:hAnsiTheme="majorEastAsia" w:eastAsiaTheme="majorEastAsia"/>
          <w:kern w:val="0"/>
          <w:sz w:val="24"/>
        </w:rPr>
      </w:pPr>
    </w:p>
    <w:p>
      <w:pPr>
        <w:spacing w:line="480" w:lineRule="exact"/>
        <w:jc w:val="left"/>
        <w:rPr>
          <w:rFonts w:hint="eastAsia" w:asciiTheme="majorEastAsia" w:hAnsiTheme="majorEastAsia" w:eastAsiaTheme="majorEastAsia"/>
          <w:kern w:val="0"/>
          <w:sz w:val="24"/>
        </w:rPr>
      </w:pPr>
    </w:p>
    <w:p>
      <w:pPr>
        <w:spacing w:line="480" w:lineRule="exact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kern w:val="0"/>
          <w:sz w:val="24"/>
        </w:rPr>
        <w:t>附件</w:t>
      </w:r>
      <w:r>
        <w:rPr>
          <w:rFonts w:asciiTheme="majorEastAsia" w:hAnsiTheme="majorEastAsia" w:eastAsiaTheme="majorEastAsia"/>
          <w:kern w:val="0"/>
          <w:sz w:val="24"/>
        </w:rPr>
        <w:t>5-3</w:t>
      </w:r>
    </w:p>
    <w:p>
      <w:pPr>
        <w:jc w:val="center"/>
        <w:rPr>
          <w:rFonts w:asciiTheme="majorEastAsia" w:hAnsiTheme="majorEastAsia" w:eastAsiaTheme="majorEastAsia"/>
          <w:b/>
          <w:bCs/>
          <w:kern w:val="0"/>
          <w:sz w:val="24"/>
        </w:rPr>
      </w:pPr>
      <w:r>
        <w:rPr>
          <w:rFonts w:hint="eastAsia" w:asciiTheme="majorEastAsia" w:hAnsiTheme="majorEastAsia" w:eastAsiaTheme="majorEastAsia"/>
          <w:bCs/>
          <w:kern w:val="0"/>
          <w:sz w:val="24"/>
        </w:rPr>
        <w:t>2021年项目绩效目标表</w:t>
      </w:r>
    </w:p>
    <w:p>
      <w:pPr>
        <w:widowControl/>
        <w:tabs>
          <w:tab w:val="left" w:pos="1913"/>
          <w:tab w:val="left" w:pos="3933"/>
          <w:tab w:val="left" w:pos="5413"/>
          <w:tab w:val="left" w:pos="6733"/>
          <w:tab w:val="left" w:pos="7920"/>
        </w:tabs>
        <w:jc w:val="left"/>
        <w:rPr>
          <w:rFonts w:asciiTheme="majorEastAsia" w:hAnsiTheme="majorEastAsia" w:eastAsiaTheme="majorEastAsia"/>
          <w:kern w:val="0"/>
          <w:sz w:val="24"/>
        </w:rPr>
      </w:pPr>
      <w:r>
        <w:rPr>
          <w:rFonts w:hint="eastAsia" w:asciiTheme="majorEastAsia" w:hAnsiTheme="majorEastAsia" w:eastAsiaTheme="majorEastAsia"/>
          <w:kern w:val="0"/>
          <w:sz w:val="24"/>
        </w:rPr>
        <w:t>填报单位（盖章）：湘潭县卫生健康局</w:t>
      </w:r>
      <w:r>
        <w:rPr>
          <w:rFonts w:asciiTheme="majorEastAsia" w:hAnsiTheme="majorEastAsia" w:eastAsiaTheme="majorEastAsia"/>
          <w:kern w:val="0"/>
          <w:sz w:val="24"/>
        </w:rPr>
        <w:tab/>
      </w:r>
      <w:r>
        <w:rPr>
          <w:rFonts w:asciiTheme="majorEastAsia" w:hAnsiTheme="majorEastAsia" w:eastAsiaTheme="majorEastAsia"/>
          <w:kern w:val="0"/>
          <w:sz w:val="24"/>
        </w:rPr>
        <w:tab/>
      </w:r>
      <w:r>
        <w:rPr>
          <w:rFonts w:asciiTheme="majorEastAsia" w:hAnsiTheme="majorEastAsia" w:eastAsiaTheme="majorEastAsia"/>
          <w:kern w:val="0"/>
          <w:sz w:val="24"/>
        </w:rPr>
        <w:tab/>
      </w:r>
      <w:r>
        <w:rPr>
          <w:rFonts w:asciiTheme="majorEastAsia" w:hAnsiTheme="majorEastAsia" w:eastAsiaTheme="majorEastAsia"/>
          <w:kern w:val="0"/>
          <w:sz w:val="24"/>
        </w:rPr>
        <w:tab/>
      </w:r>
    </w:p>
    <w:tbl>
      <w:tblPr>
        <w:tblStyle w:val="13"/>
        <w:tblW w:w="92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942"/>
        <w:gridCol w:w="1573"/>
        <w:gridCol w:w="1179"/>
        <w:gridCol w:w="41"/>
        <w:gridCol w:w="1201"/>
        <w:gridCol w:w="1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项目名称</w:t>
            </w:r>
          </w:p>
        </w:tc>
        <w:tc>
          <w:tcPr>
            <w:tcW w:w="3515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妇幼专项经费（两癌免费筛查、贫困危重孕产妇救助、免费产前筛查、贫困孕产妇产前诊断、免费新生儿疾病筛查）</w:t>
            </w: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项目起</w:t>
            </w:r>
          </w:p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止时间</w:t>
            </w:r>
          </w:p>
        </w:tc>
        <w:tc>
          <w:tcPr>
            <w:tcW w:w="2468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2021.1.1-2021.12.31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主管部门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湘潭县卫生健康局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项目实施单位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疾妇股　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项目负责人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朱黔昂　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联系电话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15073207108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项目资金申请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br w:type="textWrapping"/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（万元）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资金总额：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>426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一、预算资金：327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二、自有资金：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三、其他：99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项目概况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坚持面向农村妇女、城镇低保妇女、优先贫困人口、优先贫困地区、强化政府职责、促进公益服务的原则，促使更多农村妇女享有“两癌”免费检查服务，推动城乡公共卫生服务均等化，提高农村适龄妇女“两癌”早诊早治率，提升农村适龄妇女“两癌”防治知识知晓率，树立“防”重于“治”的健康理念。贫困及危重孕产妇救助：为保障城乡贫困、危重孕产妇能够得到及时有效救治，有效降低孕产妇死亡率。免费产筛：为切实降低全市出生缺陷发生率，提高出生人口素质，根据《中华人民共和国母婴保健法》、《湖南省出生缺陷防治办法》、《湘潭市实施&lt;湖南省出生缺陷防治办法&gt;工作方案》等法律法规和文件精神，结合“精准扶贫”和湖南省免费产前筛查工作要求，为切实做好省重点民生实事“孕产妇免费产前筛查”项目工作。免费新生儿疾病筛查：为切实降低全市出生缺陷发生率，提高出生人口素质，根据《中华人民共和国母婴保健法》《湖南省出生缺陷防治办法》《新生儿疾病筛查技术规范（2010年版）》及《湘潭市实施〈湖南省出生缺陷防治办法〉工作方案》，及早发现、诊断遗传代谢病患儿，并及早给予康复治疗，减少因病致残、致死率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项目实施进度计划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项目实施内容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开始时间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2021.1.1　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2021.12.31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贫困孕产妇产前诊断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2021.1.1　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2021.12.31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　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2021.1.1　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2021.12.31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免费两癌检查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2021.1.1　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2021.12.31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贫困危重孕产妇救助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2021.1.1　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2021.12.31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项目绩效目标</w:t>
            </w:r>
          </w:p>
        </w:tc>
        <w:tc>
          <w:tcPr>
            <w:tcW w:w="3515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长期目标</w:t>
            </w:r>
          </w:p>
        </w:tc>
        <w:tc>
          <w:tcPr>
            <w:tcW w:w="3647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3515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 xml:space="preserve">为全县育龄夫妇提供免费服务和政策支持，减少目标人群支出. </w:t>
            </w:r>
          </w:p>
        </w:tc>
        <w:tc>
          <w:tcPr>
            <w:tcW w:w="3647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1、完成农村适龄妇女“两癌”检查计划10000人；2、完成贫困及危重孕产妇救助、救治。3、完成免费产前筛查5000人；4、完成贫困孕产妇产前诊断60例；5、完成免费新生儿疾病筛查5000人。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本年度绩效指标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一级指标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二级指标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三级指标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指标值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产出指标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数量指标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计划完成5000人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140元/人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贫困孕产妇产前诊断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计划完成60例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1000元/例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计划完成5000人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360元/人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免费两癌检查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计划完成10000人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140元/人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贫困危重孕产妇救助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质量指标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100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　</w:t>
            </w:r>
          </w:p>
        </w:tc>
        <w:tc>
          <w:tcPr>
            <w:tcW w:w="1226" w:type="dxa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eastAsia="zh-CN"/>
              </w:rPr>
              <w:t>产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妇产前诊断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100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100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免费两癌检查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100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贫困危重孕产妇救助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时效指标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12月底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eastAsia="zh-CN"/>
              </w:rPr>
              <w:t>产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妇产前诊断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12月底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12月底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免费两癌检查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12月底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贫困危重孕产妇救助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12月底</w:t>
            </w:r>
          </w:p>
        </w:tc>
        <w:tc>
          <w:tcPr>
            <w:tcW w:w="1226" w:type="dxa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成本指标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70万元（省28万元；县42万元）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140元/人，省配套40%、县配套60%。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贫困孕产妇产前诊断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6万元（县全部承担）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1000元/例，县全部承担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180万元（县全部承担）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360元/人，县全部承担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免费两癌检查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140万元（省56万元；县84万元）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left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140元/人。省配套40%，县配套60%。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贫困危重孕产妇救助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30万元（市15万元；县15万元）</w:t>
            </w:r>
          </w:p>
        </w:tc>
        <w:tc>
          <w:tcPr>
            <w:tcW w:w="1226" w:type="dxa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</w:rPr>
              <w:t>市县1：1比例配套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效益指标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经济效益指标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免费产前筛查完成5000人提高孕产妇产前筛查率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贫困孕产妇产前诊断完成60例，提高贫困孕产妇产前诊断率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免费新生儿疾病筛查完成5000人提高出生人口素质筛查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农村适龄妇女“两癌”检查计划10000人，减少目标人群支出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贫困及危重孕产妇救助，保障城乡贫困危重孕产妇能够得到及时有效救治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社会效益指标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效果明显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贫困孕产妇产前诊断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效果明显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效果明显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免费两癌检查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效果明显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贫困及危重孕产妇救助：保障城乡贫困危重孕产妇能够得到及时有效救治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效果明显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生态效益指标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可持续影响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br w:type="textWrapping"/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免费产前筛查：提高孕产妇产前筛查率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  <w:lang w:eastAsia="zh-CN"/>
              </w:rPr>
              <w:t>显著</w:t>
            </w: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贫困孕产妇产前诊断，提高贫困孕产妇产前诊断率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  <w:lang w:eastAsia="zh-CN"/>
              </w:rPr>
              <w:t>显著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免费新生儿疾病筛查：提高出生人口素质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  <w:lang w:eastAsia="zh-CN"/>
              </w:rPr>
              <w:t>显著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农村适龄妇女和城镇低保适龄妇女两癌：提高农村适龄妇女“两癌”早诊早治率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  <w:lang w:eastAsia="zh-CN"/>
              </w:rPr>
              <w:t>显著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贫困危重孕产妇救助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24"/>
                <w:lang w:eastAsia="zh-CN"/>
              </w:rPr>
              <w:t>显著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社会公众或服务对象满意度指标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对提供免费产前筛查满意度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95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对提供贫困孕产妇产前诊断满意度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　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95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对提供免费新生儿疾病筛查援助满意率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95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对提供农村适龄妇女“两癌”检查满意率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95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对提供贫困及危重孕产妇救助满意度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  <w:lang w:val="en-US" w:eastAsia="zh-CN"/>
              </w:rPr>
              <w:t>95</w:t>
            </w: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%</w:t>
            </w:r>
          </w:p>
        </w:tc>
        <w:tc>
          <w:tcPr>
            <w:tcW w:w="1226" w:type="dxa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其他需说明的问题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主管部门审核意见</w:t>
            </w:r>
          </w:p>
        </w:tc>
        <w:tc>
          <w:tcPr>
            <w:tcW w:w="7162" w:type="dxa"/>
            <w:gridSpan w:val="6"/>
            <w:vMerge w:val="restart"/>
            <w:vAlign w:val="center"/>
          </w:tcPr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                                                       </w:t>
            </w:r>
          </w:p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ind w:right="21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（盖章）</w:t>
            </w:r>
          </w:p>
          <w:p>
            <w:pPr>
              <w:widowControl/>
              <w:spacing w:line="260" w:lineRule="exac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62" w:type="dxa"/>
            <w:gridSpan w:val="6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jc w:val="left"/>
        <w:rPr>
          <w:rFonts w:asciiTheme="majorEastAsia" w:hAnsiTheme="majorEastAsia" w:eastAsiaTheme="majorEastAsia"/>
          <w:kern w:val="0"/>
          <w:sz w:val="24"/>
        </w:rPr>
      </w:pPr>
    </w:p>
    <w:p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hint="eastAsia" w:asciiTheme="majorEastAsia" w:hAnsiTheme="majorEastAsia" w:eastAsiaTheme="majorEastAsia"/>
          <w:kern w:val="0"/>
          <w:sz w:val="24"/>
          <w:lang w:eastAsia="zh-CN"/>
        </w:rPr>
      </w:pPr>
      <w:r>
        <w:rPr>
          <w:rFonts w:hint="eastAsia" w:asciiTheme="majorEastAsia" w:hAnsiTheme="majorEastAsia" w:eastAsiaTheme="majorEastAsia"/>
          <w:kern w:val="0"/>
          <w:sz w:val="24"/>
        </w:rPr>
        <w:t>填报人：张锐</w:t>
      </w:r>
      <w:r>
        <w:rPr>
          <w:rFonts w:asciiTheme="majorEastAsia" w:hAnsiTheme="majorEastAsia" w:eastAsiaTheme="majorEastAsia"/>
          <w:kern w:val="0"/>
          <w:sz w:val="24"/>
        </w:rPr>
        <w:tab/>
      </w:r>
      <w:r>
        <w:rPr>
          <w:rFonts w:hint="eastAsia" w:asciiTheme="majorEastAsia" w:hAnsiTheme="majorEastAsia" w:eastAsiaTheme="majorEastAsia"/>
          <w:kern w:val="0"/>
          <w:sz w:val="24"/>
        </w:rPr>
        <w:t>联系电话：57222539</w:t>
      </w:r>
      <w:r>
        <w:rPr>
          <w:rFonts w:asciiTheme="majorEastAsia" w:hAnsiTheme="majorEastAsia" w:eastAsiaTheme="majorEastAsia"/>
          <w:kern w:val="0"/>
          <w:sz w:val="24"/>
        </w:rPr>
        <w:tab/>
      </w:r>
      <w:r>
        <w:rPr>
          <w:rFonts w:hint="eastAsia" w:asciiTheme="majorEastAsia" w:hAnsiTheme="majorEastAsia" w:eastAsiaTheme="majorEastAsia"/>
          <w:kern w:val="0"/>
          <w:sz w:val="24"/>
        </w:rPr>
        <w:t>填报日期：2020年11月1日</w:t>
      </w:r>
      <w:r>
        <w:rPr>
          <w:rFonts w:asciiTheme="majorEastAsia" w:hAnsiTheme="majorEastAsia" w:eastAsiaTheme="majorEastAsia"/>
          <w:kern w:val="0"/>
          <w:sz w:val="24"/>
        </w:rPr>
        <w:tab/>
      </w:r>
      <w:r>
        <w:rPr>
          <w:rFonts w:hint="eastAsia" w:asciiTheme="majorEastAsia" w:hAnsiTheme="majorEastAsia" w:eastAsiaTheme="majorEastAsia"/>
          <w:kern w:val="0"/>
          <w:sz w:val="24"/>
        </w:rPr>
        <w:t>项目负责人签字：</w:t>
      </w:r>
      <w:r>
        <w:rPr>
          <w:rFonts w:hint="eastAsia" w:asciiTheme="majorEastAsia" w:hAnsiTheme="majorEastAsia" w:eastAsiaTheme="majorEastAsia"/>
          <w:kern w:val="0"/>
          <w:sz w:val="24"/>
          <w:lang w:eastAsia="zh-CN"/>
        </w:rPr>
        <w:t>贺卫文</w:t>
      </w:r>
    </w:p>
    <w:p>
      <w:pPr>
        <w:spacing w:line="240" w:lineRule="exact"/>
        <w:ind w:right="26"/>
        <w:rPr>
          <w:rFonts w:asciiTheme="majorEastAsia" w:hAnsiTheme="majorEastAsia" w:eastAsiaTheme="majorEastAsia"/>
          <w:color w:val="000000"/>
          <w:sz w:val="24"/>
        </w:rPr>
      </w:pPr>
    </w:p>
    <w:p>
      <w:pPr>
        <w:ind w:firstLine="640"/>
        <w:rPr>
          <w:rFonts w:asciiTheme="majorEastAsia" w:hAnsiTheme="majorEastAsia" w:eastAsiaTheme="majorEastAsia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9F3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4C3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1DE5"/>
    <w:rsid w:val="00493459"/>
    <w:rsid w:val="004937F6"/>
    <w:rsid w:val="00493DFE"/>
    <w:rsid w:val="004941EF"/>
    <w:rsid w:val="00494228"/>
    <w:rsid w:val="004944F0"/>
    <w:rsid w:val="00494713"/>
    <w:rsid w:val="00494A27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3EBF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34E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A32"/>
    <w:rsid w:val="006A3FCC"/>
    <w:rsid w:val="006A4179"/>
    <w:rsid w:val="006A489A"/>
    <w:rsid w:val="006A4C3B"/>
    <w:rsid w:val="006A6185"/>
    <w:rsid w:val="006A7192"/>
    <w:rsid w:val="006A74C7"/>
    <w:rsid w:val="006A78E4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51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443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2780B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6DDF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552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1C19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264382A"/>
    <w:rsid w:val="153461C2"/>
    <w:rsid w:val="16D503C0"/>
    <w:rsid w:val="17353FF7"/>
    <w:rsid w:val="1A194FD9"/>
    <w:rsid w:val="1F6E645F"/>
    <w:rsid w:val="2A894C89"/>
    <w:rsid w:val="332D5648"/>
    <w:rsid w:val="37262037"/>
    <w:rsid w:val="49F47CD8"/>
    <w:rsid w:val="4FF90255"/>
    <w:rsid w:val="587F1A8E"/>
    <w:rsid w:val="5D07702A"/>
    <w:rsid w:val="69565D69"/>
    <w:rsid w:val="7DB87570"/>
    <w:rsid w:val="7FF9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qFormat/>
    <w:locked/>
    <w:uiPriority w:val="99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qFormat/>
    <w:uiPriority w:val="99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5">
    <w:name w:val="Balloon Text"/>
    <w:basedOn w:val="1"/>
    <w:link w:val="20"/>
    <w:qFormat/>
    <w:uiPriority w:val="99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7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toc 1"/>
    <w:basedOn w:val="1"/>
    <w:next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9">
    <w:name w:val="toc 2"/>
    <w:basedOn w:val="1"/>
    <w:next w:val="1"/>
    <w:qFormat/>
    <w:uiPriority w:val="9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1">
    <w:name w:val="Strong"/>
    <w:basedOn w:val="10"/>
    <w:qFormat/>
    <w:uiPriority w:val="99"/>
    <w:rPr>
      <w:rFonts w:cs="Times New Roman"/>
      <w:b/>
      <w:bCs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qFormat/>
    <w:locked/>
    <w:uiPriority w:val="99"/>
    <w:rPr>
      <w:rFonts w:eastAsia="黑体" w:cs="Calibri"/>
      <w:bCs/>
      <w:kern w:val="44"/>
      <w:sz w:val="44"/>
      <w:szCs w:val="44"/>
    </w:rPr>
  </w:style>
  <w:style w:type="character" w:customStyle="1" w:styleId="15">
    <w:name w:val="标题 2 Char"/>
    <w:basedOn w:val="10"/>
    <w:link w:val="3"/>
    <w:qFormat/>
    <w:locked/>
    <w:uiPriority w:val="99"/>
    <w:rPr>
      <w:rFonts w:eastAsia="楷体_GB2312" w:cs="Times New Roman"/>
      <w:b/>
      <w:bCs/>
      <w:kern w:val="2"/>
      <w:sz w:val="32"/>
      <w:szCs w:val="32"/>
    </w:rPr>
  </w:style>
  <w:style w:type="paragraph" w:styleId="16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7">
    <w:name w:val="页眉 Char"/>
    <w:basedOn w:val="10"/>
    <w:link w:val="7"/>
    <w:qFormat/>
    <w:locked/>
    <w:uiPriority w:val="99"/>
    <w:rPr>
      <w:rFonts w:eastAsia="仿宋" w:cs="Times New Roman"/>
      <w:sz w:val="18"/>
      <w:szCs w:val="18"/>
    </w:rPr>
  </w:style>
  <w:style w:type="character" w:customStyle="1" w:styleId="18">
    <w:name w:val="页脚 Char"/>
    <w:basedOn w:val="10"/>
    <w:link w:val="6"/>
    <w:qFormat/>
    <w:locked/>
    <w:uiPriority w:val="99"/>
    <w:rPr>
      <w:rFonts w:eastAsia="仿宋" w:cs="Times New Roman"/>
      <w:sz w:val="18"/>
      <w:szCs w:val="18"/>
    </w:rPr>
  </w:style>
  <w:style w:type="character" w:customStyle="1" w:styleId="19">
    <w:name w:val="日期 Char"/>
    <w:basedOn w:val="10"/>
    <w:link w:val="4"/>
    <w:semiHidden/>
    <w:qFormat/>
    <w:locked/>
    <w:uiPriority w:val="99"/>
    <w:rPr>
      <w:rFonts w:eastAsia="仿宋" w:cs="Times New Roman"/>
      <w:kern w:val="2"/>
      <w:sz w:val="24"/>
      <w:szCs w:val="24"/>
    </w:rPr>
  </w:style>
  <w:style w:type="character" w:customStyle="1" w:styleId="20">
    <w:name w:val="批注框文本 Char"/>
    <w:basedOn w:val="10"/>
    <w:link w:val="5"/>
    <w:qFormat/>
    <w:locked/>
    <w:uiPriority w:val="99"/>
    <w:rPr>
      <w:rFonts w:eastAsia="仿宋" w:cs="Times New Roman"/>
      <w:kern w:val="2"/>
      <w:sz w:val="18"/>
      <w:szCs w:val="18"/>
    </w:rPr>
  </w:style>
  <w:style w:type="paragraph" w:customStyle="1" w:styleId="21">
    <w:name w:val="列出段落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2">
    <w:name w:val="font41"/>
    <w:basedOn w:val="10"/>
    <w:qFormat/>
    <w:uiPriority w:val="99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29795A-EC3E-4FEF-826E-4EBEC16042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695</Words>
  <Characters>3963</Characters>
  <Lines>33</Lines>
  <Paragraphs>9</Paragraphs>
  <TotalTime>29</TotalTime>
  <ScaleCrop>false</ScaleCrop>
  <LinksUpToDate>false</LinksUpToDate>
  <CharactersWithSpaces>4649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2020-10-10T03:36:00Z</dcterms:created>
  <dc:creator>PC</dc:creator>
  <cp:lastModifiedBy>Administrator</cp:lastModifiedBy>
  <cp:lastPrinted>2020-10-15T01:48:00Z</cp:lastPrinted>
  <dcterms:modified xsi:type="dcterms:W3CDTF">2022-12-20T03:19:48Z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