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hint="eastAsia"/>
          <w:sz w:val="44"/>
          <w:szCs w:val="44"/>
          <w:lang w:eastAsia="zh-CN"/>
        </w:rPr>
      </w:pPr>
    </w:p>
    <w:p>
      <w:pPr>
        <w:pStyle w:val="12"/>
        <w:jc w:val="center"/>
        <w:rPr>
          <w:rFonts w:hint="eastAsia"/>
          <w:sz w:val="44"/>
          <w:szCs w:val="44"/>
          <w:lang w:eastAsia="zh-CN"/>
        </w:rPr>
      </w:pPr>
      <w:r>
        <w:rPr>
          <w:rFonts w:hint="eastAsia"/>
          <w:sz w:val="44"/>
          <w:szCs w:val="44"/>
          <w:lang w:eastAsia="zh-CN"/>
        </w:rPr>
        <w:t>湘潭县文化旅游广电体育局</w:t>
      </w:r>
    </w:p>
    <w:p>
      <w:pPr>
        <w:pStyle w:val="12"/>
        <w:jc w:val="center"/>
        <w:rPr>
          <w:b/>
          <w:sz w:val="44"/>
          <w:szCs w:val="44"/>
        </w:rPr>
      </w:pPr>
      <w:r>
        <w:rPr>
          <w:rFonts w:hint="eastAsia"/>
          <w:sz w:val="44"/>
          <w:szCs w:val="44"/>
        </w:rPr>
        <w:t>202</w:t>
      </w:r>
      <w:r>
        <w:rPr>
          <w:rFonts w:hint="eastAsia"/>
          <w:sz w:val="44"/>
          <w:szCs w:val="44"/>
          <w:lang w:val="en-US" w:eastAsia="zh-CN"/>
        </w:rPr>
        <w:t>1</w:t>
      </w:r>
      <w:r>
        <w:rPr>
          <w:rFonts w:hint="eastAsia"/>
          <w:sz w:val="44"/>
          <w:szCs w:val="44"/>
        </w:rPr>
        <w:t>年度部门决算</w:t>
      </w:r>
    </w:p>
    <w:p>
      <w:pPr>
        <w:pStyle w:val="12"/>
        <w:spacing w:line="540" w:lineRule="exact"/>
        <w:jc w:val="both"/>
        <w:rPr>
          <w:rFonts w:cs="Times New Roman"/>
          <w:sz w:val="56"/>
          <w:szCs w:val="56"/>
        </w:rPr>
      </w:pPr>
    </w:p>
    <w:p>
      <w:pPr>
        <w:pStyle w:val="12"/>
        <w:spacing w:line="500" w:lineRule="exact"/>
        <w:jc w:val="center"/>
        <w:rPr>
          <w:rFonts w:hint="eastAsia" w:ascii="仿宋" w:hAnsi="仿宋" w:eastAsia="仿宋" w:cs="仿宋"/>
          <w:b/>
          <w:bCs/>
          <w:sz w:val="28"/>
          <w:szCs w:val="28"/>
        </w:rPr>
      </w:pPr>
      <w:r>
        <w:rPr>
          <w:rFonts w:hint="eastAsia" w:ascii="仿宋" w:hAnsi="仿宋" w:eastAsia="仿宋" w:cs="仿宋"/>
          <w:b/>
          <w:bCs/>
          <w:sz w:val="28"/>
          <w:szCs w:val="28"/>
        </w:rPr>
        <w:t>目录</w:t>
      </w:r>
    </w:p>
    <w:p>
      <w:pPr>
        <w:pStyle w:val="12"/>
        <w:keepNext w:val="0"/>
        <w:keepLines w:val="0"/>
        <w:pageBreakBefore w:val="0"/>
        <w:kinsoku/>
        <w:wordWrap/>
        <w:overflowPunct/>
        <w:topLinePunct w:val="0"/>
        <w:bidi w:val="0"/>
        <w:snapToGrid/>
        <w:spacing w:line="576" w:lineRule="exact"/>
        <w:textAlignment w:val="auto"/>
        <w:rPr>
          <w:rFonts w:hint="eastAsia" w:ascii="仿宋" w:hAnsi="仿宋" w:eastAsia="仿宋" w:cs="仿宋"/>
          <w:b/>
          <w:sz w:val="28"/>
          <w:szCs w:val="28"/>
        </w:rPr>
      </w:pPr>
      <w:r>
        <w:rPr>
          <w:rFonts w:hint="eastAsia" w:ascii="仿宋" w:hAnsi="仿宋" w:eastAsia="仿宋" w:cs="仿宋"/>
          <w:b/>
          <w:sz w:val="28"/>
          <w:szCs w:val="28"/>
        </w:rPr>
        <w:t>第一部分</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单位概况</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一、部门职责</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b w:val="0"/>
          <w:bCs w:val="0"/>
          <w:kern w:val="0"/>
          <w:sz w:val="28"/>
          <w:szCs w:val="28"/>
        </w:rPr>
        <w:t>机构设置及决算单位构成</w:t>
      </w:r>
    </w:p>
    <w:p>
      <w:pPr>
        <w:pStyle w:val="12"/>
        <w:keepNext w:val="0"/>
        <w:keepLines w:val="0"/>
        <w:pageBreakBefore w:val="0"/>
        <w:kinsoku/>
        <w:wordWrap/>
        <w:overflowPunct/>
        <w:topLinePunct w:val="0"/>
        <w:bidi w:val="0"/>
        <w:snapToGrid/>
        <w:spacing w:line="576" w:lineRule="exact"/>
        <w:textAlignment w:val="auto"/>
        <w:rPr>
          <w:rFonts w:hint="eastAsia" w:ascii="仿宋" w:hAnsi="仿宋" w:eastAsia="仿宋" w:cs="仿宋"/>
          <w:b/>
          <w:sz w:val="28"/>
          <w:szCs w:val="28"/>
        </w:rPr>
      </w:pPr>
      <w:r>
        <w:rPr>
          <w:rFonts w:hint="eastAsia" w:ascii="仿宋" w:hAnsi="仿宋" w:eastAsia="仿宋" w:cs="仿宋"/>
          <w:b/>
          <w:sz w:val="28"/>
          <w:szCs w:val="28"/>
        </w:rPr>
        <w:t>第二部分</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202</w:t>
      </w:r>
      <w:r>
        <w:rPr>
          <w:rFonts w:hint="eastAsia" w:ascii="仿宋" w:hAnsi="仿宋" w:eastAsia="仿宋" w:cs="仿宋"/>
          <w:b/>
          <w:sz w:val="28"/>
          <w:szCs w:val="28"/>
          <w:lang w:val="en-US" w:eastAsia="zh-CN"/>
        </w:rPr>
        <w:t>1</w:t>
      </w:r>
      <w:r>
        <w:rPr>
          <w:rFonts w:hint="eastAsia" w:ascii="仿宋" w:hAnsi="仿宋" w:eastAsia="仿宋" w:cs="仿宋"/>
          <w:b/>
          <w:sz w:val="28"/>
          <w:szCs w:val="28"/>
        </w:rPr>
        <w:t>年度部门决算表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一、收入支出决算总表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二、收入决算表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三、支出决算表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四、财政拨款收入支出决算总表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五、一般公共预算财政拨款支出决算表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六、一般公共预算财政拨款基本支出决算表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七、一般公共预算财政拨款“三公”经费支出决算表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八、政府性基金预算财政拨款收入支出决算表</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九、国有资本经营预算财政拨款支出决算表</w:t>
      </w:r>
    </w:p>
    <w:p>
      <w:pPr>
        <w:pStyle w:val="12"/>
        <w:keepNext w:val="0"/>
        <w:keepLines w:val="0"/>
        <w:pageBreakBefore w:val="0"/>
        <w:kinsoku/>
        <w:wordWrap/>
        <w:overflowPunct/>
        <w:topLinePunct w:val="0"/>
        <w:bidi w:val="0"/>
        <w:snapToGrid/>
        <w:spacing w:line="576" w:lineRule="exact"/>
        <w:textAlignment w:val="auto"/>
        <w:rPr>
          <w:rFonts w:hint="eastAsia" w:ascii="仿宋" w:hAnsi="仿宋" w:eastAsia="仿宋" w:cs="仿宋"/>
          <w:b/>
          <w:sz w:val="28"/>
          <w:szCs w:val="28"/>
        </w:rPr>
      </w:pPr>
      <w:r>
        <w:rPr>
          <w:rFonts w:hint="eastAsia" w:ascii="仿宋" w:hAnsi="仿宋" w:eastAsia="仿宋" w:cs="仿宋"/>
          <w:b/>
          <w:sz w:val="28"/>
          <w:szCs w:val="28"/>
        </w:rPr>
        <w:t>第三部分</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202</w:t>
      </w:r>
      <w:r>
        <w:rPr>
          <w:rFonts w:hint="eastAsia" w:ascii="仿宋" w:hAnsi="仿宋" w:eastAsia="仿宋" w:cs="仿宋"/>
          <w:b/>
          <w:sz w:val="28"/>
          <w:szCs w:val="28"/>
          <w:lang w:val="en-US" w:eastAsia="zh-CN"/>
        </w:rPr>
        <w:t>1</w:t>
      </w:r>
      <w:r>
        <w:rPr>
          <w:rFonts w:hint="eastAsia" w:ascii="仿宋" w:hAnsi="仿宋" w:eastAsia="仿宋" w:cs="仿宋"/>
          <w:b/>
          <w:sz w:val="28"/>
          <w:szCs w:val="28"/>
        </w:rPr>
        <w:t>年度部门决算情况说明</w:t>
      </w:r>
    </w:p>
    <w:p>
      <w:pPr>
        <w:pStyle w:val="12"/>
        <w:keepNext w:val="0"/>
        <w:keepLines w:val="0"/>
        <w:pageBreakBefore w:val="0"/>
        <w:kinsoku/>
        <w:wordWrap/>
        <w:overflowPunct/>
        <w:topLinePunct w:val="0"/>
        <w:bidi w:val="0"/>
        <w:snapToGrid/>
        <w:spacing w:line="576"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一、收入支出决算总体情况说明</w:t>
      </w:r>
    </w:p>
    <w:p>
      <w:pPr>
        <w:keepNext w:val="0"/>
        <w:keepLines w:val="0"/>
        <w:pageBreakBefore w:val="0"/>
        <w:kinsoku/>
        <w:wordWrap/>
        <w:overflowPunct/>
        <w:topLinePunct w:val="0"/>
        <w:bidi w:val="0"/>
        <w:snapToGrid/>
        <w:spacing w:line="576" w:lineRule="exact"/>
        <w:ind w:firstLine="700" w:firstLineChars="250"/>
        <w:jc w:val="left"/>
        <w:textAlignment w:val="auto"/>
        <w:rPr>
          <w:rFonts w:hint="eastAsia" w:ascii="仿宋" w:hAnsi="仿宋" w:eastAsia="仿宋" w:cs="仿宋"/>
          <w:sz w:val="28"/>
          <w:szCs w:val="28"/>
        </w:rPr>
      </w:pPr>
      <w:r>
        <w:rPr>
          <w:rFonts w:hint="eastAsia" w:ascii="仿宋" w:hAnsi="仿宋" w:eastAsia="仿宋" w:cs="仿宋"/>
          <w:sz w:val="28"/>
          <w:szCs w:val="28"/>
        </w:rPr>
        <w:t>二、收入决算情况说明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三、支出决算情况说明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四、财政拨款收入支出决算总体情况说明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五、一般公共预算财政拨款支出决算情况说明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六、一般公共预算财政拨款基本支出决算情况说明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七、一般公共预算财政拨款三公经费支出决算情况说明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八、政府性基金预算收入支出决算情况</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九、国有资本经营预算财政拨款支出决算情况</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eastAsia="zh-CN"/>
        </w:rPr>
        <w:t>十、</w:t>
      </w:r>
      <w:r>
        <w:rPr>
          <w:rFonts w:hint="eastAsia" w:ascii="仿宋" w:hAnsi="仿宋" w:eastAsia="仿宋" w:cs="仿宋"/>
          <w:color w:val="000000"/>
          <w:kern w:val="0"/>
          <w:sz w:val="28"/>
          <w:szCs w:val="28"/>
        </w:rPr>
        <w:t>预算绩效情况说明</w:t>
      </w:r>
    </w:p>
    <w:p>
      <w:pPr>
        <w:keepNext w:val="0"/>
        <w:keepLines w:val="0"/>
        <w:pageBreakBefore w:val="0"/>
        <w:kinsoku/>
        <w:wordWrap/>
        <w:overflowPunct/>
        <w:topLinePunct w:val="0"/>
        <w:autoSpaceDE w:val="0"/>
        <w:autoSpaceDN w:val="0"/>
        <w:bidi w:val="0"/>
        <w:adjustRightInd w:val="0"/>
        <w:snapToGrid/>
        <w:spacing w:line="576" w:lineRule="exact"/>
        <w:ind w:firstLine="700" w:firstLineChars="2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eastAsia="zh-CN"/>
        </w:rPr>
        <w:t>十一、</w:t>
      </w:r>
      <w:r>
        <w:rPr>
          <w:rFonts w:hint="eastAsia" w:ascii="仿宋" w:hAnsi="仿宋" w:eastAsia="仿宋" w:cs="仿宋"/>
          <w:color w:val="000000"/>
          <w:kern w:val="0"/>
          <w:sz w:val="28"/>
          <w:szCs w:val="28"/>
        </w:rPr>
        <w:t>其他重要事项情况说明</w:t>
      </w:r>
    </w:p>
    <w:p>
      <w:pPr>
        <w:keepNext w:val="0"/>
        <w:keepLines w:val="0"/>
        <w:pageBreakBefore w:val="0"/>
        <w:kinsoku/>
        <w:wordWrap/>
        <w:overflowPunct/>
        <w:topLinePunct w:val="0"/>
        <w:autoSpaceDE w:val="0"/>
        <w:autoSpaceDN w:val="0"/>
        <w:bidi w:val="0"/>
        <w:adjustRightInd w:val="0"/>
        <w:snapToGrid/>
        <w:spacing w:line="576" w:lineRule="exact"/>
        <w:jc w:val="left"/>
        <w:textAlignment w:val="auto"/>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第四部分</w:t>
      </w:r>
      <w:r>
        <w:rPr>
          <w:rFonts w:hint="eastAsia" w:ascii="仿宋" w:hAnsi="仿宋" w:eastAsia="仿宋" w:cs="仿宋"/>
          <w:b/>
          <w:color w:val="000000"/>
          <w:kern w:val="0"/>
          <w:sz w:val="28"/>
          <w:szCs w:val="28"/>
          <w:lang w:val="en-US" w:eastAsia="zh-CN"/>
        </w:rPr>
        <w:t xml:space="preserve"> </w:t>
      </w:r>
      <w:r>
        <w:rPr>
          <w:rFonts w:hint="eastAsia" w:ascii="仿宋" w:hAnsi="仿宋" w:eastAsia="仿宋" w:cs="仿宋"/>
          <w:b/>
          <w:color w:val="000000"/>
          <w:kern w:val="0"/>
          <w:sz w:val="28"/>
          <w:szCs w:val="28"/>
        </w:rPr>
        <w:t>名词解释</w:t>
      </w:r>
    </w:p>
    <w:p>
      <w:pPr>
        <w:keepNext w:val="0"/>
        <w:keepLines w:val="0"/>
        <w:pageBreakBefore w:val="0"/>
        <w:kinsoku/>
        <w:wordWrap/>
        <w:overflowPunct/>
        <w:topLinePunct w:val="0"/>
        <w:autoSpaceDE w:val="0"/>
        <w:autoSpaceDN w:val="0"/>
        <w:bidi w:val="0"/>
        <w:adjustRightInd w:val="0"/>
        <w:snapToGrid/>
        <w:spacing w:line="576" w:lineRule="exact"/>
        <w:jc w:val="left"/>
        <w:textAlignment w:val="auto"/>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第五部分</w:t>
      </w:r>
      <w:r>
        <w:rPr>
          <w:rFonts w:hint="eastAsia" w:ascii="仿宋" w:hAnsi="仿宋" w:eastAsia="仿宋" w:cs="仿宋"/>
          <w:b/>
          <w:color w:val="000000"/>
          <w:kern w:val="0"/>
          <w:sz w:val="28"/>
          <w:szCs w:val="28"/>
          <w:lang w:val="en-US" w:eastAsia="zh-CN"/>
        </w:rPr>
        <w:t xml:space="preserve"> </w:t>
      </w:r>
      <w:r>
        <w:rPr>
          <w:rFonts w:hint="eastAsia" w:ascii="仿宋" w:hAnsi="仿宋" w:eastAsia="仿宋" w:cs="仿宋"/>
          <w:b/>
          <w:color w:val="000000"/>
          <w:kern w:val="0"/>
          <w:sz w:val="28"/>
          <w:szCs w:val="28"/>
        </w:rPr>
        <w:t>附件</w:t>
      </w:r>
    </w:p>
    <w:p>
      <w:pPr>
        <w:pStyle w:val="13"/>
        <w:ind w:left="0" w:leftChars="0" w:firstLine="0" w:firstLineChars="0"/>
        <w:jc w:val="left"/>
        <w:rPr>
          <w:rFonts w:hint="eastAsia" w:ascii="仿宋" w:hAnsi="仿宋" w:eastAsia="仿宋" w:cs="仿宋"/>
          <w:b/>
          <w:bCs/>
          <w:sz w:val="28"/>
          <w:szCs w:val="28"/>
        </w:rPr>
      </w:pPr>
    </w:p>
    <w:p>
      <w:pPr>
        <w:pStyle w:val="13"/>
        <w:ind w:left="0" w:leftChars="0" w:firstLine="0" w:firstLineChars="0"/>
        <w:jc w:val="left"/>
        <w:rPr>
          <w:rFonts w:hint="eastAsia" w:ascii="仿宋" w:hAnsi="仿宋" w:eastAsia="仿宋" w:cs="仿宋"/>
          <w:b/>
          <w:bCs/>
          <w:sz w:val="28"/>
          <w:szCs w:val="28"/>
        </w:rPr>
      </w:pPr>
    </w:p>
    <w:p>
      <w:pPr>
        <w:pStyle w:val="13"/>
        <w:keepNext w:val="0"/>
        <w:keepLines w:val="0"/>
        <w:pageBreakBefore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sz w:val="28"/>
          <w:szCs w:val="28"/>
        </w:rPr>
      </w:pPr>
      <w:r>
        <w:rPr>
          <w:rFonts w:hint="eastAsia" w:ascii="仿宋" w:hAnsi="仿宋" w:eastAsia="仿宋" w:cs="仿宋"/>
          <w:b/>
          <w:bCs/>
          <w:sz w:val="28"/>
          <w:szCs w:val="28"/>
        </w:rPr>
        <w:t>第一部分 单位概况</w:t>
      </w:r>
    </w:p>
    <w:p>
      <w:pPr>
        <w:pStyle w:val="13"/>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部门职责</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博物、非物质文化遗产保护和优秀民族文化的传承普及工作，组织推进全县广播电影电视公共服务工作。</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二、机构设置及决算单位构成</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（一）内设机构设置。</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湘潭县文化旅游广电体育局属财政全额拨款的行政事业单位。</w:t>
      </w:r>
      <w:r>
        <w:rPr>
          <w:rFonts w:hint="eastAsia" w:ascii="仿宋" w:hAnsi="仿宋" w:eastAsia="仿宋" w:cs="仿宋"/>
          <w:bCs/>
          <w:color w:val="000000"/>
          <w:kern w:val="0"/>
          <w:sz w:val="28"/>
          <w:szCs w:val="28"/>
        </w:rPr>
        <w:t>内设机构包括：办公室、公共文体股、艺术和非物质文化遗产股、资源开发和产业发展股、政策法规股（审批服务股）、文物管理股、计划财务股、机关党委、离退休人员管理服务股（人事股）。下辖县文化馆、县博物馆、县文化市场综合行政执法大队、县图书馆、县非物质文化遗产保护传承中心、县旅游服务中心、县全民健身服务中心、县体育彩票管理站、县少年儿童业余体校9个二级机构。</w:t>
      </w:r>
      <w:r>
        <w:rPr>
          <w:rFonts w:hint="eastAsia" w:ascii="仿宋" w:hAnsi="仿宋" w:eastAsia="仿宋" w:cs="仿宋"/>
          <w:bCs/>
          <w:color w:val="000000"/>
          <w:kern w:val="0"/>
          <w:sz w:val="28"/>
          <w:szCs w:val="28"/>
          <w:lang w:eastAsia="zh-CN"/>
        </w:rPr>
        <w:t>管理</w:t>
      </w:r>
      <w:r>
        <w:rPr>
          <w:rFonts w:hint="eastAsia" w:ascii="仿宋" w:hAnsi="仿宋" w:eastAsia="仿宋" w:cs="仿宋"/>
          <w:bCs/>
          <w:color w:val="000000"/>
          <w:kern w:val="0"/>
          <w:sz w:val="28"/>
          <w:szCs w:val="28"/>
        </w:rPr>
        <w:t>2个改制国有企业：县电影发行放映有限公司和县湖湘文化艺术有限责任公司。</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决算单位构成。</w:t>
      </w:r>
    </w:p>
    <w:p>
      <w:pPr>
        <w:keepNext w:val="0"/>
        <w:keepLines w:val="0"/>
        <w:pageBreakBefore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bCs/>
          <w:kern w:val="0"/>
          <w:sz w:val="28"/>
          <w:szCs w:val="28"/>
        </w:rPr>
        <w:t>湘潭县文化旅游广电体育局20</w:t>
      </w:r>
      <w:r>
        <w:rPr>
          <w:rFonts w:hint="eastAsia" w:ascii="仿宋" w:hAnsi="仿宋" w:eastAsia="仿宋" w:cs="仿宋"/>
          <w:bCs/>
          <w:kern w:val="0"/>
          <w:sz w:val="28"/>
          <w:szCs w:val="28"/>
          <w:lang w:val="en-US" w:eastAsia="zh-CN"/>
        </w:rPr>
        <w:t>21</w:t>
      </w:r>
      <w:r>
        <w:rPr>
          <w:rFonts w:hint="eastAsia" w:ascii="仿宋" w:hAnsi="仿宋" w:eastAsia="仿宋" w:cs="仿宋"/>
          <w:bCs/>
          <w:kern w:val="0"/>
          <w:sz w:val="28"/>
          <w:szCs w:val="28"/>
        </w:rPr>
        <w:t>年部门决算公开单位构成包括：湘潭县文化旅游广电体育</w:t>
      </w:r>
      <w:r>
        <w:rPr>
          <w:rFonts w:hint="eastAsia" w:ascii="仿宋" w:hAnsi="仿宋" w:eastAsia="仿宋" w:cs="仿宋"/>
          <w:bCs/>
          <w:color w:val="000000"/>
          <w:kern w:val="0"/>
          <w:sz w:val="28"/>
          <w:szCs w:val="28"/>
        </w:rPr>
        <w:t>局本级以及县博物</w:t>
      </w:r>
      <w:r>
        <w:rPr>
          <w:rFonts w:hint="eastAsia" w:ascii="仿宋" w:hAnsi="仿宋" w:eastAsia="仿宋" w:cs="仿宋"/>
          <w:bCs/>
          <w:kern w:val="0"/>
          <w:sz w:val="28"/>
          <w:szCs w:val="28"/>
        </w:rPr>
        <w:t>馆、县文化市场综合行政执法大队、县图书馆、县文化馆、县非物质文化遗产保护传承中心、县旅游服务中心、县全民健身中心、县体育彩票管理站、县少年儿童业余体校9个二级机构。</w:t>
      </w:r>
    </w:p>
    <w:p>
      <w:pPr>
        <w:spacing w:line="560" w:lineRule="exact"/>
        <w:jc w:val="both"/>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01</w:t>
            </w:r>
            <w:r>
              <w:rPr>
                <w:rFonts w:hint="eastAsia" w:ascii="宋体" w:hAnsi="宋体" w:cs="宋体"/>
                <w:color w:val="000000"/>
                <w:kern w:val="0"/>
                <w:sz w:val="22"/>
                <w:szCs w:val="22"/>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部门：</w:t>
            </w:r>
            <w:r>
              <w:rPr>
                <w:rFonts w:ascii="宋体" w:hAnsi="宋体" w:cs="宋体"/>
                <w:color w:val="000000"/>
                <w:kern w:val="0"/>
                <w:sz w:val="22"/>
                <w:szCs w:val="22"/>
              </w:rPr>
              <w:t xml:space="preserve"> </w:t>
            </w:r>
            <w:r>
              <w:rPr>
                <w:rFonts w:hint="eastAsia" w:ascii="宋体" w:hAnsi="宋体" w:cs="宋体"/>
                <w:color w:val="000000"/>
                <w:kern w:val="0"/>
                <w:sz w:val="22"/>
                <w:szCs w:val="22"/>
              </w:rPr>
              <w:t>湘潭县文化旅游广电体育局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单位：万元</w:t>
            </w:r>
          </w:p>
        </w:tc>
      </w:tr>
      <w:tr>
        <w:tblPrEx>
          <w:tblCellMar>
            <w:top w:w="0" w:type="dxa"/>
            <w:left w:w="108" w:type="dxa"/>
            <w:bottom w:w="0" w:type="dxa"/>
            <w:right w:w="108" w:type="dxa"/>
          </w:tblCellMar>
        </w:tblPrEx>
        <w:trPr>
          <w:trHeight w:val="315"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hint="eastAsia" w:ascii="宋体" w:hAnsi="宋体" w:cs="宋体"/>
                <w:kern w:val="0"/>
                <w:sz w:val="22"/>
                <w:szCs w:val="22"/>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hint="eastAsia" w:ascii="宋体" w:hAnsi="宋体" w:cs="宋体"/>
                <w:kern w:val="0"/>
                <w:sz w:val="22"/>
                <w:szCs w:val="22"/>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栏</w:t>
            </w:r>
            <w:r>
              <w:rPr>
                <w:rFonts w:ascii="宋体" w:hAnsi="宋体" w:cs="宋体"/>
                <w:kern w:val="0"/>
                <w:sz w:val="22"/>
                <w:szCs w:val="22"/>
              </w:rPr>
              <w:t xml:space="preserve">    </w:t>
            </w:r>
            <w:r>
              <w:rPr>
                <w:rFonts w:hint="eastAsia" w:ascii="宋体" w:hAnsi="宋体" w:cs="宋体"/>
                <w:kern w:val="0"/>
                <w:sz w:val="22"/>
                <w:szCs w:val="22"/>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栏</w:t>
            </w:r>
            <w:r>
              <w:rPr>
                <w:rFonts w:ascii="宋体" w:hAnsi="宋体" w:cs="宋体"/>
                <w:kern w:val="0"/>
                <w:sz w:val="22"/>
                <w:szCs w:val="22"/>
              </w:rPr>
              <w:t xml:space="preserve">    </w:t>
            </w:r>
            <w:r>
              <w:rPr>
                <w:rFonts w:hint="eastAsia" w:ascii="宋体" w:hAnsi="宋体" w:cs="宋体"/>
                <w:kern w:val="0"/>
                <w:sz w:val="22"/>
                <w:szCs w:val="22"/>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3026.21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58.53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20.98</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3220.06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114.34</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3220.06　</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3220.06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3220.06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val="0"/>
                <w:bCs w:val="0"/>
                <w:kern w:val="0"/>
                <w:sz w:val="22"/>
                <w:szCs w:val="22"/>
              </w:rPr>
              <w:t>3220.06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hint="eastAsia" w:ascii="宋体" w:hAnsi="宋体" w:eastAsia="宋体" w:cs="宋体"/>
                <w:kern w:val="0"/>
                <w:sz w:val="22"/>
                <w:szCs w:val="22"/>
                <w:lang w:eastAsia="zh-CN"/>
              </w:rPr>
            </w:pPr>
            <w:r>
              <w:rPr>
                <w:rFonts w:hint="eastAsia" w:ascii="宋体" w:hAnsi="宋体" w:cs="宋体"/>
                <w:kern w:val="0"/>
                <w:sz w:val="22"/>
                <w:szCs w:val="22"/>
              </w:rPr>
              <w:t>注：</w:t>
            </w:r>
            <w:r>
              <w:rPr>
                <w:rFonts w:ascii="宋体" w:hAnsi="宋体" w:cs="宋体"/>
                <w:kern w:val="0"/>
                <w:sz w:val="22"/>
                <w:szCs w:val="22"/>
              </w:rPr>
              <w:t>1.</w:t>
            </w:r>
            <w:r>
              <w:rPr>
                <w:rFonts w:hint="eastAsia" w:ascii="宋体" w:hAnsi="宋体" w:cs="宋体"/>
                <w:kern w:val="0"/>
                <w:sz w:val="22"/>
                <w:szCs w:val="22"/>
              </w:rPr>
              <w:t>本表反映部门本年度的总收支和年末结转结余情况。</w:t>
            </w:r>
          </w:p>
          <w:p>
            <w:pPr>
              <w:widowControl/>
              <w:jc w:val="left"/>
              <w:rPr>
                <w:rFonts w:ascii="宋体" w:cs="Times New Roman"/>
                <w:kern w:val="0"/>
                <w:sz w:val="22"/>
                <w:szCs w:val="22"/>
              </w:rPr>
            </w:pPr>
            <w:r>
              <w:rPr>
                <w:rFonts w:ascii="宋体" w:hAnsi="宋体" w:cs="宋体"/>
                <w:kern w:val="0"/>
                <w:sz w:val="22"/>
                <w:szCs w:val="22"/>
              </w:rPr>
              <w:t xml:space="preserve"> 2.</w:t>
            </w:r>
            <w:r>
              <w:rPr>
                <w:rFonts w:hint="eastAsia" w:ascii="宋体" w:hAnsi="宋体" w:cs="宋体"/>
                <w:kern w:val="0"/>
                <w:sz w:val="22"/>
                <w:szCs w:val="22"/>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4946" w:type="dxa"/>
        <w:tblInd w:w="-148" w:type="dxa"/>
        <w:tblLayout w:type="fixed"/>
        <w:tblCellMar>
          <w:top w:w="0" w:type="dxa"/>
          <w:left w:w="0" w:type="dxa"/>
          <w:bottom w:w="0" w:type="dxa"/>
          <w:right w:w="0" w:type="dxa"/>
        </w:tblCellMar>
      </w:tblPr>
      <w:tblGrid>
        <w:gridCol w:w="240"/>
        <w:gridCol w:w="838"/>
        <w:gridCol w:w="1330"/>
        <w:gridCol w:w="1686"/>
        <w:gridCol w:w="358"/>
        <w:gridCol w:w="1073"/>
        <w:gridCol w:w="358"/>
        <w:gridCol w:w="742"/>
        <w:gridCol w:w="358"/>
        <w:gridCol w:w="667"/>
        <w:gridCol w:w="358"/>
        <w:gridCol w:w="817"/>
        <w:gridCol w:w="358"/>
        <w:gridCol w:w="942"/>
        <w:gridCol w:w="358"/>
        <w:gridCol w:w="1401"/>
        <w:gridCol w:w="358"/>
        <w:gridCol w:w="2704"/>
      </w:tblGrid>
      <w:tr>
        <w:tblPrEx>
          <w:tblCellMar>
            <w:top w:w="0" w:type="dxa"/>
            <w:left w:w="0" w:type="dxa"/>
            <w:bottom w:w="0" w:type="dxa"/>
            <w:right w:w="0" w:type="dxa"/>
          </w:tblCellMar>
        </w:tblPrEx>
        <w:trPr>
          <w:trHeight w:val="489" w:hRule="atLeast"/>
        </w:trPr>
        <w:tc>
          <w:tcPr>
            <w:tcW w:w="1494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351" w:hRule="atLeast"/>
        </w:trPr>
        <w:tc>
          <w:tcPr>
            <w:tcW w:w="2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hint="eastAsia" w:ascii="宋体" w:hAnsi="宋体" w:eastAsia="宋体" w:cs="宋体"/>
                <w:sz w:val="22"/>
                <w:szCs w:val="22"/>
              </w:rPr>
            </w:pPr>
          </w:p>
        </w:tc>
        <w:tc>
          <w:tcPr>
            <w:tcW w:w="2704"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公开02表</w:t>
            </w:r>
          </w:p>
        </w:tc>
      </w:tr>
      <w:tr>
        <w:tblPrEx>
          <w:tblCellMar>
            <w:top w:w="0" w:type="dxa"/>
            <w:left w:w="0" w:type="dxa"/>
            <w:bottom w:w="0" w:type="dxa"/>
            <w:right w:w="0" w:type="dxa"/>
          </w:tblCellMar>
        </w:tblPrEx>
        <w:trPr>
          <w:trHeight w:val="407" w:hRule="atLeast"/>
        </w:trPr>
        <w:tc>
          <w:tcPr>
            <w:tcW w:w="107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eastAsia="宋体" w:cs="宋体"/>
                <w:color w:val="000000"/>
                <w:sz w:val="22"/>
                <w:szCs w:val="22"/>
              </w:rPr>
            </w:pPr>
            <w:r>
              <w:rPr>
                <w:rFonts w:hint="eastAsia" w:ascii="宋体" w:hAnsi="宋体" w:eastAsia="宋体" w:cs="宋体"/>
                <w:color w:val="000000"/>
                <w:sz w:val="22"/>
                <w:szCs w:val="22"/>
              </w:rPr>
              <w:t>部门：</w:t>
            </w:r>
          </w:p>
        </w:tc>
        <w:tc>
          <w:tcPr>
            <w:tcW w:w="3016" w:type="dxa"/>
            <w:gridSpan w:val="2"/>
            <w:tcBorders>
              <w:top w:val="nil"/>
              <w:left w:val="nil"/>
              <w:bottom w:val="nil"/>
              <w:right w:val="nil"/>
            </w:tcBorders>
            <w:shd w:val="clear" w:color="000000" w:fill="FFFFFF"/>
            <w:noWrap/>
            <w:tcMar>
              <w:top w:w="15" w:type="dxa"/>
              <w:left w:w="15" w:type="dxa"/>
              <w:bottom w:w="0" w:type="dxa"/>
              <w:right w:w="15" w:type="dxa"/>
            </w:tcMar>
            <w:vAlign w:val="bottom"/>
          </w:tcPr>
          <w:p>
            <w:pPr>
              <w:rPr>
                <w:rFonts w:hint="eastAsia" w:ascii="宋体" w:hAnsi="宋体" w:eastAsia="宋体" w:cs="宋体"/>
                <w:i w:val="0"/>
                <w:iCs w:val="0"/>
                <w:color w:val="000000"/>
                <w:sz w:val="22"/>
                <w:szCs w:val="22"/>
                <w:u w:val="none"/>
              </w:rPr>
            </w:pPr>
            <w:r>
              <w:rPr>
                <w:rFonts w:hint="eastAsia" w:ascii="宋体" w:hAnsi="宋体" w:eastAsia="宋体" w:cs="宋体"/>
                <w:color w:val="000000"/>
                <w:kern w:val="0"/>
                <w:sz w:val="22"/>
                <w:szCs w:val="22"/>
              </w:rPr>
              <w:t>湘潭县文化旅游广电体育局</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color w:val="000000"/>
                <w:sz w:val="22"/>
                <w:szCs w:val="22"/>
              </w:rPr>
            </w:pPr>
            <w:r>
              <w:rPr>
                <w:rFonts w:hint="eastAsia" w:ascii="宋体" w:hAnsi="宋体" w:eastAsia="宋体" w:cs="宋体"/>
                <w:color w:val="000000"/>
                <w:sz w:val="22"/>
                <w:szCs w:val="22"/>
              </w:rPr>
              <w:t>单位：万元</w:t>
            </w:r>
          </w:p>
        </w:tc>
      </w:tr>
      <w:tr>
        <w:tblPrEx>
          <w:tblCellMar>
            <w:top w:w="0" w:type="dxa"/>
            <w:left w:w="0" w:type="dxa"/>
            <w:bottom w:w="0" w:type="dxa"/>
            <w:right w:w="0" w:type="dxa"/>
          </w:tblCellMar>
        </w:tblPrEx>
        <w:trPr>
          <w:trHeight w:val="310" w:hRule="atLeast"/>
        </w:trPr>
        <w:tc>
          <w:tcPr>
            <w:tcW w:w="409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项    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其他收入</w:t>
            </w:r>
          </w:p>
        </w:tc>
      </w:tr>
      <w:tr>
        <w:tblPrEx>
          <w:tblCellMar>
            <w:top w:w="0" w:type="dxa"/>
            <w:left w:w="0" w:type="dxa"/>
            <w:bottom w:w="0" w:type="dxa"/>
            <w:right w:w="0" w:type="dxa"/>
          </w:tblCellMar>
        </w:tblPrEx>
        <w:trPr>
          <w:trHeight w:val="450" w:hRule="atLeast"/>
        </w:trPr>
        <w:tc>
          <w:tcPr>
            <w:tcW w:w="107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功能分类科目编码</w:t>
            </w:r>
          </w:p>
        </w:tc>
        <w:tc>
          <w:tcPr>
            <w:tcW w:w="3016"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r>
      <w:tr>
        <w:tblPrEx>
          <w:tblCellMar>
            <w:top w:w="0" w:type="dxa"/>
            <w:left w:w="0" w:type="dxa"/>
            <w:bottom w:w="0" w:type="dxa"/>
            <w:right w:w="0" w:type="dxa"/>
          </w:tblCellMar>
        </w:tblPrEx>
        <w:trPr>
          <w:trHeight w:val="312" w:hRule="atLeast"/>
        </w:trPr>
        <w:tc>
          <w:tcPr>
            <w:tcW w:w="107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3016" w:type="dxa"/>
            <w:gridSpan w:val="2"/>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2"/>
                <w:szCs w:val="22"/>
              </w:rPr>
            </w:pPr>
          </w:p>
        </w:tc>
      </w:tr>
      <w:tr>
        <w:tblPrEx>
          <w:tblCellMar>
            <w:top w:w="0" w:type="dxa"/>
            <w:left w:w="0" w:type="dxa"/>
            <w:bottom w:w="0" w:type="dxa"/>
            <w:right w:w="0" w:type="dxa"/>
          </w:tblCellMar>
        </w:tblPrEx>
        <w:trPr>
          <w:trHeight w:val="345" w:hRule="atLeast"/>
        </w:trPr>
        <w:tc>
          <w:tcPr>
            <w:tcW w:w="409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7</w:t>
            </w:r>
          </w:p>
        </w:tc>
      </w:tr>
      <w:tr>
        <w:tblPrEx>
          <w:tblCellMar>
            <w:top w:w="0" w:type="dxa"/>
            <w:left w:w="0" w:type="dxa"/>
            <w:bottom w:w="0" w:type="dxa"/>
            <w:right w:w="0" w:type="dxa"/>
          </w:tblCellMar>
        </w:tblPrEx>
        <w:trPr>
          <w:trHeight w:val="417" w:hRule="atLeast"/>
        </w:trPr>
        <w:tc>
          <w:tcPr>
            <w:tcW w:w="409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3,220.06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3,026.21</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58.53</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20.98</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color w:val="auto"/>
                <w:sz w:val="22"/>
                <w:szCs w:val="22"/>
              </w:rPr>
            </w:pPr>
            <w:r>
              <w:rPr>
                <w:rFonts w:hint="eastAsia" w:ascii="宋体" w:hAnsi="宋体" w:eastAsia="宋体" w:cs="宋体"/>
                <w:color w:val="auto"/>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color w:val="auto"/>
                <w:sz w:val="22"/>
                <w:szCs w:val="22"/>
              </w:rPr>
            </w:pPr>
            <w:r>
              <w:rPr>
                <w:rFonts w:hint="eastAsia" w:ascii="宋体" w:hAnsi="宋体" w:eastAsia="宋体" w:cs="宋体"/>
                <w:color w:val="auto"/>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114.34</w:t>
            </w:r>
          </w:p>
        </w:tc>
      </w:tr>
      <w:tr>
        <w:tblPrEx>
          <w:tblCellMar>
            <w:top w:w="0" w:type="dxa"/>
            <w:left w:w="0" w:type="dxa"/>
            <w:bottom w:w="0" w:type="dxa"/>
            <w:right w:w="0" w:type="dxa"/>
          </w:tblCellMar>
        </w:tblPrEx>
        <w:trPr>
          <w:trHeight w:val="330"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3,220.06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58.53</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20.98</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114.34</w:t>
            </w:r>
          </w:p>
        </w:tc>
      </w:tr>
      <w:tr>
        <w:tblPrEx>
          <w:tblCellMar>
            <w:top w:w="0" w:type="dxa"/>
            <w:left w:w="0" w:type="dxa"/>
            <w:bottom w:w="0" w:type="dxa"/>
            <w:right w:w="0" w:type="dxa"/>
          </w:tblCellMar>
        </w:tblPrEx>
        <w:trPr>
          <w:trHeight w:val="341"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20701</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1,608.97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1,481.13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58.53</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69.31</w:t>
            </w:r>
          </w:p>
        </w:tc>
      </w:tr>
      <w:tr>
        <w:tblPrEx>
          <w:tblCellMar>
            <w:top w:w="0" w:type="dxa"/>
            <w:left w:w="0" w:type="dxa"/>
            <w:bottom w:w="0" w:type="dxa"/>
            <w:right w:w="0" w:type="dxa"/>
          </w:tblCellMar>
        </w:tblPrEx>
        <w:trPr>
          <w:trHeight w:val="378"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2070101</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866.48</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814.16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52.32</w:t>
            </w:r>
          </w:p>
        </w:tc>
      </w:tr>
      <w:tr>
        <w:tblPrEx>
          <w:tblCellMar>
            <w:top w:w="0" w:type="dxa"/>
            <w:left w:w="0" w:type="dxa"/>
            <w:bottom w:w="0" w:type="dxa"/>
            <w:right w:w="0" w:type="dxa"/>
          </w:tblCellMar>
        </w:tblPrEx>
        <w:trPr>
          <w:trHeight w:val="375"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2070104</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图书馆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123.62</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r>
      <w:tr>
        <w:tblPrEx>
          <w:tblCellMar>
            <w:top w:w="0" w:type="dxa"/>
            <w:left w:w="0" w:type="dxa"/>
            <w:bottom w:w="0" w:type="dxa"/>
            <w:right w:w="0" w:type="dxa"/>
          </w:tblCellMar>
        </w:tblPrEx>
        <w:trPr>
          <w:trHeight w:val="375"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2070108</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文化活动</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293.89</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293.89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83"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2070199</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322.77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249.46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58.53</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14.78</w:t>
            </w:r>
          </w:p>
        </w:tc>
      </w:tr>
      <w:tr>
        <w:tblPrEx>
          <w:tblCellMar>
            <w:top w:w="0" w:type="dxa"/>
            <w:left w:w="0" w:type="dxa"/>
            <w:bottom w:w="0" w:type="dxa"/>
            <w:right w:w="0" w:type="dxa"/>
          </w:tblCellMar>
        </w:tblPrEx>
        <w:trPr>
          <w:trHeight w:val="28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20702</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198.75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20.98</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7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2070201</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4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2070204</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182.95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161.97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20.98</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7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2070205</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博物馆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4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20703</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体育</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0" w:type="dxa"/>
            <w:bottom w:w="0" w:type="dxa"/>
            <w:right w:w="0" w:type="dxa"/>
          </w:tblCellMar>
        </w:tblPrEx>
        <w:trPr>
          <w:trHeight w:val="357"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2070308</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群众体育</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0" w:type="dxa"/>
            <w:bottom w:w="0" w:type="dxa"/>
            <w:right w:w="0" w:type="dxa"/>
          </w:tblCellMar>
        </w:tblPrEx>
        <w:trPr>
          <w:trHeight w:val="37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20708</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广播电视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262.43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24.98</w:t>
            </w:r>
          </w:p>
        </w:tc>
      </w:tr>
      <w:tr>
        <w:tblPrEx>
          <w:tblCellMar>
            <w:top w:w="0" w:type="dxa"/>
            <w:left w:w="0" w:type="dxa"/>
            <w:bottom w:w="0" w:type="dxa"/>
            <w:right w:w="0" w:type="dxa"/>
          </w:tblCellMar>
        </w:tblPrEx>
        <w:trPr>
          <w:trHeight w:val="358"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2070899</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其他广播电视支出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262.43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24.98</w:t>
            </w:r>
          </w:p>
        </w:tc>
      </w:tr>
      <w:tr>
        <w:tblPrEx>
          <w:tblCellMar>
            <w:top w:w="0" w:type="dxa"/>
            <w:left w:w="0" w:type="dxa"/>
            <w:bottom w:w="0" w:type="dxa"/>
            <w:right w:w="0" w:type="dxa"/>
          </w:tblCellMar>
        </w:tblPrEx>
        <w:trPr>
          <w:trHeight w:val="40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20799</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1,051.69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0.04</w:t>
            </w:r>
          </w:p>
        </w:tc>
      </w:tr>
      <w:tr>
        <w:tblPrEx>
          <w:tblCellMar>
            <w:top w:w="0" w:type="dxa"/>
            <w:left w:w="0" w:type="dxa"/>
            <w:bottom w:w="0" w:type="dxa"/>
            <w:right w:w="0" w:type="dxa"/>
          </w:tblCellMar>
        </w:tblPrEx>
        <w:trPr>
          <w:trHeight w:val="372"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2079902</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宣传文化发展专项支出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r>
      <w:tr>
        <w:tblPrEx>
          <w:tblCellMar>
            <w:top w:w="0" w:type="dxa"/>
            <w:left w:w="0" w:type="dxa"/>
            <w:bottom w:w="0" w:type="dxa"/>
            <w:right w:w="0" w:type="dxa"/>
          </w:tblCellMar>
        </w:tblPrEx>
        <w:trPr>
          <w:trHeight w:val="387" w:hRule="atLeast"/>
        </w:trPr>
        <w:tc>
          <w:tcPr>
            <w:tcW w:w="10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2079903</w:t>
            </w:r>
          </w:p>
        </w:tc>
        <w:tc>
          <w:tcPr>
            <w:tcW w:w="301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文化产业发展专项支出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559.21</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559.17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hAnsi="宋体" w:eastAsia="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0.04</w:t>
            </w:r>
          </w:p>
        </w:tc>
      </w:tr>
      <w:tr>
        <w:tblPrEx>
          <w:tblCellMar>
            <w:top w:w="0" w:type="dxa"/>
            <w:left w:w="0" w:type="dxa"/>
            <w:bottom w:w="0" w:type="dxa"/>
            <w:right w:w="0" w:type="dxa"/>
          </w:tblCellMar>
        </w:tblPrEx>
        <w:trPr>
          <w:trHeight w:val="450" w:hRule="atLeast"/>
        </w:trPr>
        <w:tc>
          <w:tcPr>
            <w:tcW w:w="14946" w:type="dxa"/>
            <w:gridSpan w:val="18"/>
            <w:tcBorders>
              <w:top w:val="nil"/>
              <w:left w:val="nil"/>
              <w:bottom w:val="nil"/>
              <w:right w:val="nil"/>
            </w:tcBorders>
            <w:tcMar>
              <w:top w:w="15" w:type="dxa"/>
              <w:left w:w="15" w:type="dxa"/>
              <w:bottom w:w="0" w:type="dxa"/>
              <w:right w:w="15" w:type="dxa"/>
            </w:tcMar>
            <w:vAlign w:val="center"/>
          </w:tcPr>
          <w:p>
            <w:pPr>
              <w:rPr>
                <w:rFonts w:hint="eastAsia" w:ascii="宋体" w:hAnsi="宋体" w:eastAsia="宋体" w:cs="宋体"/>
                <w:sz w:val="22"/>
                <w:szCs w:val="22"/>
              </w:rPr>
            </w:pPr>
            <w:r>
              <w:rPr>
                <w:rFonts w:hint="eastAsia" w:ascii="宋体" w:hAnsi="宋体" w:eastAsia="宋体" w:cs="宋体"/>
                <w:sz w:val="22"/>
                <w:szCs w:val="22"/>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tbl>
      <w:tblPr>
        <w:tblStyle w:val="7"/>
        <w:tblpPr w:leftFromText="180" w:rightFromText="180" w:vertAnchor="text" w:horzAnchor="page" w:tblpX="813" w:tblpY="-503"/>
        <w:tblOverlap w:val="never"/>
        <w:tblW w:w="14318" w:type="dxa"/>
        <w:tblInd w:w="0" w:type="dxa"/>
        <w:tblLayout w:type="fixed"/>
        <w:tblCellMar>
          <w:top w:w="0" w:type="dxa"/>
          <w:left w:w="108" w:type="dxa"/>
          <w:bottom w:w="0" w:type="dxa"/>
          <w:right w:w="108" w:type="dxa"/>
        </w:tblCellMar>
      </w:tblPr>
      <w:tblGrid>
        <w:gridCol w:w="818"/>
        <w:gridCol w:w="380"/>
        <w:gridCol w:w="3206"/>
        <w:gridCol w:w="1328"/>
        <w:gridCol w:w="1224"/>
        <w:gridCol w:w="1242"/>
        <w:gridCol w:w="1706"/>
        <w:gridCol w:w="1449"/>
        <w:gridCol w:w="2965"/>
      </w:tblGrid>
      <w:tr>
        <w:tblPrEx>
          <w:tblCellMar>
            <w:top w:w="0" w:type="dxa"/>
            <w:left w:w="108" w:type="dxa"/>
            <w:bottom w:w="0" w:type="dxa"/>
            <w:right w:w="108" w:type="dxa"/>
          </w:tblCellMar>
        </w:tblPrEx>
        <w:trPr>
          <w:trHeight w:val="474" w:hRule="atLeast"/>
        </w:trPr>
        <w:tc>
          <w:tcPr>
            <w:tcW w:w="14318"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325" w:hRule="atLeast"/>
        </w:trPr>
        <w:tc>
          <w:tcPr>
            <w:tcW w:w="818"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80"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20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328"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22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242"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70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03</w:t>
            </w:r>
            <w:r>
              <w:rPr>
                <w:rFonts w:hint="eastAsia" w:ascii="宋体" w:hAnsi="宋体" w:cs="宋体"/>
                <w:color w:val="000000"/>
                <w:kern w:val="0"/>
                <w:sz w:val="22"/>
                <w:szCs w:val="22"/>
              </w:rPr>
              <w:t>表</w:t>
            </w:r>
          </w:p>
        </w:tc>
      </w:tr>
      <w:tr>
        <w:tblPrEx>
          <w:tblCellMar>
            <w:top w:w="0" w:type="dxa"/>
            <w:left w:w="108" w:type="dxa"/>
            <w:bottom w:w="0" w:type="dxa"/>
            <w:right w:w="108" w:type="dxa"/>
          </w:tblCellMar>
        </w:tblPrEx>
        <w:trPr>
          <w:trHeight w:val="392" w:hRule="atLeast"/>
        </w:trPr>
        <w:tc>
          <w:tcPr>
            <w:tcW w:w="818"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部门：</w:t>
            </w:r>
          </w:p>
        </w:tc>
        <w:tc>
          <w:tcPr>
            <w:tcW w:w="4914" w:type="dxa"/>
            <w:gridSpan w:val="3"/>
            <w:tcBorders>
              <w:top w:val="nil"/>
              <w:left w:val="nil"/>
              <w:bottom w:val="nil"/>
              <w:right w:val="nil"/>
            </w:tcBorders>
            <w:shd w:val="clear" w:color="000000" w:fill="FFFFFF"/>
            <w:noWrap/>
            <w:vAlign w:val="center"/>
          </w:tcPr>
          <w:p>
            <w:pPr>
              <w:widowControl/>
              <w:jc w:val="both"/>
              <w:rPr>
                <w:rFonts w:ascii="宋体" w:cs="Times New Roman"/>
                <w:kern w:val="0"/>
                <w:sz w:val="22"/>
                <w:szCs w:val="22"/>
              </w:rPr>
            </w:pPr>
            <w:r>
              <w:rPr>
                <w:rFonts w:hint="eastAsia" w:ascii="宋体" w:hAnsi="宋体" w:cs="宋体"/>
                <w:color w:val="000000"/>
                <w:kern w:val="0"/>
                <w:sz w:val="22"/>
                <w:szCs w:val="22"/>
              </w:rPr>
              <w:t>湘潭县文化旅游广电体育局</w:t>
            </w:r>
            <w:r>
              <w:rPr>
                <w:rFonts w:hint="eastAsia" w:ascii="宋体" w:hAnsi="宋体" w:cs="宋体"/>
                <w:kern w:val="0"/>
                <w:sz w:val="22"/>
                <w:szCs w:val="22"/>
              </w:rPr>
              <w:t>　　</w:t>
            </w:r>
          </w:p>
        </w:tc>
        <w:tc>
          <w:tcPr>
            <w:tcW w:w="122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242"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　</w:t>
            </w:r>
          </w:p>
        </w:tc>
        <w:tc>
          <w:tcPr>
            <w:tcW w:w="170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单位：万元</w:t>
            </w:r>
          </w:p>
        </w:tc>
      </w:tr>
      <w:tr>
        <w:tblPrEx>
          <w:tblCellMar>
            <w:top w:w="0" w:type="dxa"/>
            <w:left w:w="108" w:type="dxa"/>
            <w:bottom w:w="0" w:type="dxa"/>
            <w:right w:w="108" w:type="dxa"/>
          </w:tblCellMar>
        </w:tblPrEx>
        <w:trPr>
          <w:trHeight w:val="290" w:hRule="atLeast"/>
        </w:trPr>
        <w:tc>
          <w:tcPr>
            <w:tcW w:w="440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hint="eastAsia" w:ascii="宋体" w:hAnsi="宋体" w:cs="宋体"/>
                <w:kern w:val="0"/>
                <w:sz w:val="22"/>
                <w:szCs w:val="22"/>
              </w:rPr>
              <w:t>目</w:t>
            </w:r>
          </w:p>
        </w:tc>
        <w:tc>
          <w:tcPr>
            <w:tcW w:w="13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本年支出合计</w:t>
            </w:r>
          </w:p>
        </w:tc>
        <w:tc>
          <w:tcPr>
            <w:tcW w:w="122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基本支出</w:t>
            </w:r>
          </w:p>
        </w:tc>
        <w:tc>
          <w:tcPr>
            <w:tcW w:w="124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项目支出</w:t>
            </w:r>
          </w:p>
        </w:tc>
        <w:tc>
          <w:tcPr>
            <w:tcW w:w="170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上缴上级支出</w:t>
            </w:r>
          </w:p>
        </w:tc>
        <w:tc>
          <w:tcPr>
            <w:tcW w:w="144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经营支出</w:t>
            </w:r>
          </w:p>
        </w:tc>
        <w:tc>
          <w:tcPr>
            <w:tcW w:w="29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对附属单位补助支出</w:t>
            </w:r>
          </w:p>
        </w:tc>
      </w:tr>
      <w:tr>
        <w:tblPrEx>
          <w:tblCellMar>
            <w:top w:w="0" w:type="dxa"/>
            <w:left w:w="108" w:type="dxa"/>
            <w:bottom w:w="0" w:type="dxa"/>
            <w:right w:w="108" w:type="dxa"/>
          </w:tblCellMar>
        </w:tblPrEx>
        <w:trPr>
          <w:trHeight w:val="450" w:hRule="atLeast"/>
        </w:trPr>
        <w:tc>
          <w:tcPr>
            <w:tcW w:w="119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320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hint="eastAsia" w:ascii="宋体" w:hAnsi="宋体" w:cs="宋体"/>
                <w:kern w:val="0"/>
                <w:sz w:val="22"/>
                <w:szCs w:val="22"/>
              </w:rPr>
              <w:t>科目名称</w:t>
            </w:r>
          </w:p>
        </w:tc>
        <w:tc>
          <w:tcPr>
            <w:tcW w:w="13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2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7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trHeight w:val="312" w:hRule="atLeast"/>
        </w:trPr>
        <w:tc>
          <w:tcPr>
            <w:tcW w:w="119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320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3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2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7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trHeight w:val="315" w:hRule="atLeast"/>
        </w:trPr>
        <w:tc>
          <w:tcPr>
            <w:tcW w:w="44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栏次</w:t>
            </w:r>
          </w:p>
        </w:tc>
        <w:tc>
          <w:tcPr>
            <w:tcW w:w="13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7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296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r>
      <w:tr>
        <w:tblPrEx>
          <w:tblCellMar>
            <w:top w:w="0" w:type="dxa"/>
            <w:left w:w="108" w:type="dxa"/>
            <w:bottom w:w="0" w:type="dxa"/>
            <w:right w:w="108" w:type="dxa"/>
          </w:tblCellMar>
        </w:tblPrEx>
        <w:trPr>
          <w:trHeight w:val="390" w:hRule="atLeast"/>
        </w:trPr>
        <w:tc>
          <w:tcPr>
            <w:tcW w:w="44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3,220.06</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937.04</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2,283.02</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3,220.06</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937.04</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2,283.02</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20701</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1,608.97</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905.99</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702.98</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66"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2070101</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866.48</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840.99</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25.49</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2070104</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图书馆</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125.83</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25.65</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100.18</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60"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2070108</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文化活动</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293.89</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13.91</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279.98</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60"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2070199</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322.77</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25.43</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297.34</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1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20702</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219.73</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188.68</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7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2070201</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122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1242"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2070204</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文物保护</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182.95</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182.95</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1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2070205</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博物馆</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20703</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体育</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2070308</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群众体育</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22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77.19</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60"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20708</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广播电视</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262.43</w:t>
            </w:r>
          </w:p>
        </w:tc>
        <w:tc>
          <w:tcPr>
            <w:tcW w:w="122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262.43</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2070899</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其他广播电视支出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262.43</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262.43</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7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20799</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1,051.73</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1,051.73</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60"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2079902</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宣传文化发展专项支出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c>
          <w:tcPr>
            <w:tcW w:w="122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c>
          <w:tcPr>
            <w:tcW w:w="170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449"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29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315" w:hRule="atLeast"/>
        </w:trPr>
        <w:tc>
          <w:tcPr>
            <w:tcW w:w="119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2079903</w:t>
            </w:r>
          </w:p>
        </w:tc>
        <w:tc>
          <w:tcPr>
            <w:tcW w:w="320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文化产业发展专项支出</w:t>
            </w:r>
          </w:p>
        </w:tc>
        <w:tc>
          <w:tcPr>
            <w:tcW w:w="1328"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559.21</w:t>
            </w:r>
          </w:p>
        </w:tc>
        <w:tc>
          <w:tcPr>
            <w:tcW w:w="122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242"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559.21</w:t>
            </w:r>
          </w:p>
        </w:tc>
        <w:tc>
          <w:tcPr>
            <w:tcW w:w="170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44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630" w:hRule="atLeast"/>
        </w:trPr>
        <w:tc>
          <w:tcPr>
            <w:tcW w:w="14318" w:type="dxa"/>
            <w:gridSpan w:val="9"/>
            <w:tcBorders>
              <w:top w:val="nil"/>
              <w:left w:val="nil"/>
              <w:bottom w:val="nil"/>
              <w:right w:val="nil"/>
            </w:tcBorders>
            <w:vAlign w:val="center"/>
          </w:tcPr>
          <w:p>
            <w:pPr>
              <w:widowControl/>
              <w:jc w:val="left"/>
              <w:rPr>
                <w:rFonts w:hint="eastAsia" w:ascii="宋体" w:hAnsi="宋体" w:cs="宋体"/>
                <w:kern w:val="0"/>
                <w:sz w:val="22"/>
                <w:szCs w:val="22"/>
              </w:rPr>
            </w:pPr>
            <w:r>
              <w:rPr>
                <w:rFonts w:hint="eastAsia"/>
                <w:sz w:val="22"/>
                <w:szCs w:val="22"/>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rPr>
          <w:rFonts w:ascii="Times New Roman" w:hAnsi="Times New Roman" w:eastAsia="方正小标宋_GBK" w:cs="Times New Roman"/>
          <w:color w:val="000000"/>
          <w:kern w:val="0"/>
          <w:sz w:val="36"/>
          <w:szCs w:val="36"/>
        </w:rPr>
      </w:pPr>
    </w:p>
    <w:p>
      <w:pPr>
        <w:pStyle w:val="2"/>
        <w:ind w:left="0" w:leftChars="0" w:firstLine="0" w:firstLineChars="0"/>
        <w:rPr>
          <w:rFonts w:ascii="Times New Roman" w:hAnsi="Times New Roman" w:eastAsia="方正小标宋_GBK" w:cs="Times New Roman"/>
          <w:color w:val="000000"/>
          <w:kern w:val="0"/>
          <w:sz w:val="36"/>
          <w:szCs w:val="36"/>
        </w:rPr>
      </w:pPr>
    </w:p>
    <w:tbl>
      <w:tblPr>
        <w:tblStyle w:val="7"/>
        <w:tblW w:w="15522" w:type="dxa"/>
        <w:tblInd w:w="-106" w:type="dxa"/>
        <w:tblLayout w:type="autofit"/>
        <w:tblCellMar>
          <w:top w:w="0" w:type="dxa"/>
          <w:left w:w="108" w:type="dxa"/>
          <w:bottom w:w="0" w:type="dxa"/>
          <w:right w:w="108" w:type="dxa"/>
        </w:tblCellMar>
      </w:tblPr>
      <w:tblGrid>
        <w:gridCol w:w="3596"/>
        <w:gridCol w:w="436"/>
        <w:gridCol w:w="1096"/>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90"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519" w:hRule="atLeast"/>
        </w:trPr>
        <w:tc>
          <w:tcPr>
            <w:tcW w:w="15522"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04</w:t>
            </w:r>
            <w:r>
              <w:rPr>
                <w:rFonts w:hint="eastAsia" w:ascii="宋体" w:hAnsi="宋体" w:cs="宋体"/>
                <w:color w:val="000000"/>
                <w:kern w:val="0"/>
                <w:sz w:val="22"/>
                <w:szCs w:val="22"/>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部门：湘潭县文化旅游广电体育局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hint="eastAsia" w:ascii="宋体" w:hAnsi="宋体" w:cs="宋体"/>
                <w:kern w:val="0"/>
                <w:sz w:val="22"/>
                <w:szCs w:val="22"/>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hint="eastAsia" w:ascii="宋体" w:hAnsi="宋体" w:cs="宋体"/>
                <w:kern w:val="0"/>
                <w:sz w:val="22"/>
                <w:szCs w:val="22"/>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栏</w:t>
            </w:r>
            <w:r>
              <w:rPr>
                <w:rFonts w:ascii="宋体" w:hAnsi="宋体" w:cs="宋体"/>
                <w:kern w:val="0"/>
                <w:sz w:val="22"/>
                <w:szCs w:val="22"/>
              </w:rPr>
              <w:t xml:space="preserve">    </w:t>
            </w:r>
            <w:r>
              <w:rPr>
                <w:rFonts w:hint="eastAsia" w:ascii="宋体" w:hAnsi="宋体" w:cs="宋体"/>
                <w:kern w:val="0"/>
                <w:sz w:val="22"/>
                <w:szCs w:val="22"/>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栏</w:t>
            </w:r>
            <w:r>
              <w:rPr>
                <w:rFonts w:ascii="宋体" w:hAnsi="宋体" w:cs="宋体"/>
                <w:kern w:val="0"/>
                <w:sz w:val="22"/>
                <w:szCs w:val="22"/>
              </w:rPr>
              <w:t xml:space="preserve">    </w:t>
            </w:r>
            <w:r>
              <w:rPr>
                <w:rFonts w:hint="eastAsia" w:ascii="宋体" w:hAnsi="宋体" w:cs="宋体"/>
                <w:kern w:val="0"/>
                <w:sz w:val="22"/>
                <w:szCs w:val="22"/>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3,026.21</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pPr>
              <w:widowControl/>
              <w:jc w:val="left"/>
              <w:rPr>
                <w:rFonts w:ascii="宋体" w:cs="Times New Roman"/>
                <w:kern w:val="0"/>
                <w:sz w:val="22"/>
                <w:szCs w:val="22"/>
              </w:rPr>
            </w:pPr>
            <w:r>
              <w:rPr>
                <w:rFonts w:hint="eastAsia" w:ascii="宋体" w:hAnsi="宋体" w:cs="宋体"/>
                <w:kern w:val="0"/>
                <w:sz w:val="22"/>
                <w:szCs w:val="22"/>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hint="eastAsia" w:ascii="宋体" w:hAnsi="宋体" w:eastAsia="宋体" w:cs="宋体"/>
          <w:color w:val="000000"/>
          <w:kern w:val="0"/>
          <w:sz w:val="22"/>
          <w:szCs w:val="22"/>
        </w:rPr>
      </w:pPr>
      <w:r>
        <w:rPr>
          <w:rFonts w:ascii="Times New Roman" w:hAnsi="Times New Roman" w:eastAsia="仿宋_GB2312" w:cs="Times New Roman"/>
          <w:color w:val="000000"/>
          <w:kern w:val="0"/>
        </w:rPr>
        <w:t xml:space="preserve">     </w:t>
      </w:r>
      <w:r>
        <w:rPr>
          <w:rFonts w:hint="eastAsia" w:ascii="宋体" w:hAnsi="宋体" w:eastAsia="宋体" w:cs="宋体"/>
          <w:color w:val="000000"/>
          <w:kern w:val="0"/>
          <w:sz w:val="22"/>
          <w:szCs w:val="22"/>
        </w:rPr>
        <w:t>部门</w:t>
      </w:r>
      <w:r>
        <w:rPr>
          <w:rFonts w:hint="eastAsia" w:ascii="宋体" w:hAnsi="宋体" w:eastAsia="宋体" w:cs="宋体"/>
          <w:color w:val="000000"/>
          <w:kern w:val="0"/>
          <w:sz w:val="22"/>
          <w:szCs w:val="22"/>
          <w:lang w:eastAsia="zh-CN"/>
        </w:rPr>
        <w:t>：</w:t>
      </w:r>
      <w:r>
        <w:rPr>
          <w:rFonts w:hint="eastAsia" w:ascii="宋体" w:hAnsi="宋体" w:eastAsia="宋体" w:cs="宋体"/>
          <w:color w:val="000000"/>
          <w:kern w:val="0"/>
          <w:sz w:val="22"/>
          <w:szCs w:val="22"/>
        </w:rPr>
        <w:t>湘潭县文化旅游广电体育局                                                                                          公开05表</w:t>
      </w:r>
    </w:p>
    <w:tbl>
      <w:tblPr>
        <w:tblStyle w:val="7"/>
        <w:tblpPr w:leftFromText="180" w:rightFromText="180" w:vertAnchor="text" w:horzAnchor="page" w:tblpX="1461" w:tblpY="117"/>
        <w:tblOverlap w:val="never"/>
        <w:tblW w:w="14219" w:type="dxa"/>
        <w:tblInd w:w="0" w:type="dxa"/>
        <w:tblLayout w:type="autofit"/>
        <w:tblCellMar>
          <w:top w:w="0" w:type="dxa"/>
          <w:left w:w="108" w:type="dxa"/>
          <w:bottom w:w="0" w:type="dxa"/>
          <w:right w:w="108" w:type="dxa"/>
        </w:tblCellMar>
      </w:tblPr>
      <w:tblGrid>
        <w:gridCol w:w="1119"/>
        <w:gridCol w:w="3517"/>
        <w:gridCol w:w="3091"/>
        <w:gridCol w:w="3492"/>
        <w:gridCol w:w="3000"/>
      </w:tblGrid>
      <w:tr>
        <w:tblPrEx>
          <w:tblCellMar>
            <w:top w:w="0" w:type="dxa"/>
            <w:left w:w="108" w:type="dxa"/>
            <w:bottom w:w="0" w:type="dxa"/>
            <w:right w:w="108" w:type="dxa"/>
          </w:tblCellMar>
        </w:tblPrEx>
        <w:trPr>
          <w:trHeight w:val="405" w:hRule="atLeast"/>
        </w:trPr>
        <w:tc>
          <w:tcPr>
            <w:tcW w:w="4636"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 xml:space="preserve">项 </w:t>
            </w:r>
            <w:r>
              <w:rPr>
                <w:rFonts w:hint="eastAsia" w:ascii="宋体" w:hAnsi="宋体" w:eastAsia="宋体" w:cs="宋体"/>
                <w:b/>
                <w:bCs/>
                <w:color w:val="000000"/>
                <w:kern w:val="0"/>
                <w:sz w:val="22"/>
                <w:szCs w:val="22"/>
              </w:rPr>
              <w:t xml:space="preserve">   </w:t>
            </w:r>
            <w:r>
              <w:rPr>
                <w:rFonts w:hint="eastAsia" w:ascii="宋体" w:hAnsi="宋体" w:eastAsia="宋体" w:cs="宋体"/>
                <w:b/>
                <w:bCs/>
                <w:kern w:val="0"/>
                <w:sz w:val="22"/>
                <w:szCs w:val="22"/>
              </w:rPr>
              <w:t>目</w:t>
            </w:r>
          </w:p>
        </w:tc>
        <w:tc>
          <w:tcPr>
            <w:tcW w:w="9583" w:type="dxa"/>
            <w:gridSpan w:val="3"/>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本年支出</w:t>
            </w:r>
          </w:p>
        </w:tc>
      </w:tr>
      <w:tr>
        <w:tblPrEx>
          <w:tblCellMar>
            <w:top w:w="0" w:type="dxa"/>
            <w:left w:w="108" w:type="dxa"/>
            <w:bottom w:w="0" w:type="dxa"/>
            <w:right w:w="108" w:type="dxa"/>
          </w:tblCellMar>
        </w:tblPrEx>
        <w:trPr>
          <w:trHeight w:val="495" w:hRule="atLeast"/>
        </w:trPr>
        <w:tc>
          <w:tcPr>
            <w:tcW w:w="1119"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功能分类科目编码</w:t>
            </w:r>
          </w:p>
        </w:tc>
        <w:tc>
          <w:tcPr>
            <w:tcW w:w="3517"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科目名称</w:t>
            </w:r>
          </w:p>
        </w:tc>
        <w:tc>
          <w:tcPr>
            <w:tcW w:w="3091"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项目支出</w:t>
            </w:r>
          </w:p>
        </w:tc>
      </w:tr>
      <w:tr>
        <w:tblPrEx>
          <w:tblCellMar>
            <w:top w:w="0" w:type="dxa"/>
            <w:left w:w="108" w:type="dxa"/>
            <w:bottom w:w="0" w:type="dxa"/>
            <w:right w:w="108" w:type="dxa"/>
          </w:tblCellMar>
        </w:tblPrEx>
        <w:trPr>
          <w:trHeight w:val="360" w:hRule="atLeast"/>
        </w:trPr>
        <w:tc>
          <w:tcPr>
            <w:tcW w:w="1119"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2"/>
                <w:szCs w:val="22"/>
              </w:rPr>
            </w:pPr>
          </w:p>
        </w:tc>
        <w:tc>
          <w:tcPr>
            <w:tcW w:w="351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2"/>
                <w:szCs w:val="22"/>
              </w:rPr>
            </w:pPr>
          </w:p>
        </w:tc>
        <w:tc>
          <w:tcPr>
            <w:tcW w:w="3091"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12" w:hRule="atLeast"/>
        </w:trPr>
        <w:tc>
          <w:tcPr>
            <w:tcW w:w="1119"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2"/>
                <w:szCs w:val="22"/>
              </w:rPr>
            </w:pPr>
          </w:p>
        </w:tc>
        <w:tc>
          <w:tcPr>
            <w:tcW w:w="351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2"/>
                <w:szCs w:val="22"/>
              </w:rPr>
            </w:pPr>
          </w:p>
        </w:tc>
        <w:tc>
          <w:tcPr>
            <w:tcW w:w="3091"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15" w:hRule="atLeast"/>
        </w:trPr>
        <w:tc>
          <w:tcPr>
            <w:tcW w:w="463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栏次</w:t>
            </w:r>
          </w:p>
        </w:tc>
        <w:tc>
          <w:tcPr>
            <w:tcW w:w="309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3</w:t>
            </w:r>
          </w:p>
        </w:tc>
      </w:tr>
      <w:tr>
        <w:tblPrEx>
          <w:tblCellMar>
            <w:top w:w="0" w:type="dxa"/>
            <w:left w:w="108" w:type="dxa"/>
            <w:bottom w:w="0" w:type="dxa"/>
            <w:right w:w="108" w:type="dxa"/>
          </w:tblCellMar>
        </w:tblPrEx>
        <w:trPr>
          <w:trHeight w:val="405" w:hRule="atLeast"/>
        </w:trPr>
        <w:tc>
          <w:tcPr>
            <w:tcW w:w="463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3,026.21</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893.96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2,132.25</w:t>
            </w:r>
          </w:p>
        </w:tc>
      </w:tr>
      <w:tr>
        <w:tblPrEx>
          <w:tblCellMar>
            <w:top w:w="0" w:type="dxa"/>
            <w:left w:w="108" w:type="dxa"/>
            <w:bottom w:w="0" w:type="dxa"/>
            <w:right w:w="108" w:type="dxa"/>
          </w:tblCellMar>
        </w:tblPrEx>
        <w:trPr>
          <w:trHeight w:val="345"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w:t>
            </w:r>
            <w:r>
              <w:rPr>
                <w:rFonts w:hint="eastAsia" w:ascii="宋体" w:hAnsi="宋体" w:eastAsia="宋体" w:cs="宋体"/>
                <w:kern w:val="0"/>
                <w:sz w:val="22"/>
                <w:szCs w:val="22"/>
              </w:rPr>
              <w:t>　</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3,026.21</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893.96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2,132.25</w:t>
            </w:r>
          </w:p>
        </w:tc>
      </w:tr>
      <w:tr>
        <w:tblPrEx>
          <w:tblCellMar>
            <w:top w:w="0" w:type="dxa"/>
            <w:left w:w="108" w:type="dxa"/>
            <w:bottom w:w="0" w:type="dxa"/>
            <w:right w:w="108" w:type="dxa"/>
          </w:tblCellMar>
        </w:tblPrEx>
        <w:trPr>
          <w:trHeight w:val="36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20701</w:t>
            </w:r>
            <w:r>
              <w:rPr>
                <w:rFonts w:hint="eastAsia" w:ascii="宋体" w:hAnsi="宋体" w:eastAsia="宋体" w:cs="宋体"/>
                <w:kern w:val="0"/>
                <w:sz w:val="22"/>
                <w:szCs w:val="22"/>
              </w:rPr>
              <w:t>　</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1,481.13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862.91</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618.22</w:t>
            </w:r>
          </w:p>
        </w:tc>
      </w:tr>
      <w:tr>
        <w:tblPrEx>
          <w:tblCellMar>
            <w:top w:w="0" w:type="dxa"/>
            <w:left w:w="108" w:type="dxa"/>
            <w:bottom w:w="0" w:type="dxa"/>
            <w:right w:w="108" w:type="dxa"/>
          </w:tblCellMar>
        </w:tblPrEx>
        <w:trPr>
          <w:trHeight w:val="33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2070101</w:t>
            </w:r>
            <w:r>
              <w:rPr>
                <w:rFonts w:hint="eastAsia" w:ascii="宋体" w:hAnsi="宋体" w:eastAsia="宋体" w:cs="宋体"/>
                <w:kern w:val="0"/>
                <w:sz w:val="22"/>
                <w:szCs w:val="22"/>
              </w:rPr>
              <w:t>　</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814.16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797.92</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16.24</w:t>
            </w:r>
          </w:p>
        </w:tc>
      </w:tr>
      <w:tr>
        <w:tblPrEx>
          <w:tblCellMar>
            <w:top w:w="0" w:type="dxa"/>
            <w:left w:w="108" w:type="dxa"/>
            <w:bottom w:w="0" w:type="dxa"/>
            <w:right w:w="108" w:type="dxa"/>
          </w:tblCellMar>
        </w:tblPrEx>
        <w:trPr>
          <w:trHeight w:val="39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2070104</w:t>
            </w:r>
            <w:r>
              <w:rPr>
                <w:rFonts w:hint="eastAsia" w:ascii="宋体" w:hAnsi="宋体" w:eastAsia="宋体" w:cs="宋体"/>
                <w:kern w:val="0"/>
                <w:sz w:val="22"/>
                <w:szCs w:val="22"/>
              </w:rPr>
              <w:t>　</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图书馆</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123.62</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97.97</w:t>
            </w:r>
          </w:p>
        </w:tc>
      </w:tr>
      <w:tr>
        <w:tblPrEx>
          <w:tblCellMar>
            <w:top w:w="0" w:type="dxa"/>
            <w:left w:w="108" w:type="dxa"/>
            <w:bottom w:w="0" w:type="dxa"/>
            <w:right w:w="108" w:type="dxa"/>
          </w:tblCellMar>
        </w:tblPrEx>
        <w:trPr>
          <w:trHeight w:val="345"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2070108</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文化活动</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293.89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13.91</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279.98</w:t>
            </w:r>
          </w:p>
        </w:tc>
      </w:tr>
      <w:tr>
        <w:tblPrEx>
          <w:tblCellMar>
            <w:top w:w="0" w:type="dxa"/>
            <w:left w:w="108" w:type="dxa"/>
            <w:bottom w:w="0" w:type="dxa"/>
            <w:right w:w="108" w:type="dxa"/>
          </w:tblCellMar>
        </w:tblPrEx>
        <w:trPr>
          <w:trHeight w:val="362"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2070199</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249.46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25.43</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224.03</w:t>
            </w:r>
          </w:p>
        </w:tc>
      </w:tr>
      <w:tr>
        <w:tblPrEx>
          <w:tblCellMar>
            <w:top w:w="0" w:type="dxa"/>
            <w:left w:w="108" w:type="dxa"/>
            <w:bottom w:w="0" w:type="dxa"/>
            <w:right w:w="108" w:type="dxa"/>
          </w:tblCellMar>
        </w:tblPrEx>
        <w:trPr>
          <w:trHeight w:val="345"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20702</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198.75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167.71</w:t>
            </w:r>
          </w:p>
        </w:tc>
      </w:tr>
      <w:tr>
        <w:tblPrEx>
          <w:tblCellMar>
            <w:top w:w="0" w:type="dxa"/>
            <w:left w:w="108" w:type="dxa"/>
            <w:bottom w:w="0" w:type="dxa"/>
            <w:right w:w="108" w:type="dxa"/>
          </w:tblCellMar>
        </w:tblPrEx>
        <w:trPr>
          <w:trHeight w:val="345"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2070201</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31.05</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6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2070204</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文物保护</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161.97</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161.97</w:t>
            </w:r>
          </w:p>
        </w:tc>
      </w:tr>
      <w:tr>
        <w:tblPrEx>
          <w:tblCellMar>
            <w:top w:w="0" w:type="dxa"/>
            <w:left w:w="108" w:type="dxa"/>
            <w:bottom w:w="0" w:type="dxa"/>
            <w:right w:w="108" w:type="dxa"/>
          </w:tblCellMar>
        </w:tblPrEx>
        <w:trPr>
          <w:trHeight w:val="315"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2070205</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博物馆</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r>
      <w:tr>
        <w:tblPrEx>
          <w:tblCellMar>
            <w:top w:w="0" w:type="dxa"/>
            <w:left w:w="108" w:type="dxa"/>
            <w:bottom w:w="0" w:type="dxa"/>
            <w:right w:w="108" w:type="dxa"/>
          </w:tblCellMar>
        </w:tblPrEx>
        <w:trPr>
          <w:trHeight w:val="33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20703</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体育</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r>
      <w:tr>
        <w:tblPrEx>
          <w:tblCellMar>
            <w:top w:w="0" w:type="dxa"/>
            <w:left w:w="108" w:type="dxa"/>
            <w:bottom w:w="0" w:type="dxa"/>
            <w:right w:w="108" w:type="dxa"/>
          </w:tblCellMar>
        </w:tblPrEx>
        <w:trPr>
          <w:trHeight w:val="33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2070308</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群众体育</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57.19</w:t>
            </w:r>
          </w:p>
        </w:tc>
      </w:tr>
      <w:tr>
        <w:tblPrEx>
          <w:tblCellMar>
            <w:top w:w="0" w:type="dxa"/>
            <w:left w:w="108" w:type="dxa"/>
            <w:bottom w:w="0" w:type="dxa"/>
            <w:right w:w="108" w:type="dxa"/>
          </w:tblCellMar>
        </w:tblPrEx>
        <w:trPr>
          <w:trHeight w:val="33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20708</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广播电视</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r>
      <w:tr>
        <w:tblPrEx>
          <w:tblCellMar>
            <w:top w:w="0" w:type="dxa"/>
            <w:left w:w="108" w:type="dxa"/>
            <w:bottom w:w="0" w:type="dxa"/>
            <w:right w:w="108" w:type="dxa"/>
          </w:tblCellMar>
        </w:tblPrEx>
        <w:trPr>
          <w:trHeight w:val="330" w:hRule="atLeast"/>
        </w:trPr>
        <w:tc>
          <w:tcPr>
            <w:tcW w:w="1119" w:type="dxa"/>
            <w:tcBorders>
              <w:top w:val="single" w:color="auto" w:sz="4" w:space="0"/>
              <w:left w:val="single" w:color="auto" w:sz="8" w:space="0"/>
              <w:bottom w:val="single" w:color="auto" w:sz="4"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2070899</w:t>
            </w:r>
            <w:r>
              <w:rPr>
                <w:rFonts w:hint="eastAsia" w:ascii="宋体" w:hAnsi="宋体" w:eastAsia="宋体" w:cs="宋体"/>
                <w:kern w:val="0"/>
                <w:sz w:val="22"/>
                <w:szCs w:val="22"/>
              </w:rPr>
              <w:t>　</w:t>
            </w:r>
          </w:p>
        </w:tc>
        <w:tc>
          <w:tcPr>
            <w:tcW w:w="351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其他广播电视支出</w:t>
            </w:r>
          </w:p>
        </w:tc>
        <w:tc>
          <w:tcPr>
            <w:tcW w:w="309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237.45</w:t>
            </w:r>
          </w:p>
        </w:tc>
      </w:tr>
      <w:tr>
        <w:tblPrEx>
          <w:tblCellMar>
            <w:top w:w="0" w:type="dxa"/>
            <w:left w:w="108" w:type="dxa"/>
            <w:bottom w:w="0" w:type="dxa"/>
            <w:right w:w="108" w:type="dxa"/>
          </w:tblCellMar>
        </w:tblPrEx>
        <w:trPr>
          <w:trHeight w:val="335" w:hRule="atLeast"/>
        </w:trPr>
        <w:tc>
          <w:tcPr>
            <w:tcW w:w="1119" w:type="dxa"/>
            <w:tcBorders>
              <w:top w:val="single" w:color="auto" w:sz="4" w:space="0"/>
              <w:left w:val="single" w:color="auto" w:sz="8" w:space="0"/>
              <w:bottom w:val="single" w:color="auto" w:sz="8"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20799</w:t>
            </w:r>
          </w:p>
        </w:tc>
        <w:tc>
          <w:tcPr>
            <w:tcW w:w="351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91"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1,051.69</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1,051.69</w:t>
            </w:r>
          </w:p>
        </w:tc>
      </w:tr>
      <w:tr>
        <w:tblPrEx>
          <w:tblCellMar>
            <w:top w:w="0" w:type="dxa"/>
            <w:left w:w="108" w:type="dxa"/>
            <w:bottom w:w="0" w:type="dxa"/>
            <w:right w:w="108" w:type="dxa"/>
          </w:tblCellMar>
        </w:tblPrEx>
        <w:trPr>
          <w:trHeight w:val="285" w:hRule="atLeast"/>
        </w:trPr>
        <w:tc>
          <w:tcPr>
            <w:tcW w:w="1119" w:type="dxa"/>
            <w:tcBorders>
              <w:top w:val="single" w:color="auto" w:sz="4" w:space="0"/>
              <w:left w:val="single" w:color="auto" w:sz="8" w:space="0"/>
              <w:bottom w:val="single" w:color="auto" w:sz="8" w:space="0"/>
              <w:right w:val="single" w:color="auto" w:sz="4" w:space="0"/>
            </w:tcBorders>
            <w:vAlign w:val="center"/>
          </w:tcPr>
          <w:p>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2079902</w:t>
            </w:r>
          </w:p>
        </w:tc>
        <w:tc>
          <w:tcPr>
            <w:tcW w:w="351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宣传文化发展专项支出</w:t>
            </w:r>
          </w:p>
        </w:tc>
        <w:tc>
          <w:tcPr>
            <w:tcW w:w="3091"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492.52</w:t>
            </w:r>
          </w:p>
        </w:tc>
      </w:tr>
      <w:tr>
        <w:tblPrEx>
          <w:tblCellMar>
            <w:top w:w="0" w:type="dxa"/>
            <w:left w:w="108" w:type="dxa"/>
            <w:bottom w:w="0" w:type="dxa"/>
            <w:right w:w="108" w:type="dxa"/>
          </w:tblCellMar>
        </w:tblPrEx>
        <w:trPr>
          <w:trHeight w:val="373" w:hRule="atLeast"/>
        </w:trPr>
        <w:tc>
          <w:tcPr>
            <w:tcW w:w="1119" w:type="dxa"/>
            <w:tcBorders>
              <w:top w:val="single" w:color="auto" w:sz="4" w:space="0"/>
              <w:left w:val="single" w:color="auto" w:sz="8" w:space="0"/>
              <w:bottom w:val="single" w:color="auto" w:sz="8" w:space="0"/>
              <w:right w:val="single" w:color="auto" w:sz="4" w:space="0"/>
            </w:tcBorders>
            <w:vAlign w:val="center"/>
          </w:tcPr>
          <w:p>
            <w:pPr>
              <w:widowControl/>
              <w:jc w:val="both"/>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2079903</w:t>
            </w:r>
            <w:r>
              <w:rPr>
                <w:rFonts w:hint="eastAsia" w:ascii="宋体" w:hAnsi="宋体" w:eastAsia="宋体" w:cs="宋体"/>
                <w:kern w:val="0"/>
                <w:sz w:val="22"/>
                <w:szCs w:val="22"/>
              </w:rPr>
              <w:t>　</w:t>
            </w:r>
          </w:p>
        </w:tc>
        <w:tc>
          <w:tcPr>
            <w:tcW w:w="351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文化产业发展专项支出</w:t>
            </w:r>
          </w:p>
        </w:tc>
        <w:tc>
          <w:tcPr>
            <w:tcW w:w="3091"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559.17</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559.17</w:t>
            </w:r>
          </w:p>
        </w:tc>
      </w:tr>
      <w:tr>
        <w:tblPrEx>
          <w:tblCellMar>
            <w:top w:w="0" w:type="dxa"/>
            <w:left w:w="108" w:type="dxa"/>
            <w:bottom w:w="0" w:type="dxa"/>
            <w:right w:w="108" w:type="dxa"/>
          </w:tblCellMar>
        </w:tblPrEx>
        <w:trPr>
          <w:trHeight w:val="645" w:hRule="atLeast"/>
        </w:trPr>
        <w:tc>
          <w:tcPr>
            <w:tcW w:w="14219" w:type="dxa"/>
            <w:gridSpan w:val="5"/>
            <w:tcBorders>
              <w:top w:val="nil"/>
              <w:left w:val="nil"/>
              <w:bottom w:val="nil"/>
              <w:right w:val="nil"/>
            </w:tcBorders>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注：本表反映部门本年度一般公共预算财政拨款支出情况。</w:t>
            </w:r>
          </w:p>
        </w:tc>
      </w:tr>
    </w:tbl>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tbl>
      <w:tblPr>
        <w:tblStyle w:val="7"/>
        <w:tblW w:w="15772" w:type="dxa"/>
        <w:tblInd w:w="-106" w:type="dxa"/>
        <w:tblLayout w:type="fixed"/>
        <w:tblCellMar>
          <w:top w:w="0" w:type="dxa"/>
          <w:left w:w="108" w:type="dxa"/>
          <w:bottom w:w="0" w:type="dxa"/>
          <w:right w:w="108" w:type="dxa"/>
        </w:tblCellMar>
      </w:tblPr>
      <w:tblGrid>
        <w:gridCol w:w="1066"/>
        <w:gridCol w:w="3330"/>
        <w:gridCol w:w="1050"/>
        <w:gridCol w:w="1140"/>
        <w:gridCol w:w="2160"/>
        <w:gridCol w:w="975"/>
        <w:gridCol w:w="1146"/>
        <w:gridCol w:w="4029"/>
        <w:gridCol w:w="876"/>
      </w:tblGrid>
      <w:tr>
        <w:tblPrEx>
          <w:tblCellMar>
            <w:top w:w="0" w:type="dxa"/>
            <w:left w:w="108" w:type="dxa"/>
            <w:bottom w:w="0" w:type="dxa"/>
            <w:right w:w="108" w:type="dxa"/>
          </w:tblCellMar>
        </w:tblPrEx>
        <w:trPr>
          <w:trHeight w:val="1127" w:hRule="atLeast"/>
        </w:trPr>
        <w:tc>
          <w:tcPr>
            <w:tcW w:w="15772" w:type="dxa"/>
            <w:gridSpan w:val="9"/>
            <w:tcBorders>
              <w:top w:val="nil"/>
              <w:left w:val="nil"/>
              <w:bottom w:val="nil"/>
              <w:right w:val="nil"/>
            </w:tcBorders>
            <w:noWrap/>
            <w:vAlign w:val="center"/>
          </w:tcPr>
          <w:p>
            <w:pPr>
              <w:widowControl/>
              <w:jc w:val="center"/>
              <w:rPr>
                <w:rFonts w:hint="eastAsia" w:ascii="宋体" w:hAnsi="宋体" w:eastAsia="宋体" w:cs="宋体"/>
                <w:color w:val="000000"/>
                <w:kern w:val="0"/>
                <w:sz w:val="20"/>
                <w:szCs w:val="20"/>
              </w:rPr>
            </w:pPr>
            <w:bookmarkStart w:id="2" w:name="RANGE_A1_I34"/>
            <w:r>
              <w:rPr>
                <w:rFonts w:hint="eastAsia" w:ascii="宋体" w:hAnsi="宋体" w:eastAsia="宋体" w:cs="宋体"/>
                <w:color w:val="000000"/>
                <w:kern w:val="0"/>
                <w:sz w:val="20"/>
                <w:szCs w:val="20"/>
              </w:rPr>
              <w:t>一般公共预算财政拨款基本支出决算表</w:t>
            </w:r>
            <w:bookmarkEnd w:id="2"/>
          </w:p>
          <w:p>
            <w:pPr>
              <w:widowControl/>
              <w:wordWrap w:val="0"/>
              <w:jc w:val="both"/>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w:t>
            </w:r>
            <w:r>
              <w:rPr>
                <w:rFonts w:hint="eastAsia" w:ascii="宋体" w:hAnsi="宋体" w:eastAsia="宋体" w:cs="宋体"/>
                <w:color w:val="000000"/>
                <w:kern w:val="0"/>
                <w:sz w:val="20"/>
                <w:szCs w:val="20"/>
              </w:rPr>
              <w:t xml:space="preserve">湘潭县文化旅游广电体育局                                                                                           </w:t>
            </w:r>
            <w:r>
              <w:rPr>
                <w:rFonts w:hint="eastAsia" w:ascii="宋体" w:hAnsi="宋体" w:eastAsia="宋体" w:cs="宋体"/>
                <w:color w:val="000000"/>
                <w:kern w:val="0"/>
                <w:sz w:val="20"/>
                <w:szCs w:val="20"/>
                <w:lang w:val="en-US" w:eastAsia="zh-CN"/>
              </w:rPr>
              <w:t xml:space="preserve">                          </w:t>
            </w:r>
            <w:r>
              <w:rPr>
                <w:rFonts w:hint="eastAsia" w:ascii="宋体" w:hAnsi="宋体" w:eastAsia="宋体" w:cs="宋体"/>
                <w:color w:val="000000"/>
                <w:kern w:val="0"/>
                <w:sz w:val="20"/>
                <w:szCs w:val="20"/>
              </w:rPr>
              <w:t>公开06表</w:t>
            </w:r>
          </w:p>
          <w:p>
            <w:pPr>
              <w:widowControl/>
              <w:wordWrap w:val="0"/>
              <w:jc w:val="both"/>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val="en-US" w:eastAsia="zh-CN"/>
              </w:rPr>
              <w:t xml:space="preserve">                                                                                                                                                </w:t>
            </w: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113" w:hRule="atLeast"/>
        </w:trPr>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333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05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1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216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9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14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402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87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工资福利支出</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742.18</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商品和服务支出</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144.17</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307</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债务利息及费用支出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30101</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基本工资</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222.65</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30201</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办公费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28.32</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30701</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国内债务付息</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30102</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津贴补贴</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58.75</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30202</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印刷费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30702</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国外债务付息</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30103</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奖金</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113.11</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30203</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咨询费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0.70</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资本性支出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30106</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伙食补助费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31.45</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30204</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手续费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31001</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房屋建筑物购建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30107</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绩效工资</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31.02</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30205</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水费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0.99</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31002</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办公设备购置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30108</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机关事业单位基本养老保险缴费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79.44</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30206</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电费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4.45</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31003</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专用设备购置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30109</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职业年金缴费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18.93</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30207</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邮电费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1.06</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31005</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基础设施建设</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30110</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职工基本医疗保险缴费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34.43</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30208</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取暖费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31006</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大型修缮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30111</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公务员医疗补助缴费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10.45</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30209</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物业管理费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31007</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信息网络及软件购置更新</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30112</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其他社会保障缴费</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8.26</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30211</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差旅费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color w:val="000000"/>
                <w:kern w:val="0"/>
                <w:sz w:val="20"/>
                <w:szCs w:val="20"/>
              </w:rPr>
            </w:pPr>
            <w:r>
              <w:rPr>
                <w:rFonts w:hint="eastAsia" w:ascii="宋体" w:hAnsi="宋体" w:eastAsia="宋体" w:cs="宋体"/>
                <w:i w:val="0"/>
                <w:iCs w:val="0"/>
                <w:color w:val="000000"/>
                <w:kern w:val="0"/>
                <w:sz w:val="20"/>
                <w:szCs w:val="20"/>
                <w:u w:val="none"/>
                <w:lang w:val="en-US" w:eastAsia="zh-CN" w:bidi="ar"/>
              </w:rPr>
              <w:t>6.76</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31008</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物资储备</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30113</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住房公积金</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133.69</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30212</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因公出国（境）费用</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31009</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土地补偿</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30114</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医疗费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30213</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维修（护）费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5.62</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31010</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安置补助</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30199</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其他工资福利支出</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30214</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租赁费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31011</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地上附着物和青苗补偿</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对个人和家庭的补助</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7.61</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30215</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会议费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0.03</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31012</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拆迁补偿</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30301</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离休费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30216</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培训费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0.62</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31013</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公务用车购置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30302</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退休费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30217</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公务接待费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0.46</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31019</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其他交通工具购置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30303</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退职（役）费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30218</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专用材料费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31021</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文物和陈列品购置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30304</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抚恤金</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4.25</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30224</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被装购置费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31022</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无形资产购置</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30305</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生活补助</w:t>
            </w:r>
          </w:p>
        </w:tc>
        <w:tc>
          <w:tcPr>
            <w:tcW w:w="105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3.36</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30225</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专用燃料费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31099</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其他资本性支出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30306</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救济费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30226</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劳务费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8.27</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399</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30307</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医疗费补助</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30227</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委托业务费</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39906</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赠与</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30308</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助学金</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30228</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工会经费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23.10</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39907</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国家赔偿费用支出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30309</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奖励金</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30229</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福利费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8.3</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39908</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对民间非营利组织和群众性自治组织补贴</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30310</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个人农业生产补贴</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30231</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公务用车运行维护费</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4.80</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39999</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其他支出</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30311</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代缴社会保险费</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30239</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其他交通费用</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29.96</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30399</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其他对个人和家庭的补助</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30240</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税金及附加费用</w:t>
            </w:r>
          </w:p>
        </w:tc>
        <w:tc>
          <w:tcPr>
            <w:tcW w:w="975"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106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33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4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30299</w:t>
            </w:r>
          </w:p>
        </w:tc>
        <w:tc>
          <w:tcPr>
            <w:tcW w:w="216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其他商品和服务支出</w:t>
            </w:r>
          </w:p>
        </w:tc>
        <w:tc>
          <w:tcPr>
            <w:tcW w:w="975"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20.73</w:t>
            </w:r>
          </w:p>
        </w:tc>
        <w:tc>
          <w:tcPr>
            <w:tcW w:w="114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9"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　</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49" w:hRule="exact"/>
        </w:trPr>
        <w:tc>
          <w:tcPr>
            <w:tcW w:w="439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人员经费合计</w:t>
            </w:r>
          </w:p>
        </w:tc>
        <w:tc>
          <w:tcPr>
            <w:tcW w:w="105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749.79</w:t>
            </w:r>
          </w:p>
        </w:tc>
        <w:tc>
          <w:tcPr>
            <w:tcW w:w="9450" w:type="dxa"/>
            <w:gridSpan w:val="5"/>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公用经费合计</w:t>
            </w:r>
          </w:p>
        </w:tc>
        <w:tc>
          <w:tcPr>
            <w:tcW w:w="87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144.17</w:t>
            </w:r>
          </w:p>
        </w:tc>
      </w:tr>
      <w:tr>
        <w:tblPrEx>
          <w:tblCellMar>
            <w:top w:w="0" w:type="dxa"/>
            <w:left w:w="108" w:type="dxa"/>
            <w:bottom w:w="0" w:type="dxa"/>
            <w:right w:w="108" w:type="dxa"/>
          </w:tblCellMar>
        </w:tblPrEx>
        <w:trPr>
          <w:trHeight w:val="284" w:hRule="exact"/>
        </w:trPr>
        <w:tc>
          <w:tcPr>
            <w:tcW w:w="15772" w:type="dxa"/>
            <w:gridSpan w:val="9"/>
            <w:tcBorders>
              <w:top w:val="nil"/>
              <w:left w:val="nil"/>
              <w:bottom w:val="nil"/>
              <w:right w:val="nil"/>
            </w:tcBorders>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ind w:left="14710" w:leftChars="300" w:hanging="14080" w:hangingChars="6400"/>
        <w:jc w:val="left"/>
        <w:rPr>
          <w:rFonts w:ascii="Times New Roman" w:hAnsi="Times New Roman" w:eastAsia="仿宋_GB2312" w:cs="Times New Roman"/>
          <w:color w:val="000000"/>
          <w:kern w:val="0"/>
        </w:rPr>
      </w:pPr>
      <w:r>
        <w:rPr>
          <w:rFonts w:hint="eastAsia" w:ascii="宋体" w:hAnsi="宋体" w:eastAsia="宋体" w:cs="宋体"/>
          <w:color w:val="000000"/>
          <w:kern w:val="0"/>
          <w:sz w:val="22"/>
          <w:szCs w:val="22"/>
        </w:rPr>
        <w:t xml:space="preserve">部门：湘潭县文化旅游广电体育局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公务</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公务</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eastAsia="zh-CN"/>
              </w:rPr>
            </w:pPr>
            <w:r>
              <w:rPr>
                <w:rFonts w:hint="eastAsia" w:ascii="宋体" w:hAnsi="宋体" w:eastAsia="宋体" w:cs="宋体"/>
                <w:kern w:val="0"/>
                <w:sz w:val="22"/>
                <w:szCs w:val="22"/>
              </w:rPr>
              <w:t>公务用车</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eastAsia="zh-CN"/>
              </w:rPr>
            </w:pPr>
            <w:r>
              <w:rPr>
                <w:rFonts w:hint="eastAsia" w:ascii="宋体" w:hAnsi="宋体" w:eastAsia="宋体" w:cs="宋体"/>
                <w:kern w:val="0"/>
                <w:sz w:val="22"/>
                <w:szCs w:val="22"/>
              </w:rPr>
              <w:t>公务用车</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eastAsia="zh-CN"/>
              </w:rPr>
            </w:pPr>
            <w:r>
              <w:rPr>
                <w:rFonts w:hint="eastAsia" w:ascii="宋体" w:hAnsi="宋体" w:eastAsia="宋体" w:cs="宋体"/>
                <w:kern w:val="0"/>
                <w:sz w:val="22"/>
                <w:szCs w:val="22"/>
              </w:rPr>
              <w:t>公务用车</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eastAsia="zh-CN"/>
              </w:rPr>
            </w:pPr>
            <w:r>
              <w:rPr>
                <w:rFonts w:hint="eastAsia" w:ascii="宋体" w:hAnsi="宋体" w:eastAsia="宋体" w:cs="宋体"/>
                <w:kern w:val="0"/>
                <w:sz w:val="22"/>
                <w:szCs w:val="22"/>
              </w:rPr>
              <w:t>公务用车</w:t>
            </w:r>
          </w:p>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2</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3</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4</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5</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6</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7</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8</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9</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10</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11</w:t>
            </w:r>
          </w:p>
        </w:tc>
        <w:tc>
          <w:tcPr>
            <w:tcW w:w="122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19.3</w:t>
            </w:r>
          </w:p>
        </w:tc>
        <w:tc>
          <w:tcPr>
            <w:tcW w:w="1220"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4.8</w:t>
            </w:r>
          </w:p>
        </w:tc>
        <w:tc>
          <w:tcPr>
            <w:tcW w:w="1220"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4.8</w:t>
            </w:r>
          </w:p>
        </w:tc>
        <w:tc>
          <w:tcPr>
            <w:tcW w:w="1220"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14.5</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5.26</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4.80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1220" w:type="dxa"/>
            <w:tcBorders>
              <w:top w:val="nil"/>
              <w:left w:val="nil"/>
              <w:bottom w:val="single" w:color="auto" w:sz="8" w:space="0"/>
              <w:right w:val="nil"/>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4.80</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0.46</w:t>
            </w:r>
          </w:p>
        </w:tc>
      </w:tr>
    </w:tbl>
    <w:p>
      <w:pPr>
        <w:widowControl/>
        <w:jc w:val="left"/>
        <w:rPr>
          <w:rFonts w:ascii="宋体" w:cs="Times New Roman"/>
          <w:kern w:val="0"/>
          <w:sz w:val="24"/>
          <w:szCs w:val="24"/>
        </w:rPr>
      </w:pPr>
      <w:r>
        <w:rPr>
          <w:rFonts w:hint="eastAsia" w:ascii="宋体" w:hAnsi="宋体" w:eastAsia="宋体" w:cs="宋体"/>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heme="majorEastAsia" w:hAnsiTheme="majorEastAsia" w:eastAsiaTheme="majorEastAsia" w:cstheme="majorEastAsia"/>
          <w:color w:val="000000"/>
          <w:kern w:val="0"/>
          <w:sz w:val="22"/>
          <w:szCs w:val="22"/>
        </w:rPr>
        <w:t xml:space="preserve">部门：湘潭县文化旅游广电体育局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 xml:space="preserve">项 </w:t>
            </w:r>
            <w:r>
              <w:rPr>
                <w:rFonts w:hint="eastAsia" w:ascii="宋体" w:hAnsi="宋体" w:eastAsia="宋体" w:cs="宋体"/>
                <w:b/>
                <w:bCs/>
                <w:color w:val="000000"/>
                <w:kern w:val="0"/>
                <w:sz w:val="22"/>
                <w:szCs w:val="22"/>
              </w:rPr>
              <w:t xml:space="preserve">   </w:t>
            </w:r>
            <w:r>
              <w:rPr>
                <w:rFonts w:hint="eastAsia" w:ascii="宋体" w:hAnsi="宋体" w:eastAsia="宋体" w:cs="宋体"/>
                <w:b/>
                <w:bCs/>
                <w:kern w:val="0"/>
                <w:sz w:val="22"/>
                <w:szCs w:val="22"/>
              </w:rPr>
              <w:t>目</w:t>
            </w: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年初结转和结余</w:t>
            </w: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本年收入</w:t>
            </w:r>
          </w:p>
        </w:tc>
        <w:tc>
          <w:tcPr>
            <w:tcW w:w="6000" w:type="dxa"/>
            <w:gridSpan w:val="3"/>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本年支出</w:t>
            </w: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功能分类科目编码</w:t>
            </w:r>
          </w:p>
        </w:tc>
        <w:tc>
          <w:tcPr>
            <w:tcW w:w="132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科目名称</w:t>
            </w:r>
          </w:p>
        </w:tc>
        <w:tc>
          <w:tcPr>
            <w:tcW w:w="2000" w:type="dxa"/>
            <w:vMerge w:val="continue"/>
            <w:vAlign w:val="center"/>
          </w:tcPr>
          <w:p>
            <w:pPr>
              <w:widowControl/>
              <w:jc w:val="left"/>
              <w:rPr>
                <w:rFonts w:hint="eastAsia" w:ascii="宋体" w:hAnsi="宋体" w:eastAsia="宋体" w:cs="宋体"/>
                <w:b/>
                <w:bCs/>
                <w:kern w:val="0"/>
                <w:sz w:val="22"/>
                <w:szCs w:val="22"/>
              </w:rPr>
            </w:pPr>
          </w:p>
        </w:tc>
        <w:tc>
          <w:tcPr>
            <w:tcW w:w="2000" w:type="dxa"/>
            <w:vMerge w:val="continue"/>
            <w:vAlign w:val="center"/>
          </w:tcPr>
          <w:p>
            <w:pPr>
              <w:widowControl/>
              <w:jc w:val="left"/>
              <w:rPr>
                <w:rFonts w:hint="eastAsia" w:ascii="宋体" w:hAnsi="宋体" w:eastAsia="宋体" w:cs="宋体"/>
                <w:b/>
                <w:bCs/>
                <w:kern w:val="0"/>
                <w:sz w:val="22"/>
                <w:szCs w:val="22"/>
              </w:rPr>
            </w:pP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小计</w:t>
            </w: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 xml:space="preserve">基本支出  </w:t>
            </w:r>
          </w:p>
        </w:tc>
        <w:tc>
          <w:tcPr>
            <w:tcW w:w="2000" w:type="dxa"/>
            <w:vMerge w:val="restart"/>
            <w:vAlign w:val="center"/>
          </w:tcPr>
          <w:p>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项目支出</w:t>
            </w:r>
          </w:p>
        </w:tc>
        <w:tc>
          <w:tcPr>
            <w:tcW w:w="2000" w:type="dxa"/>
            <w:vMerge w:val="continue"/>
            <w:vAlign w:val="center"/>
          </w:tcPr>
          <w:p>
            <w:pPr>
              <w:widowControl/>
              <w:jc w:val="left"/>
              <w:rPr>
                <w:rFonts w:hint="eastAsia" w:ascii="宋体" w:hAnsi="宋体" w:eastAsia="宋体" w:cs="宋体"/>
                <w:b/>
                <w:bCs/>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宋体" w:hAnsi="宋体" w:eastAsia="宋体" w:cs="宋体"/>
                <w:kern w:val="0"/>
                <w:sz w:val="22"/>
                <w:szCs w:val="22"/>
              </w:rPr>
            </w:pPr>
          </w:p>
        </w:tc>
        <w:tc>
          <w:tcPr>
            <w:tcW w:w="132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宋体" w:hAnsi="宋体" w:eastAsia="宋体" w:cs="宋体"/>
                <w:kern w:val="0"/>
                <w:sz w:val="22"/>
                <w:szCs w:val="22"/>
              </w:rPr>
            </w:pPr>
          </w:p>
        </w:tc>
        <w:tc>
          <w:tcPr>
            <w:tcW w:w="132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c>
          <w:tcPr>
            <w:tcW w:w="2000" w:type="dxa"/>
            <w:vMerge w:val="continue"/>
            <w:vAlign w:val="center"/>
          </w:tcPr>
          <w:p>
            <w:pPr>
              <w:widowControl/>
              <w:jc w:val="left"/>
              <w:rPr>
                <w:rFonts w:hint="eastAsia" w:ascii="宋体" w:hAnsi="宋体" w:eastAsia="宋体" w:cs="宋体"/>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栏次</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2</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3</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4</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5</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4000" w:type="dxa"/>
            <w:gridSpan w:val="2"/>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本单位无政府性基金收支</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000" w:type="dxa"/>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　</w:t>
            </w:r>
          </w:p>
        </w:tc>
      </w:tr>
    </w:tbl>
    <w:p>
      <w:pPr>
        <w:widowControl/>
        <w:ind w:firstLine="440" w:firstLineChars="200"/>
        <w:jc w:val="left"/>
        <w:rPr>
          <w:rFonts w:hint="eastAsia" w:ascii="宋体" w:hAnsi="宋体" w:eastAsia="宋体" w:cs="宋体"/>
          <w:kern w:val="0"/>
          <w:sz w:val="22"/>
          <w:szCs w:val="22"/>
        </w:rPr>
      </w:pPr>
      <w:r>
        <w:rPr>
          <w:rFonts w:hint="eastAsia" w:ascii="宋体" w:hAnsi="宋体" w:eastAsia="宋体" w:cs="宋体"/>
          <w:kern w:val="0"/>
          <w:sz w:val="22"/>
          <w:szCs w:val="22"/>
        </w:rPr>
        <w:t>注：本表反映部门本年度政府性基金预算财政拨款收入、支出及结转和结余情况</w:t>
      </w:r>
    </w:p>
    <w:p>
      <w:pPr>
        <w:widowControl/>
        <w:ind w:firstLine="440" w:firstLineChars="200"/>
        <w:jc w:val="left"/>
        <w:rPr>
          <w:rFonts w:ascii="Times New Roman" w:hAnsi="Times New Roman" w:eastAsia="仿宋_GB2312" w:cs="Times New Roman"/>
          <w:kern w:val="0"/>
        </w:rPr>
      </w:pPr>
      <w:r>
        <w:rPr>
          <w:rFonts w:hint="eastAsia" w:ascii="宋体" w:hAnsi="宋体" w:eastAsia="宋体" w:cs="宋体"/>
          <w:kern w:val="0"/>
          <w:sz w:val="22"/>
          <w:szCs w:val="22"/>
        </w:rPr>
        <w:t>(若本单位无政府性基金收支,请说明：XX单位没有政府性基金收入，也没有使用政府性基金安排的支出，故本表无数据)。</w:t>
      </w:r>
    </w:p>
    <w:p>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588"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2"/>
                <w:szCs w:val="22"/>
              </w:rPr>
              <w:t>公开</w:t>
            </w:r>
            <w:r>
              <w:rPr>
                <w:rFonts w:ascii="宋体" w:hAnsi="宋体" w:cs="宋体"/>
                <w:color w:val="000000"/>
                <w:kern w:val="0"/>
                <w:sz w:val="22"/>
                <w:szCs w:val="22"/>
              </w:rPr>
              <w:t>09</w:t>
            </w:r>
            <w:r>
              <w:rPr>
                <w:rFonts w:hint="eastAsia" w:ascii="宋体" w:hAnsi="宋体" w:cs="宋体"/>
                <w:color w:val="000000"/>
                <w:kern w:val="0"/>
                <w:sz w:val="22"/>
                <w:szCs w:val="22"/>
              </w:rPr>
              <w:t>表</w:t>
            </w:r>
          </w:p>
        </w:tc>
      </w:tr>
      <w:tr>
        <w:tblPrEx>
          <w:tblCellMar>
            <w:top w:w="0" w:type="dxa"/>
            <w:left w:w="108" w:type="dxa"/>
            <w:bottom w:w="0" w:type="dxa"/>
            <w:right w:w="108" w:type="dxa"/>
          </w:tblCellMar>
        </w:tblPrEx>
        <w:trPr>
          <w:trHeight w:val="781"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部门：</w:t>
            </w:r>
          </w:p>
        </w:tc>
        <w:tc>
          <w:tcPr>
            <w:tcW w:w="3775" w:type="dxa"/>
            <w:gridSpan w:val="3"/>
            <w:tcBorders>
              <w:top w:val="nil"/>
              <w:left w:val="nil"/>
              <w:bottom w:val="nil"/>
              <w:right w:val="nil"/>
            </w:tcBorders>
            <w:shd w:val="clear" w:color="000000" w:fill="FFFFFF"/>
            <w:vAlign w:val="center"/>
          </w:tcPr>
          <w:p>
            <w:pPr>
              <w:widowControl/>
              <w:jc w:val="both"/>
              <w:rPr>
                <w:rFonts w:ascii="宋体" w:cs="Times New Roman"/>
                <w:kern w:val="0"/>
                <w:sz w:val="22"/>
                <w:szCs w:val="22"/>
              </w:rPr>
            </w:pPr>
            <w:r>
              <w:rPr>
                <w:rFonts w:hint="eastAsia" w:ascii="宋体" w:hAnsi="宋体" w:cs="宋体"/>
                <w:color w:val="000000"/>
                <w:kern w:val="0"/>
                <w:sz w:val="22"/>
                <w:szCs w:val="22"/>
              </w:rPr>
              <w:t>湘潭县文化旅游广电体育局</w:t>
            </w:r>
            <w:r>
              <w:rPr>
                <w:rFonts w:ascii="Times New Roman" w:hAnsi="Times New Roman" w:eastAsia="仿宋_GB2312" w:cs="Times New Roman"/>
                <w:color w:val="000000"/>
                <w:kern w:val="0"/>
                <w:sz w:val="22"/>
                <w:szCs w:val="22"/>
              </w:rPr>
              <w:t xml:space="preserve"> </w:t>
            </w:r>
            <w:r>
              <w:rPr>
                <w:rFonts w:hint="eastAsia" w:ascii="宋体" w:hAnsi="宋体" w:cs="宋体"/>
                <w:kern w:val="0"/>
                <w:sz w:val="22"/>
                <w:szCs w:val="22"/>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2"/>
                <w:szCs w:val="22"/>
              </w:rPr>
            </w:pPr>
            <w:r>
              <w:rPr>
                <w:rFonts w:hint="eastAsia" w:ascii="宋体" w:hAnsi="宋体" w:cs="宋体"/>
                <w:color w:val="000000"/>
                <w:kern w:val="0"/>
                <w:sz w:val="22"/>
                <w:szCs w:val="22"/>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w:t>
            </w:r>
            <w:r>
              <w:rPr>
                <w:rFonts w:ascii="宋体" w:hAnsi="宋体" w:cs="宋体"/>
                <w:kern w:val="0"/>
                <w:sz w:val="22"/>
                <w:szCs w:val="22"/>
              </w:rPr>
              <w:t xml:space="preserve"> </w:t>
            </w:r>
            <w:r>
              <w:rPr>
                <w:rFonts w:ascii="宋体" w:hAnsi="宋体" w:cs="宋体"/>
                <w:color w:val="000000"/>
                <w:kern w:val="0"/>
                <w:sz w:val="22"/>
                <w:szCs w:val="22"/>
              </w:rPr>
              <w:t xml:space="preserve">   </w:t>
            </w:r>
            <w:r>
              <w:rPr>
                <w:rFonts w:hint="eastAsia" w:ascii="宋体" w:hAnsi="宋体" w:cs="宋体"/>
                <w:kern w:val="0"/>
                <w:sz w:val="22"/>
                <w:szCs w:val="22"/>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基本支出</w:t>
            </w:r>
            <w:r>
              <w:rPr>
                <w:rFonts w:ascii="宋体" w:hAnsi="宋体" w:cs="宋体"/>
                <w:kern w:val="0"/>
                <w:sz w:val="22"/>
                <w:szCs w:val="22"/>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5528"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eastAsia="宋体" w:cs="宋体"/>
                <w:kern w:val="0"/>
                <w:sz w:val="22"/>
                <w:szCs w:val="22"/>
                <w:lang w:val="en-US" w:eastAsia="zh-CN"/>
              </w:rPr>
              <w:t>本单位无国有资本经营收支</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2"/>
                <w:szCs w:val="22"/>
              </w:rPr>
            </w:pPr>
            <w:r>
              <w:rPr>
                <w:rFonts w:hint="eastAsia" w:ascii="宋体" w:hAnsi="宋体" w:cs="宋体"/>
                <w:kern w:val="0"/>
                <w:sz w:val="22"/>
                <w:szCs w:val="22"/>
              </w:rPr>
              <w:t>注：本表反映部门本年度国有资本经营预算财政拨款支出情况。</w:t>
            </w:r>
          </w:p>
        </w:tc>
      </w:tr>
    </w:tbl>
    <w:p>
      <w:pPr>
        <w:pStyle w:val="12"/>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2"/>
        <w:keepNext w:val="0"/>
        <w:keepLines w:val="0"/>
        <w:pageBreakBefore w:val="0"/>
        <w:numPr>
          <w:ilvl w:val="0"/>
          <w:numId w:val="2"/>
        </w:numPr>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202</w:t>
      </w: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年度部门决算情况说明</w:t>
      </w:r>
    </w:p>
    <w:p>
      <w:pPr>
        <w:pStyle w:val="12"/>
        <w:keepNext w:val="0"/>
        <w:keepLines w:val="0"/>
        <w:pageBreakBefore w:val="0"/>
        <w:numPr>
          <w:ilvl w:val="0"/>
          <w:numId w:val="3"/>
        </w:numPr>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收入支出决算总体情况说明</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年度收、支总计3220.06万元。与</w:t>
      </w:r>
      <w:r>
        <w:rPr>
          <w:rFonts w:hint="eastAsia" w:ascii="仿宋" w:hAnsi="仿宋" w:eastAsia="仿宋" w:cs="仿宋"/>
          <w:sz w:val="28"/>
          <w:szCs w:val="28"/>
          <w:lang w:val="en-US" w:eastAsia="zh-CN"/>
        </w:rPr>
        <w:t>2020</w:t>
      </w:r>
      <w:r>
        <w:rPr>
          <w:rFonts w:hint="eastAsia" w:ascii="仿宋" w:hAnsi="仿宋" w:eastAsia="仿宋" w:cs="仿宋"/>
          <w:sz w:val="28"/>
          <w:szCs w:val="28"/>
        </w:rPr>
        <w:t>年相比</w:t>
      </w:r>
      <w:r>
        <w:rPr>
          <w:rFonts w:hint="eastAsia" w:ascii="仿宋" w:hAnsi="仿宋" w:eastAsia="仿宋" w:cs="仿宋"/>
          <w:sz w:val="28"/>
          <w:szCs w:val="28"/>
          <w:lang w:val="en-US" w:eastAsia="zh-CN"/>
        </w:rPr>
        <w:t>增加336.35</w:t>
      </w:r>
      <w:r>
        <w:rPr>
          <w:rFonts w:hint="eastAsia" w:ascii="仿宋" w:hAnsi="仿宋" w:eastAsia="仿宋" w:cs="仿宋"/>
          <w:sz w:val="28"/>
          <w:szCs w:val="28"/>
        </w:rPr>
        <w:t>万元，</w:t>
      </w:r>
      <w:r>
        <w:rPr>
          <w:rFonts w:hint="eastAsia" w:ascii="仿宋" w:hAnsi="仿宋" w:eastAsia="仿宋" w:cs="仿宋"/>
          <w:sz w:val="28"/>
          <w:szCs w:val="28"/>
          <w:lang w:val="en-US" w:eastAsia="zh-CN"/>
        </w:rPr>
        <w:t>增加11.66%</w:t>
      </w:r>
      <w:r>
        <w:rPr>
          <w:rFonts w:hint="eastAsia" w:ascii="仿宋" w:hAnsi="仿宋" w:eastAsia="仿宋" w:cs="仿宋"/>
          <w:sz w:val="28"/>
          <w:szCs w:val="28"/>
        </w:rPr>
        <w:t>，</w:t>
      </w:r>
      <w:r>
        <w:rPr>
          <w:rFonts w:hint="eastAsia" w:ascii="仿宋" w:hAnsi="仿宋" w:eastAsia="仿宋" w:cs="仿宋"/>
          <w:color w:val="000000" w:themeColor="text1"/>
          <w:sz w:val="28"/>
          <w:szCs w:val="28"/>
          <w14:textFill>
            <w14:solidFill>
              <w14:schemeClr w14:val="tx1"/>
            </w14:solidFill>
          </w14:textFill>
        </w:rPr>
        <w:t>主要</w:t>
      </w:r>
      <w:r>
        <w:rPr>
          <w:rFonts w:hint="eastAsia" w:ascii="仿宋" w:hAnsi="仿宋" w:eastAsia="仿宋" w:cs="仿宋"/>
          <w:color w:val="000000" w:themeColor="text1"/>
          <w:sz w:val="28"/>
          <w:szCs w:val="28"/>
          <w:lang w:eastAsia="zh-CN"/>
          <w14:textFill>
            <w14:solidFill>
              <w14:schemeClr w14:val="tx1"/>
            </w14:solidFill>
          </w14:textFill>
        </w:rPr>
        <w:t>原因</w:t>
      </w:r>
      <w:r>
        <w:rPr>
          <w:rFonts w:hint="eastAsia" w:ascii="仿宋" w:hAnsi="仿宋" w:eastAsia="仿宋" w:cs="仿宋"/>
          <w:color w:val="000000" w:themeColor="text1"/>
          <w:sz w:val="28"/>
          <w:szCs w:val="28"/>
          <w14:textFill>
            <w14:solidFill>
              <w14:schemeClr w14:val="tx1"/>
            </w14:solidFill>
          </w14:textFill>
        </w:rPr>
        <w:t>是</w:t>
      </w:r>
      <w:r>
        <w:rPr>
          <w:rFonts w:hint="eastAsia" w:ascii="仿宋" w:hAnsi="仿宋" w:eastAsia="仿宋" w:cs="仿宋"/>
          <w:color w:val="000000" w:themeColor="text1"/>
          <w:sz w:val="28"/>
          <w:szCs w:val="28"/>
          <w:lang w:val="en-US" w:eastAsia="zh-CN"/>
          <w14:textFill>
            <w14:solidFill>
              <w14:schemeClr w14:val="tx1"/>
            </w14:solidFill>
          </w14:textFill>
        </w:rPr>
        <w:t>2021年争资争项成果显著</w:t>
      </w:r>
      <w:r>
        <w:rPr>
          <w:rFonts w:hint="eastAsia" w:ascii="仿宋" w:hAnsi="仿宋" w:eastAsia="仿宋" w:cs="仿宋"/>
          <w:color w:val="000000" w:themeColor="text1"/>
          <w:sz w:val="28"/>
          <w:szCs w:val="28"/>
          <w:lang w:eastAsia="zh-CN"/>
          <w14:textFill>
            <w14:solidFill>
              <w14:schemeClr w14:val="tx1"/>
            </w14:solidFill>
          </w14:textFill>
        </w:rPr>
        <w:t>，上级拨款收入和一般公共预算财政拨款收入增加。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二、收入决算情况说明</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本年收入合计</w:t>
      </w:r>
      <w:r>
        <w:rPr>
          <w:rFonts w:hint="eastAsia" w:ascii="仿宋" w:hAnsi="仿宋" w:eastAsia="仿宋" w:cs="仿宋"/>
          <w:sz w:val="28"/>
          <w:szCs w:val="28"/>
          <w:lang w:val="en-US" w:eastAsia="zh-CN"/>
        </w:rPr>
        <w:t>3220.06</w:t>
      </w:r>
      <w:r>
        <w:rPr>
          <w:rFonts w:hint="eastAsia" w:ascii="仿宋" w:hAnsi="仿宋" w:eastAsia="仿宋" w:cs="仿宋"/>
          <w:sz w:val="28"/>
          <w:szCs w:val="28"/>
        </w:rPr>
        <w:t>万元，其中：财政拨款收入</w:t>
      </w:r>
      <w:r>
        <w:rPr>
          <w:rFonts w:hint="eastAsia" w:ascii="仿宋" w:hAnsi="仿宋" w:eastAsia="仿宋" w:cs="仿宋"/>
          <w:sz w:val="28"/>
          <w:szCs w:val="28"/>
          <w:lang w:val="en-US" w:eastAsia="zh-CN"/>
        </w:rPr>
        <w:t>3026.21</w:t>
      </w:r>
      <w:r>
        <w:rPr>
          <w:rFonts w:hint="eastAsia" w:ascii="仿宋" w:hAnsi="仿宋" w:eastAsia="仿宋" w:cs="仿宋"/>
          <w:sz w:val="28"/>
          <w:szCs w:val="28"/>
        </w:rPr>
        <w:t>万元，占</w:t>
      </w:r>
      <w:r>
        <w:rPr>
          <w:rFonts w:hint="eastAsia" w:ascii="仿宋" w:hAnsi="仿宋" w:eastAsia="仿宋" w:cs="仿宋"/>
          <w:sz w:val="28"/>
          <w:szCs w:val="28"/>
          <w:lang w:val="en-US" w:eastAsia="zh-CN"/>
        </w:rPr>
        <w:t>93.98</w:t>
      </w:r>
      <w:r>
        <w:rPr>
          <w:rFonts w:hint="eastAsia" w:ascii="仿宋" w:hAnsi="仿宋" w:eastAsia="仿宋" w:cs="仿宋"/>
          <w:sz w:val="28"/>
          <w:szCs w:val="28"/>
        </w:rPr>
        <w:t>%；上级补助收入</w:t>
      </w:r>
      <w:r>
        <w:rPr>
          <w:rFonts w:hint="eastAsia" w:ascii="仿宋" w:hAnsi="仿宋" w:eastAsia="仿宋" w:cs="仿宋"/>
          <w:sz w:val="28"/>
          <w:szCs w:val="28"/>
          <w:lang w:val="en-US" w:eastAsia="zh-CN"/>
        </w:rPr>
        <w:t>58.53</w:t>
      </w:r>
      <w:r>
        <w:rPr>
          <w:rFonts w:hint="eastAsia" w:ascii="仿宋" w:hAnsi="仿宋" w:eastAsia="仿宋" w:cs="仿宋"/>
          <w:sz w:val="28"/>
          <w:szCs w:val="28"/>
        </w:rPr>
        <w:t>万元</w:t>
      </w:r>
      <w:r>
        <w:rPr>
          <w:rFonts w:hint="eastAsia" w:ascii="仿宋" w:hAnsi="仿宋" w:eastAsia="仿宋" w:cs="仿宋"/>
          <w:sz w:val="28"/>
          <w:szCs w:val="28"/>
          <w:lang w:eastAsia="zh-CN"/>
        </w:rPr>
        <w:t>，占</w:t>
      </w:r>
      <w:r>
        <w:rPr>
          <w:rFonts w:hint="eastAsia" w:ascii="仿宋" w:hAnsi="仿宋" w:eastAsia="仿宋" w:cs="仿宋"/>
          <w:sz w:val="28"/>
          <w:szCs w:val="28"/>
          <w:lang w:val="en-US" w:eastAsia="zh-CN"/>
        </w:rPr>
        <w:t>1.82%</w:t>
      </w:r>
      <w:r>
        <w:rPr>
          <w:rFonts w:hint="eastAsia" w:ascii="仿宋" w:hAnsi="仿宋" w:eastAsia="仿宋" w:cs="仿宋"/>
          <w:sz w:val="28"/>
          <w:szCs w:val="28"/>
        </w:rPr>
        <w:t>；事业收入</w:t>
      </w:r>
      <w:r>
        <w:rPr>
          <w:rFonts w:hint="eastAsia" w:ascii="仿宋" w:hAnsi="仿宋" w:eastAsia="仿宋" w:cs="仿宋"/>
          <w:sz w:val="28"/>
          <w:szCs w:val="28"/>
          <w:lang w:val="en-US" w:eastAsia="zh-CN"/>
        </w:rPr>
        <w:t>20.98</w:t>
      </w:r>
      <w:r>
        <w:rPr>
          <w:rFonts w:hint="eastAsia" w:ascii="仿宋" w:hAnsi="仿宋" w:eastAsia="仿宋" w:cs="仿宋"/>
          <w:sz w:val="28"/>
          <w:szCs w:val="28"/>
        </w:rPr>
        <w:t>万元</w:t>
      </w:r>
      <w:r>
        <w:rPr>
          <w:rFonts w:hint="eastAsia" w:ascii="仿宋" w:hAnsi="仿宋" w:eastAsia="仿宋" w:cs="仿宋"/>
          <w:sz w:val="28"/>
          <w:szCs w:val="28"/>
          <w:lang w:eastAsia="zh-CN"/>
        </w:rPr>
        <w:t>，占</w:t>
      </w:r>
      <w:r>
        <w:rPr>
          <w:rFonts w:hint="eastAsia" w:ascii="仿宋" w:hAnsi="仿宋" w:eastAsia="仿宋" w:cs="仿宋"/>
          <w:sz w:val="28"/>
          <w:szCs w:val="28"/>
          <w:lang w:val="en-US" w:eastAsia="zh-CN"/>
        </w:rPr>
        <w:t>0.65%</w:t>
      </w:r>
      <w:r>
        <w:rPr>
          <w:rFonts w:hint="eastAsia" w:ascii="仿宋" w:hAnsi="仿宋" w:eastAsia="仿宋" w:cs="仿宋"/>
          <w:sz w:val="28"/>
          <w:szCs w:val="28"/>
        </w:rPr>
        <w:t>；经营收入</w:t>
      </w:r>
      <w:r>
        <w:rPr>
          <w:rFonts w:hint="eastAsia" w:ascii="仿宋" w:hAnsi="仿宋" w:eastAsia="仿宋" w:cs="仿宋"/>
          <w:sz w:val="28"/>
          <w:szCs w:val="28"/>
          <w:lang w:val="en-US" w:eastAsia="zh-CN"/>
        </w:rPr>
        <w:t>0</w:t>
      </w:r>
      <w:r>
        <w:rPr>
          <w:rFonts w:hint="eastAsia" w:ascii="仿宋" w:hAnsi="仿宋" w:eastAsia="仿宋" w:cs="仿宋"/>
          <w:sz w:val="28"/>
          <w:szCs w:val="28"/>
        </w:rPr>
        <w:t>万元；附属单位上缴收入</w:t>
      </w:r>
      <w:r>
        <w:rPr>
          <w:rFonts w:hint="eastAsia" w:ascii="仿宋" w:hAnsi="仿宋" w:eastAsia="仿宋" w:cs="仿宋"/>
          <w:sz w:val="28"/>
          <w:szCs w:val="28"/>
          <w:lang w:val="en-US" w:eastAsia="zh-CN"/>
        </w:rPr>
        <w:t>0</w:t>
      </w:r>
      <w:r>
        <w:rPr>
          <w:rFonts w:hint="eastAsia" w:ascii="仿宋" w:hAnsi="仿宋" w:eastAsia="仿宋" w:cs="仿宋"/>
          <w:sz w:val="28"/>
          <w:szCs w:val="28"/>
        </w:rPr>
        <w:t>万元；其他收入</w:t>
      </w:r>
      <w:r>
        <w:rPr>
          <w:rFonts w:hint="eastAsia" w:ascii="仿宋" w:hAnsi="仿宋" w:eastAsia="仿宋" w:cs="仿宋"/>
          <w:sz w:val="28"/>
          <w:szCs w:val="28"/>
          <w:lang w:val="en-US" w:eastAsia="zh-CN"/>
        </w:rPr>
        <w:t>114.34</w:t>
      </w:r>
      <w:r>
        <w:rPr>
          <w:rFonts w:hint="eastAsia" w:ascii="仿宋" w:hAnsi="仿宋" w:eastAsia="仿宋" w:cs="仿宋"/>
          <w:sz w:val="28"/>
          <w:szCs w:val="28"/>
        </w:rPr>
        <w:t>万元，占</w:t>
      </w:r>
      <w:r>
        <w:rPr>
          <w:rFonts w:hint="eastAsia" w:ascii="仿宋" w:hAnsi="仿宋" w:eastAsia="仿宋" w:cs="仿宋"/>
          <w:sz w:val="28"/>
          <w:szCs w:val="28"/>
          <w:lang w:val="en-US" w:eastAsia="zh-CN"/>
        </w:rPr>
        <w:t>3.55</w:t>
      </w:r>
      <w:r>
        <w:rPr>
          <w:rFonts w:hint="eastAsia" w:ascii="仿宋" w:hAnsi="仿宋" w:eastAsia="仿宋" w:cs="仿宋"/>
          <w:sz w:val="28"/>
          <w:szCs w:val="28"/>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三、支出决算情况说明</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本年支出合计</w:t>
      </w:r>
      <w:r>
        <w:rPr>
          <w:rFonts w:hint="eastAsia" w:ascii="仿宋" w:hAnsi="仿宋" w:eastAsia="仿宋" w:cs="仿宋"/>
          <w:sz w:val="28"/>
          <w:szCs w:val="28"/>
          <w:lang w:val="en-US" w:eastAsia="zh-CN"/>
        </w:rPr>
        <w:t>3220.06</w:t>
      </w:r>
      <w:r>
        <w:rPr>
          <w:rFonts w:hint="eastAsia" w:ascii="仿宋" w:hAnsi="仿宋" w:eastAsia="仿宋" w:cs="仿宋"/>
          <w:sz w:val="28"/>
          <w:szCs w:val="28"/>
        </w:rPr>
        <w:t>万元，其中：基本支出</w:t>
      </w:r>
      <w:r>
        <w:rPr>
          <w:rFonts w:hint="eastAsia" w:ascii="仿宋" w:hAnsi="仿宋" w:eastAsia="仿宋" w:cs="仿宋"/>
          <w:sz w:val="28"/>
          <w:szCs w:val="28"/>
          <w:lang w:val="en-US" w:eastAsia="zh-CN"/>
        </w:rPr>
        <w:t>937.04</w:t>
      </w:r>
      <w:r>
        <w:rPr>
          <w:rFonts w:hint="eastAsia" w:ascii="仿宋" w:hAnsi="仿宋" w:eastAsia="仿宋" w:cs="仿宋"/>
          <w:sz w:val="28"/>
          <w:szCs w:val="28"/>
        </w:rPr>
        <w:t>万元，占</w:t>
      </w:r>
      <w:r>
        <w:rPr>
          <w:rFonts w:hint="eastAsia" w:ascii="仿宋" w:hAnsi="仿宋" w:eastAsia="仿宋" w:cs="仿宋"/>
          <w:sz w:val="28"/>
          <w:szCs w:val="28"/>
          <w:lang w:val="en-US" w:eastAsia="zh-CN"/>
        </w:rPr>
        <w:t>29.10</w:t>
      </w:r>
      <w:r>
        <w:rPr>
          <w:rFonts w:hint="eastAsia" w:ascii="仿宋" w:hAnsi="仿宋" w:eastAsia="仿宋" w:cs="仿宋"/>
          <w:sz w:val="28"/>
          <w:szCs w:val="28"/>
        </w:rPr>
        <w:t>%；项目支出</w:t>
      </w:r>
      <w:r>
        <w:rPr>
          <w:rFonts w:hint="eastAsia" w:ascii="仿宋" w:hAnsi="仿宋" w:eastAsia="仿宋" w:cs="仿宋"/>
          <w:sz w:val="28"/>
          <w:szCs w:val="28"/>
          <w:lang w:val="en-US" w:eastAsia="zh-CN"/>
        </w:rPr>
        <w:t>2283.02</w:t>
      </w:r>
      <w:r>
        <w:rPr>
          <w:rFonts w:hint="eastAsia" w:ascii="仿宋" w:hAnsi="仿宋" w:eastAsia="仿宋" w:cs="仿宋"/>
          <w:sz w:val="28"/>
          <w:szCs w:val="28"/>
        </w:rPr>
        <w:t>元，占</w:t>
      </w:r>
      <w:r>
        <w:rPr>
          <w:rFonts w:hint="eastAsia" w:ascii="仿宋" w:hAnsi="仿宋" w:eastAsia="仿宋" w:cs="仿宋"/>
          <w:sz w:val="28"/>
          <w:szCs w:val="28"/>
          <w:lang w:val="en-US" w:eastAsia="zh-CN"/>
        </w:rPr>
        <w:t>70.90</w:t>
      </w:r>
      <w:r>
        <w:rPr>
          <w:rFonts w:hint="eastAsia" w:ascii="仿宋" w:hAnsi="仿宋" w:eastAsia="仿宋" w:cs="仿宋"/>
          <w:sz w:val="28"/>
          <w:szCs w:val="28"/>
        </w:rPr>
        <w:t>%；上缴上级支出</w:t>
      </w:r>
      <w:r>
        <w:rPr>
          <w:rFonts w:hint="eastAsia" w:ascii="仿宋" w:hAnsi="仿宋" w:eastAsia="仿宋" w:cs="仿宋"/>
          <w:sz w:val="28"/>
          <w:szCs w:val="28"/>
          <w:lang w:val="en-US" w:eastAsia="zh-CN"/>
        </w:rPr>
        <w:t>0</w:t>
      </w:r>
      <w:r>
        <w:rPr>
          <w:rFonts w:hint="eastAsia" w:ascii="仿宋" w:hAnsi="仿宋" w:eastAsia="仿宋" w:cs="仿宋"/>
          <w:sz w:val="28"/>
          <w:szCs w:val="28"/>
        </w:rPr>
        <w:t>万元；经营支出</w:t>
      </w:r>
      <w:r>
        <w:rPr>
          <w:rFonts w:hint="eastAsia" w:ascii="仿宋" w:hAnsi="仿宋" w:eastAsia="仿宋" w:cs="仿宋"/>
          <w:sz w:val="28"/>
          <w:szCs w:val="28"/>
          <w:lang w:val="en-US" w:eastAsia="zh-CN"/>
        </w:rPr>
        <w:t>0</w:t>
      </w:r>
      <w:r>
        <w:rPr>
          <w:rFonts w:hint="eastAsia" w:ascii="仿宋" w:hAnsi="仿宋" w:eastAsia="仿宋" w:cs="仿宋"/>
          <w:sz w:val="28"/>
          <w:szCs w:val="28"/>
        </w:rPr>
        <w:t>万元；对附属单位补助支出</w:t>
      </w:r>
      <w:r>
        <w:rPr>
          <w:rFonts w:hint="eastAsia" w:ascii="仿宋" w:hAnsi="仿宋" w:eastAsia="仿宋" w:cs="仿宋"/>
          <w:sz w:val="28"/>
          <w:szCs w:val="28"/>
          <w:lang w:val="en-US" w:eastAsia="zh-CN"/>
        </w:rPr>
        <w:t>0</w:t>
      </w:r>
      <w:r>
        <w:rPr>
          <w:rFonts w:hint="eastAsia" w:ascii="仿宋" w:hAnsi="仿宋" w:eastAsia="仿宋" w:cs="仿宋"/>
          <w:sz w:val="28"/>
          <w:szCs w:val="28"/>
        </w:rPr>
        <w:t>万元。</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四、</w:t>
      </w:r>
      <w:r>
        <w:rPr>
          <w:rFonts w:hint="eastAsia" w:ascii="仿宋" w:hAnsi="仿宋" w:eastAsia="仿宋" w:cs="仿宋"/>
          <w:b/>
          <w:bCs/>
          <w:sz w:val="28"/>
          <w:szCs w:val="28"/>
        </w:rPr>
        <w:t>财政拨款收入支出决算总体情况说明</w:t>
      </w:r>
    </w:p>
    <w:p>
      <w:pPr>
        <w:pStyle w:val="12"/>
        <w:keepNext w:val="0"/>
        <w:keepLines w:val="0"/>
        <w:pageBreakBefore w:val="0"/>
        <w:kinsoku/>
        <w:wordWrap/>
        <w:overflowPunct/>
        <w:topLinePunct w:val="0"/>
        <w:bidi w:val="0"/>
        <w:snapToGrid/>
        <w:spacing w:line="360" w:lineRule="auto"/>
        <w:ind w:firstLine="56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年度财政拨款收、支总计</w:t>
      </w:r>
      <w:r>
        <w:rPr>
          <w:rFonts w:hint="eastAsia" w:ascii="仿宋" w:hAnsi="仿宋" w:eastAsia="仿宋" w:cs="仿宋"/>
          <w:sz w:val="28"/>
          <w:szCs w:val="28"/>
          <w:lang w:val="en-US" w:eastAsia="zh-CN"/>
        </w:rPr>
        <w:t>3026.21</w:t>
      </w:r>
      <w:r>
        <w:rPr>
          <w:rFonts w:hint="eastAsia" w:ascii="仿宋" w:hAnsi="仿宋" w:eastAsia="仿宋" w:cs="仿宋"/>
          <w:sz w:val="28"/>
          <w:szCs w:val="28"/>
        </w:rPr>
        <w:t>万元，与上年相比</w:t>
      </w:r>
      <w:r>
        <w:rPr>
          <w:rFonts w:hint="eastAsia" w:ascii="仿宋" w:hAnsi="仿宋" w:eastAsia="仿宋" w:cs="仿宋"/>
          <w:sz w:val="28"/>
          <w:szCs w:val="28"/>
          <w:lang w:val="en-US" w:eastAsia="zh-CN"/>
        </w:rPr>
        <w:t>增加340.7</w:t>
      </w:r>
      <w:r>
        <w:rPr>
          <w:rFonts w:hint="eastAsia" w:ascii="仿宋" w:hAnsi="仿宋" w:eastAsia="仿宋" w:cs="仿宋"/>
          <w:sz w:val="28"/>
          <w:szCs w:val="28"/>
        </w:rPr>
        <w:t>万元,</w:t>
      </w:r>
      <w:r>
        <w:rPr>
          <w:rFonts w:hint="eastAsia" w:ascii="仿宋" w:hAnsi="仿宋" w:eastAsia="仿宋" w:cs="仿宋"/>
          <w:sz w:val="28"/>
          <w:szCs w:val="28"/>
          <w:lang w:val="en-US" w:eastAsia="zh-CN"/>
        </w:rPr>
        <w:t>增加12.69</w:t>
      </w:r>
      <w:r>
        <w:rPr>
          <w:rFonts w:hint="eastAsia" w:ascii="仿宋" w:hAnsi="仿宋" w:eastAsia="仿宋" w:cs="仿宋"/>
          <w:sz w:val="28"/>
          <w:szCs w:val="28"/>
        </w:rPr>
        <w:t>%，</w:t>
      </w:r>
      <w:r>
        <w:rPr>
          <w:rFonts w:hint="eastAsia" w:ascii="仿宋" w:hAnsi="仿宋" w:eastAsia="仿宋" w:cs="仿宋"/>
          <w:color w:val="000000" w:themeColor="text1"/>
          <w:sz w:val="28"/>
          <w:szCs w:val="28"/>
          <w14:textFill>
            <w14:solidFill>
              <w14:schemeClr w14:val="tx1"/>
            </w14:solidFill>
          </w14:textFill>
        </w:rPr>
        <w:t>主要</w:t>
      </w:r>
      <w:r>
        <w:rPr>
          <w:rFonts w:hint="eastAsia" w:ascii="仿宋" w:hAnsi="仿宋" w:eastAsia="仿宋" w:cs="仿宋"/>
          <w:color w:val="000000" w:themeColor="text1"/>
          <w:sz w:val="28"/>
          <w:szCs w:val="28"/>
          <w:lang w:eastAsia="zh-CN"/>
          <w14:textFill>
            <w14:solidFill>
              <w14:schemeClr w14:val="tx1"/>
            </w14:solidFill>
          </w14:textFill>
        </w:rPr>
        <w:t>原因</w:t>
      </w:r>
      <w:r>
        <w:rPr>
          <w:rFonts w:hint="eastAsia" w:ascii="仿宋" w:hAnsi="仿宋" w:eastAsia="仿宋" w:cs="仿宋"/>
          <w:color w:val="000000" w:themeColor="text1"/>
          <w:sz w:val="28"/>
          <w:szCs w:val="28"/>
          <w14:textFill>
            <w14:solidFill>
              <w14:schemeClr w14:val="tx1"/>
            </w14:solidFill>
          </w14:textFill>
        </w:rPr>
        <w:t>是</w:t>
      </w:r>
      <w:r>
        <w:rPr>
          <w:rFonts w:hint="eastAsia" w:ascii="仿宋" w:hAnsi="仿宋" w:eastAsia="仿宋" w:cs="仿宋"/>
          <w:color w:val="000000" w:themeColor="text1"/>
          <w:sz w:val="28"/>
          <w:szCs w:val="28"/>
          <w:lang w:val="en-US" w:eastAsia="zh-CN"/>
          <w14:textFill>
            <w14:solidFill>
              <w14:schemeClr w14:val="tx1"/>
            </w14:solidFill>
          </w14:textFill>
        </w:rPr>
        <w:t>2021年争资争项成果显著</w:t>
      </w:r>
      <w:r>
        <w:rPr>
          <w:rFonts w:hint="eastAsia" w:ascii="仿宋" w:hAnsi="仿宋" w:eastAsia="仿宋" w:cs="仿宋"/>
          <w:color w:val="000000" w:themeColor="text1"/>
          <w:sz w:val="28"/>
          <w:szCs w:val="28"/>
          <w:lang w:eastAsia="zh-CN"/>
          <w14:textFill>
            <w14:solidFill>
              <w14:schemeClr w14:val="tx1"/>
            </w14:solidFill>
          </w14:textFill>
        </w:rPr>
        <w:t>，上级拨款收入和一般公共预算财政拨款收入增加，支出相应增加。</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五、一般公共预算财政拨款支出决算情况说明</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（一）财政拨款支出决算总体情况</w:t>
      </w:r>
    </w:p>
    <w:p>
      <w:pPr>
        <w:pStyle w:val="12"/>
        <w:keepNext w:val="0"/>
        <w:keepLines w:val="0"/>
        <w:pageBreakBefore w:val="0"/>
        <w:kinsoku/>
        <w:wordWrap/>
        <w:overflowPunct/>
        <w:topLinePunct w:val="0"/>
        <w:bidi w:val="0"/>
        <w:snapToGrid/>
        <w:spacing w:line="360" w:lineRule="auto"/>
        <w:ind w:firstLine="560"/>
        <w:textAlignment w:val="auto"/>
        <w:rPr>
          <w:rFonts w:hint="eastAsia" w:ascii="仿宋" w:hAnsi="仿宋" w:eastAsia="仿宋" w:cs="仿宋"/>
          <w:color w:val="0000FF"/>
          <w:kern w:val="2"/>
          <w:sz w:val="28"/>
          <w:szCs w:val="28"/>
          <w:lang w:val="en-US" w:eastAsia="zh-CN" w:bidi="ar-SA"/>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年度财政拨款支出</w:t>
      </w:r>
      <w:r>
        <w:rPr>
          <w:rFonts w:hint="eastAsia" w:ascii="仿宋" w:hAnsi="仿宋" w:eastAsia="仿宋" w:cs="仿宋"/>
          <w:sz w:val="28"/>
          <w:szCs w:val="28"/>
          <w:lang w:val="en-US" w:eastAsia="zh-CN"/>
        </w:rPr>
        <w:t>3026.21</w:t>
      </w:r>
      <w:r>
        <w:rPr>
          <w:rFonts w:hint="eastAsia" w:ascii="仿宋" w:hAnsi="仿宋" w:eastAsia="仿宋" w:cs="仿宋"/>
          <w:sz w:val="28"/>
          <w:szCs w:val="28"/>
        </w:rPr>
        <w:t>万元，占本年支出合计的</w:t>
      </w:r>
      <w:r>
        <w:rPr>
          <w:rFonts w:hint="eastAsia" w:ascii="仿宋" w:hAnsi="仿宋" w:eastAsia="仿宋" w:cs="仿宋"/>
          <w:sz w:val="28"/>
          <w:szCs w:val="28"/>
          <w:lang w:val="en-US" w:eastAsia="zh-CN"/>
        </w:rPr>
        <w:t>93.98</w:t>
      </w:r>
      <w:r>
        <w:rPr>
          <w:rFonts w:hint="eastAsia" w:ascii="仿宋" w:hAnsi="仿宋" w:eastAsia="仿宋" w:cs="仿宋"/>
          <w:sz w:val="28"/>
          <w:szCs w:val="28"/>
        </w:rPr>
        <w:t>%，与上年相比，财政拨款支出</w:t>
      </w:r>
      <w:r>
        <w:rPr>
          <w:rFonts w:hint="eastAsia" w:ascii="仿宋" w:hAnsi="仿宋" w:eastAsia="仿宋" w:cs="仿宋"/>
          <w:sz w:val="28"/>
          <w:szCs w:val="28"/>
          <w:lang w:val="en-US" w:eastAsia="zh-CN"/>
        </w:rPr>
        <w:t>增加340.7</w:t>
      </w:r>
      <w:r>
        <w:rPr>
          <w:rFonts w:hint="eastAsia" w:ascii="仿宋" w:hAnsi="仿宋" w:eastAsia="仿宋" w:cs="仿宋"/>
          <w:color w:val="000000" w:themeColor="text1"/>
          <w:sz w:val="28"/>
          <w:szCs w:val="28"/>
          <w14:textFill>
            <w14:solidFill>
              <w14:schemeClr w14:val="tx1"/>
            </w14:solidFill>
          </w14:textFill>
        </w:rPr>
        <w:t>元</w:t>
      </w:r>
      <w:r>
        <w:rPr>
          <w:rFonts w:hint="eastAsia" w:ascii="仿宋" w:hAnsi="仿宋" w:eastAsia="仿宋" w:cs="仿宋"/>
          <w:sz w:val="28"/>
          <w:szCs w:val="28"/>
        </w:rPr>
        <w:t>，</w:t>
      </w:r>
      <w:r>
        <w:rPr>
          <w:rFonts w:hint="eastAsia" w:ascii="仿宋" w:hAnsi="仿宋" w:eastAsia="仿宋" w:cs="仿宋"/>
          <w:sz w:val="28"/>
          <w:szCs w:val="28"/>
          <w:lang w:val="en-US" w:eastAsia="zh-CN"/>
        </w:rPr>
        <w:t>增加12.69</w:t>
      </w:r>
      <w:r>
        <w:rPr>
          <w:rFonts w:hint="eastAsia" w:ascii="仿宋" w:hAnsi="仿宋" w:eastAsia="仿宋" w:cs="仿宋"/>
          <w:sz w:val="28"/>
          <w:szCs w:val="28"/>
        </w:rPr>
        <w:t>%，</w:t>
      </w:r>
      <w:r>
        <w:rPr>
          <w:rFonts w:hint="eastAsia" w:ascii="仿宋" w:hAnsi="仿宋" w:eastAsia="仿宋" w:cs="仿宋"/>
          <w:color w:val="000000" w:themeColor="text1"/>
          <w:sz w:val="28"/>
          <w:szCs w:val="28"/>
          <w14:textFill>
            <w14:solidFill>
              <w14:schemeClr w14:val="tx1"/>
            </w14:solidFill>
          </w14:textFill>
        </w:rPr>
        <w:t>主要</w:t>
      </w:r>
      <w:r>
        <w:rPr>
          <w:rFonts w:hint="eastAsia" w:ascii="仿宋" w:hAnsi="仿宋" w:eastAsia="仿宋" w:cs="仿宋"/>
          <w:color w:val="000000" w:themeColor="text1"/>
          <w:sz w:val="28"/>
          <w:szCs w:val="28"/>
          <w:lang w:eastAsia="zh-CN"/>
          <w14:textFill>
            <w14:solidFill>
              <w14:schemeClr w14:val="tx1"/>
            </w14:solidFill>
          </w14:textFill>
        </w:rPr>
        <w:t>原因</w:t>
      </w:r>
      <w:r>
        <w:rPr>
          <w:rFonts w:hint="eastAsia" w:ascii="仿宋" w:hAnsi="仿宋" w:eastAsia="仿宋" w:cs="仿宋"/>
          <w:color w:val="000000" w:themeColor="text1"/>
          <w:sz w:val="28"/>
          <w:szCs w:val="28"/>
          <w14:textFill>
            <w14:solidFill>
              <w14:schemeClr w14:val="tx1"/>
            </w14:solidFill>
          </w14:textFill>
        </w:rPr>
        <w:t>是</w:t>
      </w:r>
      <w:r>
        <w:rPr>
          <w:rFonts w:hint="eastAsia" w:ascii="仿宋" w:hAnsi="仿宋" w:eastAsia="仿宋" w:cs="仿宋"/>
          <w:color w:val="000000" w:themeColor="text1"/>
          <w:sz w:val="28"/>
          <w:szCs w:val="28"/>
          <w:lang w:val="en-US" w:eastAsia="zh-CN"/>
          <w14:textFill>
            <w14:solidFill>
              <w14:schemeClr w14:val="tx1"/>
            </w14:solidFill>
          </w14:textFill>
        </w:rPr>
        <w:t>2021年争资争项成果显著</w:t>
      </w:r>
      <w:r>
        <w:rPr>
          <w:rFonts w:hint="eastAsia" w:ascii="仿宋" w:hAnsi="仿宋" w:eastAsia="仿宋" w:cs="仿宋"/>
          <w:color w:val="000000" w:themeColor="text1"/>
          <w:sz w:val="28"/>
          <w:szCs w:val="28"/>
          <w:lang w:eastAsia="zh-CN"/>
          <w14:textFill>
            <w14:solidFill>
              <w14:schemeClr w14:val="tx1"/>
            </w14:solidFill>
          </w14:textFill>
        </w:rPr>
        <w:t>，上级拨款收入和一般公共预算财政拨款收入增加，支出相应增加。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（二）财政拨款支出决算结构情况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年度财政拨款支出</w:t>
      </w:r>
      <w:r>
        <w:rPr>
          <w:rFonts w:hint="eastAsia" w:ascii="仿宋" w:hAnsi="仿宋" w:eastAsia="仿宋" w:cs="仿宋"/>
          <w:sz w:val="28"/>
          <w:szCs w:val="28"/>
          <w:lang w:val="en-US" w:eastAsia="zh-CN"/>
        </w:rPr>
        <w:t>3026.21</w:t>
      </w:r>
      <w:r>
        <w:rPr>
          <w:rFonts w:hint="eastAsia" w:ascii="仿宋" w:hAnsi="仿宋" w:eastAsia="仿宋" w:cs="仿宋"/>
          <w:sz w:val="28"/>
          <w:szCs w:val="28"/>
        </w:rPr>
        <w:t>万元，主要用于</w:t>
      </w:r>
      <w:r>
        <w:rPr>
          <w:rFonts w:hint="eastAsia" w:ascii="仿宋" w:hAnsi="仿宋" w:eastAsia="仿宋" w:cs="仿宋"/>
          <w:sz w:val="28"/>
          <w:szCs w:val="28"/>
          <w:lang w:val="en-US" w:eastAsia="zh-CN"/>
        </w:rPr>
        <w:t>207文化旅游体育与传媒支出3026.21万元，占100%。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（三）财政拨款支出决算具体情况</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color w:val="000000" w:themeColor="text1"/>
          <w:sz w:val="28"/>
          <w:szCs w:val="28"/>
          <w14:textFill>
            <w14:solidFill>
              <w14:schemeClr w14:val="tx1"/>
            </w14:solidFill>
          </w14:textFill>
        </w:rPr>
        <w:t>202</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年度财政拨款支出年初预算数为</w:t>
      </w:r>
      <w:r>
        <w:rPr>
          <w:rFonts w:hint="eastAsia" w:ascii="仿宋" w:hAnsi="仿宋" w:eastAsia="仿宋" w:cs="仿宋"/>
          <w:color w:val="000000" w:themeColor="text1"/>
          <w:sz w:val="28"/>
          <w:szCs w:val="28"/>
          <w:lang w:val="en-US" w:eastAsia="zh-CN"/>
          <w14:textFill>
            <w14:solidFill>
              <w14:schemeClr w14:val="tx1"/>
            </w14:solidFill>
          </w14:textFill>
        </w:rPr>
        <w:t>1349.45</w:t>
      </w:r>
      <w:r>
        <w:rPr>
          <w:rFonts w:hint="eastAsia" w:ascii="仿宋" w:hAnsi="仿宋" w:eastAsia="仿宋" w:cs="仿宋"/>
          <w:color w:val="000000" w:themeColor="text1"/>
          <w:sz w:val="28"/>
          <w:szCs w:val="28"/>
          <w14:textFill>
            <w14:solidFill>
              <w14:schemeClr w14:val="tx1"/>
            </w14:solidFill>
          </w14:textFill>
        </w:rPr>
        <w:t>万元，</w:t>
      </w:r>
      <w:r>
        <w:rPr>
          <w:rFonts w:hint="eastAsia" w:ascii="仿宋" w:hAnsi="仿宋" w:eastAsia="仿宋" w:cs="仿宋"/>
          <w:color w:val="000000" w:themeColor="text1"/>
          <w:sz w:val="28"/>
          <w:szCs w:val="28"/>
          <w:lang w:eastAsia="zh-CN"/>
          <w14:textFill>
            <w14:solidFill>
              <w14:schemeClr w14:val="tx1"/>
            </w14:solidFill>
          </w14:textFill>
        </w:rPr>
        <w:t>年中追加预算</w:t>
      </w:r>
      <w:r>
        <w:rPr>
          <w:rFonts w:hint="eastAsia" w:ascii="仿宋" w:hAnsi="仿宋" w:eastAsia="仿宋" w:cs="仿宋"/>
          <w:color w:val="000000" w:themeColor="text1"/>
          <w:sz w:val="28"/>
          <w:szCs w:val="28"/>
          <w:lang w:val="en-US" w:eastAsia="zh-CN"/>
          <w14:textFill>
            <w14:solidFill>
              <w14:schemeClr w14:val="tx1"/>
            </w14:solidFill>
          </w14:textFill>
        </w:rPr>
        <w:t>1676.76万元，</w:t>
      </w:r>
      <w:r>
        <w:rPr>
          <w:rFonts w:hint="eastAsia" w:ascii="仿宋" w:hAnsi="仿宋" w:eastAsia="仿宋" w:cs="仿宋"/>
          <w:color w:val="000000" w:themeColor="text1"/>
          <w:sz w:val="28"/>
          <w:szCs w:val="28"/>
          <w14:textFill>
            <w14:solidFill>
              <w14:schemeClr w14:val="tx1"/>
            </w14:solidFill>
          </w14:textFill>
        </w:rPr>
        <w:t>支出决算数为</w:t>
      </w:r>
      <w:r>
        <w:rPr>
          <w:rFonts w:hint="eastAsia" w:ascii="仿宋" w:hAnsi="仿宋" w:eastAsia="仿宋" w:cs="仿宋"/>
          <w:color w:val="000000" w:themeColor="text1"/>
          <w:sz w:val="28"/>
          <w:szCs w:val="28"/>
          <w:lang w:val="en-US" w:eastAsia="zh-CN"/>
          <w14:textFill>
            <w14:solidFill>
              <w14:schemeClr w14:val="tx1"/>
            </w14:solidFill>
          </w14:textFill>
        </w:rPr>
        <w:t>3026.21</w:t>
      </w:r>
      <w:r>
        <w:rPr>
          <w:rFonts w:hint="eastAsia" w:ascii="仿宋" w:hAnsi="仿宋" w:eastAsia="仿宋" w:cs="仿宋"/>
          <w:color w:val="000000" w:themeColor="text1"/>
          <w:sz w:val="28"/>
          <w:szCs w:val="28"/>
          <w14:textFill>
            <w14:solidFill>
              <w14:schemeClr w14:val="tx1"/>
            </w14:solidFill>
          </w14:textFill>
        </w:rPr>
        <w:t>万元，完成预算的</w:t>
      </w:r>
      <w:r>
        <w:rPr>
          <w:rFonts w:hint="eastAsia" w:ascii="仿宋" w:hAnsi="仿宋" w:eastAsia="仿宋" w:cs="仿宋"/>
          <w:color w:val="000000" w:themeColor="text1"/>
          <w:sz w:val="28"/>
          <w:szCs w:val="28"/>
          <w:lang w:val="en-US" w:eastAsia="zh-CN"/>
          <w14:textFill>
            <w14:solidFill>
              <w14:schemeClr w14:val="tx1"/>
            </w14:solidFill>
          </w14:textFill>
        </w:rPr>
        <w:t>100</w:t>
      </w:r>
      <w:r>
        <w:rPr>
          <w:rFonts w:hint="eastAsia" w:ascii="仿宋" w:hAnsi="仿宋" w:eastAsia="仿宋" w:cs="仿宋"/>
          <w:color w:val="000000" w:themeColor="text1"/>
          <w:sz w:val="28"/>
          <w:szCs w:val="28"/>
          <w14:textFill>
            <w14:solidFill>
              <w14:schemeClr w14:val="tx1"/>
            </w14:solidFill>
          </w14:textFill>
        </w:rPr>
        <w:t>%，其中：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CN"/>
          <w14:textFill>
            <w14:solidFill>
              <w14:schemeClr w14:val="tx1"/>
            </w14:solidFill>
          </w14:textFill>
        </w:rPr>
        <w:t>文化旅游体育与传媒支出（类）文化和旅游（款）行政运行（项），年初预算为817.37万元，支出决算为814.16万元，完成年初预算的99.61%，</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w:t>
      </w:r>
      <w:r>
        <w:rPr>
          <w:rFonts w:hint="eastAsia" w:ascii="仿宋" w:hAnsi="仿宋" w:eastAsia="仿宋" w:cs="仿宋"/>
          <w:color w:val="000000" w:themeColor="text1"/>
          <w:kern w:val="2"/>
          <w:sz w:val="28"/>
          <w:szCs w:val="28"/>
          <w:lang w:val="en-US" w:eastAsia="zh-CN" w:bidi="ar-SA"/>
          <w14:textFill>
            <w14:solidFill>
              <w14:schemeClr w14:val="tx1"/>
            </w14:solidFill>
          </w14:textFill>
        </w:rPr>
        <w:t>根据县财政部门要求压减一般性支出和基本支出。</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2、文化旅游体育与传媒支出（类）文化和旅游（款）一般行政管理事务（项），年初预算为42.28万元，支出决算为0万元，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决算数小于年初预算数的主要原因是年中预算调整，该预算资金用于其他项目。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3、文化旅游体育与传媒支出（类）文化和旅游（款）图书馆（项），年初预算为0万元，支出决算为123.62万元，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决算数大于年初预算数的主要原因是未将两馆一站免费开放资金列入年初预算，</w:t>
      </w:r>
      <w:r>
        <w:rPr>
          <w:rFonts w:hint="eastAsia" w:ascii="仿宋" w:hAnsi="仿宋" w:eastAsia="仿宋" w:cs="仿宋"/>
          <w:color w:val="000000" w:themeColor="text1"/>
          <w:sz w:val="28"/>
          <w:szCs w:val="28"/>
          <w:lang w:val="en-US" w:eastAsia="zh-CN"/>
          <w14:textFill>
            <w14:solidFill>
              <w14:schemeClr w14:val="tx1"/>
            </w14:solidFill>
          </w14:textFill>
        </w:rPr>
        <w:t>年中追加123.62万元。</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4、文化旅游体育与传媒支出（类）文化和旅游（款）艺术表演团体（项），年初预算为10万元，支出决算为0万元，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决算数小于年初预算数的主要原因是年中预算调整，该预算资金用于其他项目。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FF"/>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5、文化旅游体育与传媒支出（类）文化和旅游（款）文化活动（项），年初预算为166万元，支出决算为293.89万元，完成年初预算的177.04%。</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w:t>
      </w:r>
      <w:r>
        <w:rPr>
          <w:rFonts w:hint="eastAsia" w:ascii="仿宋" w:hAnsi="仿宋" w:eastAsia="仿宋" w:cs="仿宋"/>
          <w:color w:val="000000" w:themeColor="text1"/>
          <w:sz w:val="28"/>
          <w:szCs w:val="28"/>
          <w:lang w:val="en-US" w:eastAsia="zh-CN"/>
          <w14:textFill>
            <w14:solidFill>
              <w14:schemeClr w14:val="tx1"/>
            </w14:solidFill>
          </w14:textFill>
        </w:rPr>
        <w:t>年中追加举办文化活动的预算资金127.89万元。</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6、文化旅游体育与传媒支出（类）文化和旅游（款）群众文化（项），年初预算为76.5万元，支出决算为0万元，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决算数小于年初预算数的主要原因是年中预算调整，该预算资金用于其他项目。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7、文化旅游体育与传媒支出（类）文化和旅游（款）文化和旅游市场管理（项），年初预算为20万元，支出决算为0万元，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决算数小于年初预算数的主要原因是年中预算调整，该预算资金用于其他项目。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8、文化旅游体育与传媒支出（类）文化和旅游（款）旅游宣传（项），年初预算为30万元，支出决算为0万元，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决算数小于年初预算数的主要原因是年中科目调整，该项支出使用其他科目预算资金。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9、文化旅游体育与传媒支出（类）文化和旅游（款）其他文化和旅游支出（项），年初预算为0万元，支出决算为249.46万元，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决算数大于年初预算数的主要原因是年中科目调整，该项支出使用其他科目预算资金。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10、文化旅游体育与传媒支出（类）文物（款）行政运行（项）,年初预算为0万元，支出决算为31.05万元，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决算数大于年初预算数的主要原因是年中科目调整，该项支出使用其他科目预算资金。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11、文化旅游体育与传媒支出（类）文物（款）文物保护（项）,年初预算为0万元，支出决算为161.97万元，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决算数大于年初预算数的主要原因是年中科目调整，该项支出使用其他科目预算资金。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仿宋" w:hAnsi="仿宋" w:eastAsia="仿宋" w:cs="仿宋"/>
          <w:color w:val="000000" w:themeColor="text1"/>
          <w:sz w:val="28"/>
          <w:szCs w:val="28"/>
          <w:highlight w:val="yellow"/>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12、文化旅游体育与传媒支出（类）文物（款）博物馆（项）,年初预算为20万元，支出决算为5.73万元，完成年初预算的28.65%，</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w:t>
      </w:r>
      <w:r>
        <w:rPr>
          <w:rFonts w:hint="eastAsia" w:ascii="仿宋" w:hAnsi="仿宋" w:eastAsia="仿宋" w:cs="仿宋"/>
          <w:color w:val="000000"/>
          <w:kern w:val="2"/>
          <w:sz w:val="28"/>
          <w:szCs w:val="28"/>
          <w:highlight w:val="none"/>
          <w:lang w:val="en-US" w:eastAsia="zh-CN" w:bidi="ar-SA"/>
        </w:rPr>
        <w:t>是</w:t>
      </w:r>
      <w:r>
        <w:rPr>
          <w:rFonts w:hint="eastAsia" w:ascii="仿宋" w:hAnsi="仿宋" w:eastAsia="仿宋" w:cs="仿宋"/>
          <w:color w:val="000000"/>
          <w:kern w:val="2"/>
          <w:sz w:val="28"/>
          <w:szCs w:val="28"/>
          <w:lang w:val="en-US" w:eastAsia="zh-CN" w:bidi="ar-SA"/>
        </w:rPr>
        <w:t>受疫情影响，相关项目进度滞后。</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13、文化旅游体育与传媒支出（类）体育（款）群众体育（项）,年初预算为100万元，支出决算为57.19万元，完成年初预算的57.19%，</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决算数小于年初预算数的主要原因是</w:t>
      </w:r>
      <w:r>
        <w:rPr>
          <w:rFonts w:hint="eastAsia" w:ascii="仿宋" w:hAnsi="仿宋" w:eastAsia="仿宋" w:cs="仿宋"/>
          <w:color w:val="000000"/>
          <w:kern w:val="2"/>
          <w:sz w:val="28"/>
          <w:szCs w:val="28"/>
          <w:highlight w:val="none"/>
          <w:lang w:val="en-US" w:eastAsia="zh-CN" w:bidi="ar-SA"/>
        </w:rPr>
        <w:t>受</w:t>
      </w:r>
      <w:r>
        <w:rPr>
          <w:rFonts w:hint="eastAsia" w:ascii="仿宋" w:hAnsi="仿宋" w:eastAsia="仿宋" w:cs="仿宋"/>
          <w:color w:val="000000"/>
          <w:kern w:val="2"/>
          <w:sz w:val="28"/>
          <w:szCs w:val="28"/>
          <w:lang w:val="en-US" w:eastAsia="zh-CN" w:bidi="ar-SA"/>
        </w:rPr>
        <w:t>疫情影响，相关体育赛事延期举行。</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14、文化旅游体育与传媒支出（类）广播电视（款）其他广播电视支出（项）,年初预算为0万元，支出决算为237.45万元，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w:t>
      </w:r>
      <w:r>
        <w:rPr>
          <w:rFonts w:hint="eastAsia" w:ascii="仿宋" w:hAnsi="仿宋" w:eastAsia="仿宋" w:cs="仿宋"/>
          <w:color w:val="000000" w:themeColor="text1"/>
          <w:sz w:val="28"/>
          <w:szCs w:val="28"/>
          <w:lang w:val="en-US" w:eastAsia="zh-CN"/>
          <w14:textFill>
            <w14:solidFill>
              <w14:schemeClr w14:val="tx1"/>
            </w14:solidFill>
          </w14:textFill>
        </w:rPr>
        <w:t>其他广播电视支出年中追加237.45万元。</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15、文化旅游体育与传媒支出（类）其他文化体育与传媒支出（款）宣传文化发展专项支出（项），年初预算为0万元，支出决算为492.52万元，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w:t>
      </w:r>
      <w:r>
        <w:rPr>
          <w:rFonts w:hint="eastAsia" w:ascii="仿宋" w:hAnsi="仿宋" w:eastAsia="仿宋" w:cs="仿宋"/>
          <w:color w:val="000000" w:themeColor="text1"/>
          <w:sz w:val="28"/>
          <w:szCs w:val="28"/>
          <w:lang w:val="en-US" w:eastAsia="zh-CN"/>
          <w14:textFill>
            <w14:solidFill>
              <w14:schemeClr w14:val="tx1"/>
            </w14:solidFill>
          </w14:textFill>
        </w:rPr>
        <w:t>宣传文化发展专项年中追加495.52万元。</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16、文化旅游体育与传媒支出（类）其他文化体育与传媒支出（款）文化产业发展专项支出（项），年初预算为0万元，支出决算为559.17万元，</w:t>
      </w:r>
      <w:r>
        <w:rPr>
          <w:rFonts w:hint="eastAsia" w:ascii="仿宋" w:hAnsi="仿宋" w:eastAsia="仿宋" w:cs="仿宋"/>
          <w:color w:val="000000" w:themeColor="text1"/>
          <w:sz w:val="28"/>
          <w:szCs w:val="28"/>
          <w:highlight w:val="none"/>
          <w:lang w:val="en-US" w:eastAsia="zh-CN"/>
          <w14:textFill>
            <w14:solidFill>
              <w14:schemeClr w14:val="tx1"/>
            </w14:solidFill>
          </w14:textFill>
        </w:rPr>
        <w:t>决算数大于年初预算数的主要原因是</w:t>
      </w:r>
      <w:r>
        <w:rPr>
          <w:rFonts w:hint="eastAsia" w:ascii="仿宋" w:hAnsi="仿宋" w:eastAsia="仿宋" w:cs="仿宋"/>
          <w:color w:val="000000" w:themeColor="text1"/>
          <w:sz w:val="28"/>
          <w:szCs w:val="28"/>
          <w:lang w:val="en-US" w:eastAsia="zh-CN"/>
          <w14:textFill>
            <w14:solidFill>
              <w14:schemeClr w14:val="tx1"/>
            </w14:solidFill>
          </w14:textFill>
        </w:rPr>
        <w:t>文化产业发展专项支出年中追加559.17万元。</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六、一般公共预算财政拨款基本支出决算情况说明</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年度财政拨款基本支出</w:t>
      </w:r>
      <w:r>
        <w:rPr>
          <w:rFonts w:hint="eastAsia" w:ascii="仿宋" w:hAnsi="仿宋" w:eastAsia="仿宋" w:cs="仿宋"/>
          <w:sz w:val="28"/>
          <w:szCs w:val="28"/>
          <w:lang w:val="en-US" w:eastAsia="zh-CN"/>
        </w:rPr>
        <w:t>893.96</w:t>
      </w:r>
      <w:r>
        <w:rPr>
          <w:rFonts w:hint="eastAsia" w:ascii="仿宋" w:hAnsi="仿宋" w:eastAsia="仿宋" w:cs="仿宋"/>
          <w:sz w:val="28"/>
          <w:szCs w:val="28"/>
        </w:rPr>
        <w:t>万元，其中：</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sz w:val="28"/>
          <w:szCs w:val="28"/>
        </w:rPr>
        <w:t>人员经费</w:t>
      </w:r>
      <w:r>
        <w:rPr>
          <w:rFonts w:hint="eastAsia" w:ascii="仿宋" w:hAnsi="仿宋" w:eastAsia="仿宋" w:cs="仿宋"/>
          <w:sz w:val="28"/>
          <w:szCs w:val="28"/>
          <w:lang w:val="en-US" w:eastAsia="zh-CN"/>
        </w:rPr>
        <w:t>749.79</w:t>
      </w:r>
      <w:r>
        <w:rPr>
          <w:rFonts w:hint="eastAsia" w:ascii="仿宋" w:hAnsi="仿宋" w:eastAsia="仿宋" w:cs="仿宋"/>
          <w:sz w:val="28"/>
          <w:szCs w:val="28"/>
        </w:rPr>
        <w:t>万元，占基本支出的</w:t>
      </w:r>
      <w:r>
        <w:rPr>
          <w:rFonts w:hint="eastAsia" w:ascii="仿宋" w:hAnsi="仿宋" w:eastAsia="仿宋" w:cs="仿宋"/>
          <w:sz w:val="28"/>
          <w:szCs w:val="28"/>
          <w:lang w:val="en-US" w:eastAsia="zh-CN"/>
        </w:rPr>
        <w:t>83.87</w:t>
      </w:r>
      <w:r>
        <w:rPr>
          <w:rFonts w:hint="eastAsia" w:ascii="仿宋" w:hAnsi="仿宋" w:eastAsia="仿宋" w:cs="仿宋"/>
          <w:sz w:val="28"/>
          <w:szCs w:val="28"/>
        </w:rPr>
        <w:t>%,主要包括</w:t>
      </w:r>
      <w:r>
        <w:rPr>
          <w:rFonts w:hint="eastAsia" w:ascii="仿宋" w:hAnsi="仿宋" w:eastAsia="仿宋" w:cs="仿宋"/>
          <w:color w:val="auto"/>
          <w:kern w:val="2"/>
          <w:sz w:val="28"/>
          <w:szCs w:val="28"/>
          <w:lang w:val="en-US" w:eastAsia="zh-CN" w:bidi="ar-SA"/>
        </w:rPr>
        <w:t>基本工资222.65万元、津贴补贴58.75万元、奖金113.11万元、伙食补助费31.45万元、绩效工资31.02万元、机关事业单位基本养老保险79.44万元、职业年金缴费18.93万元、职工基本医疗保险缴费34.43万元、公务员医疗补助缴费10.45万元、其他社会保障缴费8.26万元、住房公积金133.69万元、抚恤金4.25万元、生活补助3.36万元。</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公用经费</w:t>
      </w:r>
      <w:r>
        <w:rPr>
          <w:rFonts w:hint="eastAsia" w:ascii="仿宋" w:hAnsi="仿宋" w:eastAsia="仿宋" w:cs="仿宋"/>
          <w:sz w:val="28"/>
          <w:szCs w:val="28"/>
          <w:lang w:val="en-US" w:eastAsia="zh-CN"/>
        </w:rPr>
        <w:t>144.17</w:t>
      </w:r>
      <w:r>
        <w:rPr>
          <w:rFonts w:hint="eastAsia" w:ascii="仿宋" w:hAnsi="仿宋" w:eastAsia="仿宋" w:cs="仿宋"/>
          <w:sz w:val="28"/>
          <w:szCs w:val="28"/>
        </w:rPr>
        <w:t>万元，占基本支出的</w:t>
      </w:r>
      <w:r>
        <w:rPr>
          <w:rFonts w:hint="eastAsia" w:ascii="仿宋" w:hAnsi="仿宋" w:eastAsia="仿宋" w:cs="仿宋"/>
          <w:sz w:val="28"/>
          <w:szCs w:val="28"/>
          <w:lang w:val="en-US" w:eastAsia="zh-CN"/>
        </w:rPr>
        <w:t>16.13</w:t>
      </w:r>
      <w:r>
        <w:rPr>
          <w:rFonts w:hint="eastAsia" w:ascii="仿宋" w:hAnsi="仿宋" w:eastAsia="仿宋" w:cs="仿宋"/>
          <w:sz w:val="28"/>
          <w:szCs w:val="28"/>
        </w:rPr>
        <w:t>%，主要包括</w:t>
      </w:r>
      <w:r>
        <w:rPr>
          <w:rFonts w:hint="eastAsia" w:ascii="仿宋" w:hAnsi="仿宋" w:eastAsia="仿宋" w:cs="仿宋"/>
          <w:color w:val="auto"/>
          <w:kern w:val="2"/>
          <w:sz w:val="28"/>
          <w:szCs w:val="28"/>
          <w:lang w:val="en-US" w:eastAsia="zh-CN" w:bidi="ar-SA"/>
        </w:rPr>
        <w:t>办公费28.32万元、咨询费0.7万元、水费0.99万元、电费4.45万元、邮电费1.06万元、差旅费6.76万元、维修费5.62万元、会议费0.03万元、培训费0.62万元、公务接待费0.46万元、劳务费8.27万元、工会经费23.1万元、福利费8.3万元、公务用车运行维护费4.8万元、其他交通费用29.96万元、其他商品和服务支出20.73万元。</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七、一般公共预算财政拨款三公经费支出决算情况说明</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（一）“三公”经费财政拨款支出决算总体情况说明</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“三公”经费财政拨款支出预算为</w:t>
      </w:r>
      <w:r>
        <w:rPr>
          <w:rFonts w:hint="eastAsia" w:ascii="仿宋" w:hAnsi="仿宋" w:eastAsia="仿宋" w:cs="仿宋"/>
          <w:sz w:val="28"/>
          <w:szCs w:val="28"/>
          <w:lang w:val="en-US" w:eastAsia="zh-CN"/>
        </w:rPr>
        <w:t>19.3</w:t>
      </w:r>
      <w:r>
        <w:rPr>
          <w:rFonts w:hint="eastAsia" w:ascii="仿宋" w:hAnsi="仿宋" w:eastAsia="仿宋" w:cs="仿宋"/>
          <w:sz w:val="28"/>
          <w:szCs w:val="28"/>
        </w:rPr>
        <w:t>万元，支出决算为</w:t>
      </w:r>
      <w:r>
        <w:rPr>
          <w:rFonts w:hint="eastAsia" w:ascii="仿宋" w:hAnsi="仿宋" w:eastAsia="仿宋" w:cs="仿宋"/>
          <w:sz w:val="28"/>
          <w:szCs w:val="28"/>
          <w:lang w:val="en-US" w:eastAsia="zh-CN"/>
        </w:rPr>
        <w:t>5.26</w:t>
      </w:r>
      <w:r>
        <w:rPr>
          <w:rFonts w:hint="eastAsia" w:ascii="仿宋" w:hAnsi="仿宋" w:eastAsia="仿宋" w:cs="仿宋"/>
          <w:sz w:val="28"/>
          <w:szCs w:val="28"/>
        </w:rPr>
        <w:t>万元，完成预算的</w:t>
      </w:r>
      <w:r>
        <w:rPr>
          <w:rFonts w:hint="eastAsia" w:ascii="仿宋" w:hAnsi="仿宋" w:eastAsia="仿宋" w:cs="仿宋"/>
          <w:sz w:val="28"/>
          <w:szCs w:val="28"/>
          <w:lang w:val="en-US" w:eastAsia="zh-CN"/>
        </w:rPr>
        <w:t>27.25</w:t>
      </w:r>
      <w:r>
        <w:rPr>
          <w:rFonts w:hint="eastAsia" w:ascii="仿宋" w:hAnsi="仿宋" w:eastAsia="仿宋" w:cs="仿宋"/>
          <w:sz w:val="28"/>
          <w:szCs w:val="28"/>
        </w:rPr>
        <w:t>%，其中：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000000"/>
          <w:kern w:val="2"/>
          <w:sz w:val="28"/>
          <w:szCs w:val="28"/>
          <w:lang w:val="en-US" w:eastAsia="zh-CN" w:bidi="ar-SA"/>
        </w:rPr>
        <w:t>因公出国（境）费支出预算为0万元，</w:t>
      </w:r>
      <w:r>
        <w:rPr>
          <w:rFonts w:hint="eastAsia" w:ascii="仿宋" w:hAnsi="仿宋" w:eastAsia="仿宋" w:cs="仿宋"/>
          <w:color w:val="auto"/>
          <w:kern w:val="2"/>
          <w:sz w:val="28"/>
          <w:szCs w:val="28"/>
          <w:lang w:val="en-US" w:eastAsia="zh-CN" w:bidi="ar-SA"/>
        </w:rPr>
        <w:t>支出决算为0万元，本单位全年未安排因公出国（境）的公务活动，与上年相比无增减变化。</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color w:val="1F497D" w:themeColor="text2"/>
          <w:sz w:val="28"/>
          <w:szCs w:val="28"/>
          <w14:textFill>
            <w14:solidFill>
              <w14:schemeClr w14:val="tx2"/>
            </w14:solidFill>
          </w14:textFill>
        </w:rPr>
      </w:pPr>
      <w:r>
        <w:rPr>
          <w:rFonts w:hint="eastAsia" w:ascii="仿宋" w:hAnsi="仿宋" w:eastAsia="仿宋" w:cs="仿宋"/>
          <w:sz w:val="28"/>
          <w:szCs w:val="28"/>
        </w:rPr>
        <w:t>公务接待费支出预算为</w:t>
      </w:r>
      <w:r>
        <w:rPr>
          <w:rFonts w:hint="eastAsia" w:ascii="仿宋" w:hAnsi="仿宋" w:eastAsia="仿宋" w:cs="仿宋"/>
          <w:sz w:val="28"/>
          <w:szCs w:val="28"/>
          <w:lang w:val="en-US" w:eastAsia="zh-CN"/>
        </w:rPr>
        <w:t>14.5</w:t>
      </w:r>
      <w:r>
        <w:rPr>
          <w:rFonts w:hint="eastAsia" w:ascii="仿宋" w:hAnsi="仿宋" w:eastAsia="仿宋" w:cs="仿宋"/>
          <w:sz w:val="28"/>
          <w:szCs w:val="28"/>
        </w:rPr>
        <w:t>万元，支出决算为</w:t>
      </w:r>
      <w:r>
        <w:rPr>
          <w:rFonts w:hint="eastAsia" w:ascii="仿宋" w:hAnsi="仿宋" w:eastAsia="仿宋" w:cs="仿宋"/>
          <w:sz w:val="28"/>
          <w:szCs w:val="28"/>
          <w:lang w:val="en-US" w:eastAsia="zh-CN"/>
        </w:rPr>
        <w:t>0.46</w:t>
      </w:r>
      <w:r>
        <w:rPr>
          <w:rFonts w:hint="eastAsia" w:ascii="仿宋" w:hAnsi="仿宋" w:eastAsia="仿宋" w:cs="仿宋"/>
          <w:sz w:val="28"/>
          <w:szCs w:val="28"/>
        </w:rPr>
        <w:t>万元，完成预</w:t>
      </w:r>
      <w:r>
        <w:rPr>
          <w:rFonts w:hint="eastAsia" w:ascii="仿宋" w:hAnsi="仿宋" w:eastAsia="仿宋" w:cs="仿宋"/>
          <w:color w:val="000000" w:themeColor="text1"/>
          <w:sz w:val="28"/>
          <w:szCs w:val="28"/>
          <w14:textFill>
            <w14:solidFill>
              <w14:schemeClr w14:val="tx1"/>
            </w14:solidFill>
          </w14:textFill>
        </w:rPr>
        <w:t>算的</w:t>
      </w:r>
      <w:r>
        <w:rPr>
          <w:rFonts w:hint="eastAsia" w:ascii="仿宋" w:hAnsi="仿宋" w:eastAsia="仿宋" w:cs="仿宋"/>
          <w:color w:val="000000" w:themeColor="text1"/>
          <w:sz w:val="28"/>
          <w:szCs w:val="28"/>
          <w:lang w:val="en-US" w:eastAsia="zh-CN"/>
          <w14:textFill>
            <w14:solidFill>
              <w14:schemeClr w14:val="tx1"/>
            </w14:solidFill>
          </w14:textFill>
        </w:rPr>
        <w:t>3.17</w:t>
      </w:r>
      <w:r>
        <w:rPr>
          <w:rFonts w:hint="eastAsia" w:ascii="仿宋" w:hAnsi="仿宋" w:eastAsia="仿宋" w:cs="仿宋"/>
          <w:color w:val="000000" w:themeColor="text1"/>
          <w:sz w:val="28"/>
          <w:szCs w:val="28"/>
          <w14:textFill>
            <w14:solidFill>
              <w14:schemeClr w14:val="tx1"/>
            </w14:solidFill>
          </w14:textFill>
        </w:rPr>
        <w:t>%，与上年相比减少</w:t>
      </w:r>
      <w:r>
        <w:rPr>
          <w:rFonts w:hint="eastAsia" w:ascii="仿宋" w:hAnsi="仿宋" w:eastAsia="仿宋" w:cs="仿宋"/>
          <w:color w:val="000000" w:themeColor="text1"/>
          <w:sz w:val="28"/>
          <w:szCs w:val="28"/>
          <w:lang w:val="en-US" w:eastAsia="zh-CN"/>
          <w14:textFill>
            <w14:solidFill>
              <w14:schemeClr w14:val="tx1"/>
            </w14:solidFill>
          </w14:textFill>
        </w:rPr>
        <w:t>6.36</w:t>
      </w:r>
      <w:r>
        <w:rPr>
          <w:rFonts w:hint="eastAsia" w:ascii="仿宋" w:hAnsi="仿宋" w:eastAsia="仿宋" w:cs="仿宋"/>
          <w:color w:val="000000" w:themeColor="text1"/>
          <w:sz w:val="28"/>
          <w:szCs w:val="28"/>
          <w14:textFill>
            <w14:solidFill>
              <w14:schemeClr w14:val="tx1"/>
            </w14:solidFill>
          </w14:textFill>
        </w:rPr>
        <w:t>万元，减少</w:t>
      </w:r>
      <w:r>
        <w:rPr>
          <w:rFonts w:hint="eastAsia" w:ascii="仿宋" w:hAnsi="仿宋" w:eastAsia="仿宋" w:cs="仿宋"/>
          <w:color w:val="000000" w:themeColor="text1"/>
          <w:sz w:val="28"/>
          <w:szCs w:val="28"/>
          <w:lang w:val="en-US" w:eastAsia="zh-CN"/>
          <w14:textFill>
            <w14:solidFill>
              <w14:schemeClr w14:val="tx1"/>
            </w14:solidFill>
          </w14:textFill>
        </w:rPr>
        <w:t>93.26</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kern w:val="2"/>
          <w:sz w:val="28"/>
          <w:szCs w:val="28"/>
          <w:lang w:val="en-US" w:eastAsia="zh-CN" w:bidi="ar-SA"/>
          <w14:textFill>
            <w14:solidFill>
              <w14:schemeClr w14:val="tx1"/>
            </w14:solidFill>
          </w14:textFill>
        </w:rPr>
        <w:t>主要原因是我局认真贯彻落实中央八项规定精神和厉行节约要求，从严控制“三公”经费开支。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公务用车购置费及运行维护费支出预算为</w:t>
      </w:r>
      <w:r>
        <w:rPr>
          <w:rFonts w:hint="eastAsia" w:ascii="仿宋" w:hAnsi="仿宋" w:eastAsia="仿宋" w:cs="仿宋"/>
          <w:sz w:val="28"/>
          <w:szCs w:val="28"/>
          <w:lang w:val="en-US" w:eastAsia="zh-CN"/>
        </w:rPr>
        <w:t>4.8</w:t>
      </w:r>
      <w:r>
        <w:rPr>
          <w:rFonts w:hint="eastAsia" w:ascii="仿宋" w:hAnsi="仿宋" w:eastAsia="仿宋" w:cs="仿宋"/>
          <w:sz w:val="28"/>
          <w:szCs w:val="28"/>
        </w:rPr>
        <w:t>万元，支出决算为</w:t>
      </w:r>
      <w:r>
        <w:rPr>
          <w:rFonts w:hint="eastAsia" w:ascii="仿宋" w:hAnsi="仿宋" w:eastAsia="仿宋" w:cs="仿宋"/>
          <w:color w:val="000000" w:themeColor="text1"/>
          <w:sz w:val="28"/>
          <w:szCs w:val="28"/>
          <w:lang w:val="en-US" w:eastAsia="zh-CN"/>
          <w14:textFill>
            <w14:solidFill>
              <w14:schemeClr w14:val="tx1"/>
            </w14:solidFill>
          </w14:textFill>
        </w:rPr>
        <w:t>4.8</w:t>
      </w:r>
      <w:r>
        <w:rPr>
          <w:rFonts w:hint="eastAsia" w:ascii="仿宋" w:hAnsi="仿宋" w:eastAsia="仿宋" w:cs="仿宋"/>
          <w:color w:val="000000" w:themeColor="text1"/>
          <w:sz w:val="28"/>
          <w:szCs w:val="28"/>
          <w14:textFill>
            <w14:solidFill>
              <w14:schemeClr w14:val="tx1"/>
            </w14:solidFill>
          </w14:textFill>
        </w:rPr>
        <w:t>万元，完成预算的</w:t>
      </w:r>
      <w:r>
        <w:rPr>
          <w:rFonts w:hint="eastAsia" w:ascii="仿宋" w:hAnsi="仿宋" w:eastAsia="仿宋" w:cs="仿宋"/>
          <w:color w:val="000000" w:themeColor="text1"/>
          <w:sz w:val="28"/>
          <w:szCs w:val="28"/>
          <w:lang w:val="en-US" w:eastAsia="zh-CN"/>
          <w14:textFill>
            <w14:solidFill>
              <w14:schemeClr w14:val="tx1"/>
            </w14:solidFill>
          </w14:textFill>
        </w:rPr>
        <w:t>100</w:t>
      </w:r>
      <w:r>
        <w:rPr>
          <w:rFonts w:hint="eastAsia" w:ascii="仿宋" w:hAnsi="仿宋" w:eastAsia="仿宋" w:cs="仿宋"/>
          <w:color w:val="000000" w:themeColor="text1"/>
          <w:sz w:val="28"/>
          <w:szCs w:val="28"/>
          <w14:textFill>
            <w14:solidFill>
              <w14:schemeClr w14:val="tx1"/>
            </w14:solidFill>
          </w14:textFill>
        </w:rPr>
        <w:t>%，与上年相比</w:t>
      </w:r>
      <w:r>
        <w:rPr>
          <w:rFonts w:hint="eastAsia" w:ascii="仿宋" w:hAnsi="仿宋" w:eastAsia="仿宋" w:cs="仿宋"/>
          <w:color w:val="000000" w:themeColor="text1"/>
          <w:sz w:val="28"/>
          <w:szCs w:val="28"/>
          <w:lang w:val="en-US" w:eastAsia="zh-CN"/>
          <w14:textFill>
            <w14:solidFill>
              <w14:schemeClr w14:val="tx1"/>
            </w14:solidFill>
          </w14:textFill>
        </w:rPr>
        <w:t>无增减变化。</w:t>
      </w:r>
      <w:r>
        <w:rPr>
          <w:rFonts w:hint="eastAsia" w:ascii="仿宋" w:hAnsi="仿宋" w:eastAsia="仿宋" w:cs="仿宋"/>
          <w:color w:val="000000" w:themeColor="text1"/>
          <w:kern w:val="2"/>
          <w:sz w:val="28"/>
          <w:szCs w:val="28"/>
          <w:lang w:val="en-US" w:eastAsia="zh-CN" w:bidi="ar-SA"/>
          <w14:textFill>
            <w14:solidFill>
              <w14:schemeClr w14:val="tx1"/>
            </w14:solidFill>
          </w14:textFill>
        </w:rPr>
        <w:t>主要原因是我局认真贯彻落实中央八项规定精神和厉行节约要求，进一步从严控制“三公”经费开支。</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（二）“三公”经费财政拨款支出决算具体情况说明</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年度“三公”经费财政拨款支出决算中，公务接待费支出决算</w:t>
      </w:r>
      <w:r>
        <w:rPr>
          <w:rFonts w:hint="eastAsia" w:ascii="仿宋" w:hAnsi="仿宋" w:eastAsia="仿宋" w:cs="仿宋"/>
          <w:sz w:val="28"/>
          <w:szCs w:val="28"/>
          <w:lang w:val="en-US" w:eastAsia="zh-CN"/>
        </w:rPr>
        <w:t>0.46</w:t>
      </w:r>
      <w:r>
        <w:rPr>
          <w:rFonts w:hint="eastAsia" w:ascii="仿宋" w:hAnsi="仿宋" w:eastAsia="仿宋" w:cs="仿宋"/>
          <w:sz w:val="28"/>
          <w:szCs w:val="28"/>
        </w:rPr>
        <w:t>万元，占</w:t>
      </w:r>
      <w:r>
        <w:rPr>
          <w:rFonts w:hint="eastAsia" w:ascii="仿宋" w:hAnsi="仿宋" w:eastAsia="仿宋" w:cs="仿宋"/>
          <w:sz w:val="28"/>
          <w:szCs w:val="28"/>
          <w:lang w:val="en-US" w:eastAsia="zh-CN"/>
        </w:rPr>
        <w:t>8.75</w:t>
      </w:r>
      <w:r>
        <w:rPr>
          <w:rFonts w:hint="eastAsia" w:ascii="仿宋" w:hAnsi="仿宋" w:eastAsia="仿宋" w:cs="仿宋"/>
          <w:sz w:val="28"/>
          <w:szCs w:val="28"/>
        </w:rPr>
        <w:t>%,因公出国（境）费支出决算</w:t>
      </w:r>
      <w:r>
        <w:rPr>
          <w:rFonts w:hint="eastAsia" w:ascii="仿宋" w:hAnsi="仿宋" w:eastAsia="仿宋" w:cs="仿宋"/>
          <w:sz w:val="28"/>
          <w:szCs w:val="28"/>
          <w:lang w:val="en-US" w:eastAsia="zh-CN"/>
        </w:rPr>
        <w:t>0</w:t>
      </w:r>
      <w:r>
        <w:rPr>
          <w:rFonts w:hint="eastAsia" w:ascii="仿宋" w:hAnsi="仿宋" w:eastAsia="仿宋" w:cs="仿宋"/>
          <w:sz w:val="28"/>
          <w:szCs w:val="28"/>
        </w:rPr>
        <w:t>万元，公务用车购置费及运行维护费支出决算</w:t>
      </w:r>
      <w:r>
        <w:rPr>
          <w:rFonts w:hint="eastAsia" w:ascii="仿宋" w:hAnsi="仿宋" w:eastAsia="仿宋" w:cs="仿宋"/>
          <w:sz w:val="28"/>
          <w:szCs w:val="28"/>
          <w:lang w:val="en-US" w:eastAsia="zh-CN"/>
        </w:rPr>
        <w:t>4.8</w:t>
      </w:r>
      <w:r>
        <w:rPr>
          <w:rFonts w:hint="eastAsia" w:ascii="仿宋" w:hAnsi="仿宋" w:eastAsia="仿宋" w:cs="仿宋"/>
          <w:sz w:val="28"/>
          <w:szCs w:val="28"/>
        </w:rPr>
        <w:t>万元，占</w:t>
      </w:r>
      <w:r>
        <w:rPr>
          <w:rFonts w:hint="eastAsia" w:ascii="仿宋" w:hAnsi="仿宋" w:eastAsia="仿宋" w:cs="仿宋"/>
          <w:sz w:val="28"/>
          <w:szCs w:val="28"/>
          <w:lang w:val="en-US" w:eastAsia="zh-CN"/>
        </w:rPr>
        <w:t>91.25</w:t>
      </w:r>
      <w:r>
        <w:rPr>
          <w:rFonts w:hint="eastAsia" w:ascii="仿宋" w:hAnsi="仿宋" w:eastAsia="仿宋" w:cs="仿宋"/>
          <w:sz w:val="28"/>
          <w:szCs w:val="28"/>
        </w:rPr>
        <w:t>%。其中：</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、因公出国（境）费支出决算为</w:t>
      </w:r>
      <w:r>
        <w:rPr>
          <w:rFonts w:hint="eastAsia" w:ascii="仿宋" w:hAnsi="仿宋" w:eastAsia="仿宋" w:cs="仿宋"/>
          <w:sz w:val="28"/>
          <w:szCs w:val="28"/>
          <w:lang w:val="en-US" w:eastAsia="zh-CN"/>
        </w:rPr>
        <w:t>0</w:t>
      </w:r>
      <w:r>
        <w:rPr>
          <w:rFonts w:hint="eastAsia" w:ascii="仿宋" w:hAnsi="仿宋" w:eastAsia="仿宋" w:cs="仿宋"/>
          <w:sz w:val="28"/>
          <w:szCs w:val="28"/>
        </w:rPr>
        <w:t>万元，</w:t>
      </w:r>
      <w:r>
        <w:rPr>
          <w:rFonts w:hint="eastAsia" w:ascii="仿宋" w:hAnsi="仿宋" w:eastAsia="仿宋" w:cs="仿宋"/>
          <w:color w:val="auto"/>
          <w:kern w:val="2"/>
          <w:sz w:val="28"/>
          <w:szCs w:val="28"/>
          <w:lang w:val="en-US" w:eastAsia="zh-CN" w:bidi="ar-SA"/>
        </w:rPr>
        <w:t>全年未安排因公出国（境）的公务活动。</w:t>
      </w:r>
    </w:p>
    <w:p>
      <w:pPr>
        <w:keepNext w:val="0"/>
        <w:keepLines w:val="0"/>
        <w:pageBreakBefore w:val="0"/>
        <w:widowControl w:val="0"/>
        <w:kinsoku/>
        <w:wordWrap/>
        <w:overflowPunct/>
        <w:topLinePunct w:val="0"/>
        <w:bidi w:val="0"/>
        <w:snapToGrid/>
        <w:spacing w:line="360" w:lineRule="auto"/>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2、公务接待费支出决算为</w:t>
      </w:r>
      <w:r>
        <w:rPr>
          <w:rFonts w:hint="eastAsia" w:ascii="仿宋" w:hAnsi="仿宋" w:eastAsia="仿宋" w:cs="仿宋"/>
          <w:color w:val="000000" w:themeColor="text1"/>
          <w:sz w:val="28"/>
          <w:szCs w:val="28"/>
          <w:lang w:val="en-US" w:eastAsia="zh-CN"/>
          <w14:textFill>
            <w14:solidFill>
              <w14:schemeClr w14:val="tx1"/>
            </w14:solidFill>
          </w14:textFill>
        </w:rPr>
        <w:t>0.46</w:t>
      </w:r>
      <w:r>
        <w:rPr>
          <w:rFonts w:hint="eastAsia" w:ascii="仿宋" w:hAnsi="仿宋" w:eastAsia="仿宋" w:cs="仿宋"/>
          <w:color w:val="000000" w:themeColor="text1"/>
          <w:sz w:val="28"/>
          <w:szCs w:val="28"/>
          <w14:textFill>
            <w14:solidFill>
              <w14:schemeClr w14:val="tx1"/>
            </w14:solidFill>
          </w14:textFill>
        </w:rPr>
        <w:t>万元，全年共接待来访团组</w:t>
      </w:r>
      <w:r>
        <w:rPr>
          <w:rFonts w:hint="eastAsia" w:ascii="仿宋" w:hAnsi="仿宋" w:eastAsia="仿宋" w:cs="仿宋"/>
          <w:color w:val="000000" w:themeColor="text1"/>
          <w:sz w:val="28"/>
          <w:szCs w:val="28"/>
          <w:lang w:val="en-US" w:eastAsia="zh-CN"/>
          <w14:textFill>
            <w14:solidFill>
              <w14:schemeClr w14:val="tx1"/>
            </w14:solidFill>
          </w14:textFill>
        </w:rPr>
        <w:t>10余次</w:t>
      </w:r>
      <w:r>
        <w:rPr>
          <w:rFonts w:hint="eastAsia" w:ascii="仿宋" w:hAnsi="仿宋" w:eastAsia="仿宋" w:cs="仿宋"/>
          <w:color w:val="000000" w:themeColor="text1"/>
          <w:sz w:val="28"/>
          <w:szCs w:val="28"/>
          <w14:textFill>
            <w14:solidFill>
              <w14:schemeClr w14:val="tx1"/>
            </w14:solidFill>
          </w14:textFill>
        </w:rPr>
        <w:t>、来宾</w:t>
      </w:r>
      <w:r>
        <w:rPr>
          <w:rFonts w:hint="eastAsia" w:ascii="仿宋" w:hAnsi="仿宋" w:eastAsia="仿宋" w:cs="仿宋"/>
          <w:color w:val="000000" w:themeColor="text1"/>
          <w:sz w:val="28"/>
          <w:szCs w:val="28"/>
          <w:lang w:val="en-US" w:eastAsia="zh-CN"/>
          <w14:textFill>
            <w14:solidFill>
              <w14:schemeClr w14:val="tx1"/>
            </w14:solidFill>
          </w14:textFill>
        </w:rPr>
        <w:t>100余</w:t>
      </w:r>
      <w:r>
        <w:rPr>
          <w:rFonts w:hint="eastAsia" w:ascii="仿宋" w:hAnsi="仿宋" w:eastAsia="仿宋" w:cs="仿宋"/>
          <w:color w:val="000000" w:themeColor="text1"/>
          <w:sz w:val="28"/>
          <w:szCs w:val="28"/>
          <w14:textFill>
            <w14:solidFill>
              <w14:schemeClr w14:val="tx1"/>
            </w14:solidFill>
          </w14:textFill>
        </w:rPr>
        <w:t>人，主要是</w:t>
      </w:r>
      <w:r>
        <w:rPr>
          <w:rFonts w:hint="eastAsia" w:ascii="仿宋" w:hAnsi="仿宋" w:eastAsia="仿宋" w:cs="仿宋"/>
          <w:color w:val="000000" w:themeColor="text1"/>
          <w:sz w:val="28"/>
          <w:szCs w:val="28"/>
          <w:lang w:eastAsia="zh-CN"/>
          <w14:textFill>
            <w14:solidFill>
              <w14:schemeClr w14:val="tx1"/>
            </w14:solidFill>
          </w14:textFill>
        </w:rPr>
        <w:t>旅游招商和上级单位督查等</w:t>
      </w:r>
      <w:r>
        <w:rPr>
          <w:rFonts w:hint="eastAsia" w:ascii="仿宋" w:hAnsi="仿宋" w:eastAsia="仿宋" w:cs="仿宋"/>
          <w:color w:val="000000" w:themeColor="text1"/>
          <w:sz w:val="28"/>
          <w:szCs w:val="28"/>
          <w14:textFill>
            <w14:solidFill>
              <w14:schemeClr w14:val="tx1"/>
            </w14:solidFill>
          </w14:textFill>
        </w:rPr>
        <w:t>发生的接待支出。</w:t>
      </w:r>
    </w:p>
    <w:p>
      <w:pPr>
        <w:keepNext w:val="0"/>
        <w:keepLines w:val="0"/>
        <w:pageBreakBefore w:val="0"/>
        <w:widowControl w:val="0"/>
        <w:kinsoku/>
        <w:wordWrap/>
        <w:overflowPunct/>
        <w:topLinePunct w:val="0"/>
        <w:bidi w:val="0"/>
        <w:snapToGrid/>
        <w:spacing w:line="360" w:lineRule="auto"/>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sz w:val="28"/>
          <w:szCs w:val="28"/>
        </w:rPr>
        <w:t>3、公务用车购置费及运行维护费支出决算为</w:t>
      </w:r>
      <w:r>
        <w:rPr>
          <w:rFonts w:hint="eastAsia" w:ascii="仿宋" w:hAnsi="仿宋" w:eastAsia="仿宋" w:cs="仿宋"/>
          <w:sz w:val="28"/>
          <w:szCs w:val="28"/>
          <w:lang w:val="en-US" w:eastAsia="zh-CN"/>
        </w:rPr>
        <w:t>4.8</w:t>
      </w:r>
      <w:r>
        <w:rPr>
          <w:rFonts w:hint="eastAsia" w:ascii="仿宋" w:hAnsi="仿宋" w:eastAsia="仿宋" w:cs="仿宋"/>
          <w:sz w:val="28"/>
          <w:szCs w:val="28"/>
        </w:rPr>
        <w:t>万元，其中：公务用车购置费</w:t>
      </w:r>
      <w:r>
        <w:rPr>
          <w:rFonts w:hint="eastAsia" w:ascii="仿宋" w:hAnsi="仿宋" w:eastAsia="仿宋" w:cs="仿宋"/>
          <w:sz w:val="28"/>
          <w:szCs w:val="28"/>
          <w:lang w:val="en-US" w:eastAsia="zh-CN"/>
        </w:rPr>
        <w:t>0</w:t>
      </w:r>
      <w:r>
        <w:rPr>
          <w:rFonts w:hint="eastAsia" w:ascii="仿宋" w:hAnsi="仿宋" w:eastAsia="仿宋" w:cs="仿宋"/>
          <w:sz w:val="28"/>
          <w:szCs w:val="28"/>
        </w:rPr>
        <w:t>万元，县文化市场综合行政执法大队更新公务用车</w:t>
      </w:r>
      <w:r>
        <w:rPr>
          <w:rFonts w:hint="eastAsia" w:ascii="仿宋" w:hAnsi="仿宋" w:eastAsia="仿宋" w:cs="仿宋"/>
          <w:sz w:val="28"/>
          <w:szCs w:val="28"/>
          <w:lang w:val="en-US" w:eastAsia="zh-CN"/>
        </w:rPr>
        <w:t>0</w:t>
      </w:r>
      <w:r>
        <w:rPr>
          <w:rFonts w:hint="eastAsia" w:ascii="仿宋" w:hAnsi="仿宋" w:eastAsia="仿宋" w:cs="仿宋"/>
          <w:sz w:val="28"/>
          <w:szCs w:val="28"/>
        </w:rPr>
        <w:t>辆</w:t>
      </w:r>
      <w:r>
        <w:rPr>
          <w:rFonts w:hint="eastAsia" w:ascii="仿宋" w:hAnsi="仿宋" w:eastAsia="仿宋" w:cs="仿宋"/>
          <w:sz w:val="28"/>
          <w:szCs w:val="28"/>
          <w:lang w:eastAsia="zh-CN"/>
        </w:rPr>
        <w:t>。</w:t>
      </w:r>
      <w:r>
        <w:rPr>
          <w:rFonts w:hint="eastAsia" w:ascii="仿宋" w:hAnsi="仿宋" w:eastAsia="仿宋" w:cs="仿宋"/>
          <w:sz w:val="28"/>
          <w:szCs w:val="28"/>
        </w:rPr>
        <w:t>公务用车运行维护费</w:t>
      </w:r>
      <w:r>
        <w:rPr>
          <w:rFonts w:hint="eastAsia" w:ascii="仿宋" w:hAnsi="仿宋" w:eastAsia="仿宋" w:cs="仿宋"/>
          <w:sz w:val="28"/>
          <w:szCs w:val="28"/>
          <w:lang w:val="en-US" w:eastAsia="zh-CN"/>
        </w:rPr>
        <w:t>4.8</w:t>
      </w:r>
      <w:r>
        <w:rPr>
          <w:rFonts w:hint="eastAsia" w:ascii="仿宋" w:hAnsi="仿宋" w:eastAsia="仿宋" w:cs="仿宋"/>
          <w:sz w:val="28"/>
          <w:szCs w:val="28"/>
        </w:rPr>
        <w:t>万元，</w:t>
      </w:r>
      <w:r>
        <w:rPr>
          <w:rFonts w:hint="eastAsia" w:ascii="仿宋" w:hAnsi="仿宋" w:eastAsia="仿宋" w:cs="仿宋"/>
          <w:color w:val="000000"/>
          <w:kern w:val="2"/>
          <w:sz w:val="28"/>
          <w:szCs w:val="28"/>
          <w:lang w:val="en-US" w:eastAsia="zh-CN" w:bidi="ar-SA"/>
        </w:rPr>
        <w:t>主要是公务用车的日常维护和保险费用，</w:t>
      </w:r>
      <w:r>
        <w:rPr>
          <w:rFonts w:hint="eastAsia" w:ascii="仿宋" w:hAnsi="仿宋" w:eastAsia="仿宋" w:cs="仿宋"/>
          <w:sz w:val="28"/>
          <w:szCs w:val="28"/>
        </w:rPr>
        <w:t>截止202</w:t>
      </w:r>
      <w:r>
        <w:rPr>
          <w:rFonts w:hint="eastAsia" w:ascii="仿宋" w:hAnsi="仿宋" w:eastAsia="仿宋" w:cs="仿宋"/>
          <w:sz w:val="28"/>
          <w:szCs w:val="28"/>
          <w:lang w:val="en-US" w:eastAsia="zh-CN"/>
        </w:rPr>
        <w:t>1</w:t>
      </w:r>
      <w:r>
        <w:rPr>
          <w:rFonts w:hint="eastAsia" w:ascii="仿宋" w:hAnsi="仿宋" w:eastAsia="仿宋" w:cs="仿宋"/>
          <w:sz w:val="28"/>
          <w:szCs w:val="28"/>
        </w:rPr>
        <w:t>年12月31日，我单位开支财政拨款的公务用车保有量为</w:t>
      </w:r>
      <w:r>
        <w:rPr>
          <w:rFonts w:hint="eastAsia" w:ascii="仿宋" w:hAnsi="仿宋" w:eastAsia="仿宋" w:cs="仿宋"/>
          <w:sz w:val="28"/>
          <w:szCs w:val="28"/>
          <w:lang w:val="en-US" w:eastAsia="zh-CN"/>
        </w:rPr>
        <w:t>1</w:t>
      </w:r>
      <w:r>
        <w:rPr>
          <w:rFonts w:hint="eastAsia" w:ascii="仿宋" w:hAnsi="仿宋" w:eastAsia="仿宋" w:cs="仿宋"/>
          <w:sz w:val="28"/>
          <w:szCs w:val="28"/>
        </w:rPr>
        <w:t>辆</w:t>
      </w:r>
      <w:r>
        <w:rPr>
          <w:rFonts w:hint="eastAsia" w:ascii="仿宋" w:hAnsi="仿宋" w:eastAsia="仿宋" w:cs="仿宋"/>
          <w:sz w:val="28"/>
          <w:szCs w:val="28"/>
          <w:lang w:eastAsia="zh-CN"/>
        </w:rPr>
        <w:t>，</w:t>
      </w:r>
      <w:r>
        <w:rPr>
          <w:rFonts w:hint="eastAsia" w:ascii="仿宋" w:hAnsi="仿宋" w:eastAsia="仿宋" w:cs="仿宋"/>
          <w:color w:val="000000"/>
          <w:kern w:val="2"/>
          <w:sz w:val="28"/>
          <w:szCs w:val="28"/>
          <w:lang w:val="en-US" w:eastAsia="zh-CN" w:bidi="ar-SA"/>
        </w:rPr>
        <w:t>为一般执法执勤用车。</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八、政府性基金预算收入支出决算情况</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i/>
          <w:iCs/>
          <w:color w:val="FF0000"/>
          <w:sz w:val="28"/>
          <w:szCs w:val="28"/>
        </w:rPr>
      </w:pPr>
      <w:r>
        <w:rPr>
          <w:rFonts w:hint="eastAsia" w:ascii="仿宋" w:hAnsi="仿宋" w:eastAsia="仿宋" w:cs="仿宋"/>
          <w:sz w:val="28"/>
          <w:szCs w:val="28"/>
        </w:rPr>
        <w:t xml:space="preserve">    </w:t>
      </w:r>
      <w:r>
        <w:rPr>
          <w:rFonts w:hint="eastAsia" w:ascii="仿宋" w:hAnsi="仿宋" w:eastAsia="仿宋" w:cs="仿宋"/>
          <w:color w:val="auto"/>
          <w:kern w:val="2"/>
          <w:sz w:val="28"/>
          <w:szCs w:val="28"/>
          <w:lang w:val="en-US" w:eastAsia="zh-CN" w:bidi="ar-SA"/>
        </w:rPr>
        <w:t>2021年度本单位无政府性基金收支。</w:t>
      </w:r>
    </w:p>
    <w:p>
      <w:pPr>
        <w:pStyle w:val="12"/>
        <w:keepNext w:val="0"/>
        <w:keepLines w:val="0"/>
        <w:pageBreakBefore w:val="0"/>
        <w:numPr>
          <w:ilvl w:val="0"/>
          <w:numId w:val="4"/>
        </w:numPr>
        <w:kinsoku/>
        <w:wordWrap/>
        <w:overflowPunct/>
        <w:topLinePunct w:val="0"/>
        <w:bidi w:val="0"/>
        <w:snapToGrid/>
        <w:spacing w:line="360" w:lineRule="auto"/>
        <w:textAlignment w:val="auto"/>
        <w:rPr>
          <w:rFonts w:hint="eastAsia" w:ascii="仿宋" w:hAnsi="仿宋" w:eastAsia="仿宋" w:cs="仿宋"/>
          <w:b/>
          <w:sz w:val="28"/>
          <w:szCs w:val="28"/>
        </w:rPr>
      </w:pPr>
      <w:r>
        <w:rPr>
          <w:rFonts w:hint="eastAsia" w:ascii="仿宋" w:hAnsi="仿宋" w:eastAsia="仿宋" w:cs="仿宋"/>
          <w:b/>
          <w:sz w:val="28"/>
          <w:szCs w:val="28"/>
          <w:lang w:eastAsia="zh-CN"/>
        </w:rPr>
        <w:t>国有资本经营预算财政拨款支出决算情况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sz w:val="28"/>
          <w:szCs w:val="28"/>
        </w:rPr>
      </w:pPr>
      <w:r>
        <w:rPr>
          <w:rFonts w:hint="eastAsia" w:ascii="仿宋" w:hAnsi="仿宋" w:eastAsia="仿宋" w:cs="仿宋"/>
          <w:color w:val="auto"/>
          <w:kern w:val="2"/>
          <w:sz w:val="28"/>
          <w:szCs w:val="28"/>
          <w:lang w:val="en-US" w:eastAsia="zh-CN" w:bidi="ar-SA"/>
        </w:rPr>
        <w:t>2021年度本单位无国有资本经营预算支出。</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十、预算绩效情况说明</w:t>
      </w:r>
    </w:p>
    <w:p>
      <w:pPr>
        <w:keepNext w:val="0"/>
        <w:keepLines w:val="0"/>
        <w:pageBreakBefore w:val="0"/>
        <w:widowControl/>
        <w:kinsoku/>
        <w:wordWrap/>
        <w:overflowPunct/>
        <w:topLinePunct w:val="0"/>
        <w:bidi w:val="0"/>
        <w:snapToGrid/>
        <w:spacing w:line="360" w:lineRule="auto"/>
        <w:ind w:firstLine="548" w:firstLineChars="196"/>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2021年度，我局</w:t>
      </w:r>
      <w:r>
        <w:rPr>
          <w:rFonts w:hint="eastAsia" w:ascii="仿宋" w:hAnsi="仿宋" w:eastAsia="仿宋" w:cs="仿宋"/>
          <w:bCs/>
          <w:color w:val="000000"/>
          <w:kern w:val="0"/>
          <w:sz w:val="28"/>
          <w:szCs w:val="28"/>
          <w:lang w:eastAsia="zh-CN"/>
        </w:rPr>
        <w:t>纳入重点绩效评价项目</w:t>
      </w:r>
      <w:r>
        <w:rPr>
          <w:rFonts w:hint="eastAsia" w:ascii="仿宋" w:hAnsi="仿宋" w:eastAsia="仿宋" w:cs="仿宋"/>
          <w:bCs/>
          <w:color w:val="000000"/>
          <w:kern w:val="0"/>
          <w:sz w:val="28"/>
          <w:szCs w:val="28"/>
          <w:lang w:val="en-US" w:eastAsia="zh-CN"/>
        </w:rPr>
        <w:t>6个，</w:t>
      </w:r>
      <w:r>
        <w:rPr>
          <w:rFonts w:hint="eastAsia" w:ascii="仿宋" w:hAnsi="仿宋" w:eastAsia="仿宋" w:cs="仿宋"/>
          <w:sz w:val="28"/>
          <w:szCs w:val="28"/>
        </w:rPr>
        <w:t>分别为：</w:t>
      </w:r>
      <w:r>
        <w:rPr>
          <w:rFonts w:hint="eastAsia" w:ascii="仿宋" w:hAnsi="仿宋" w:eastAsia="仿宋" w:cs="仿宋"/>
          <w:color w:val="auto"/>
          <w:sz w:val="28"/>
          <w:szCs w:val="28"/>
          <w:lang w:val="en-US" w:eastAsia="zh-CN"/>
        </w:rPr>
        <w:t>农村电影放映工程132.94万元、</w:t>
      </w:r>
      <w:r>
        <w:rPr>
          <w:rFonts w:hint="eastAsia" w:ascii="仿宋" w:hAnsi="仿宋" w:eastAsia="仿宋" w:cs="仿宋"/>
          <w:sz w:val="28"/>
          <w:szCs w:val="28"/>
          <w:lang w:eastAsia="zh-CN"/>
        </w:rPr>
        <w:t>“</w:t>
      </w:r>
      <w:r>
        <w:rPr>
          <w:rFonts w:hint="eastAsia" w:ascii="仿宋" w:hAnsi="仿宋" w:eastAsia="仿宋" w:cs="仿宋"/>
          <w:sz w:val="28"/>
          <w:szCs w:val="28"/>
        </w:rPr>
        <w:t>演艺惠民、送戏下乡</w:t>
      </w:r>
      <w:r>
        <w:rPr>
          <w:rFonts w:hint="eastAsia" w:ascii="仿宋" w:hAnsi="仿宋" w:eastAsia="仿宋" w:cs="仿宋"/>
          <w:sz w:val="28"/>
          <w:szCs w:val="28"/>
          <w:lang w:eastAsia="zh-CN"/>
        </w:rPr>
        <w:t>”资金</w:t>
      </w:r>
      <w:r>
        <w:rPr>
          <w:rFonts w:hint="eastAsia" w:ascii="仿宋" w:hAnsi="仿宋" w:eastAsia="仿宋" w:cs="仿宋"/>
          <w:sz w:val="28"/>
          <w:szCs w:val="28"/>
          <w:lang w:val="en-US" w:eastAsia="zh-CN"/>
        </w:rPr>
        <w:t>63</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rPr>
        <w:t>欢乐潇湘·幸福湘潭·莲乡大舞台大型群众文艺汇演</w:t>
      </w:r>
      <w:r>
        <w:rPr>
          <w:rFonts w:hint="eastAsia" w:ascii="仿宋" w:hAnsi="仿宋" w:eastAsia="仿宋" w:cs="仿宋"/>
          <w:sz w:val="28"/>
          <w:szCs w:val="28"/>
          <w:lang w:val="en-US" w:eastAsia="zh-CN"/>
        </w:rPr>
        <w:t>70</w:t>
      </w:r>
      <w:r>
        <w:rPr>
          <w:rFonts w:hint="eastAsia" w:ascii="仿宋" w:hAnsi="仿宋" w:eastAsia="仿宋" w:cs="仿宋"/>
          <w:sz w:val="28"/>
          <w:szCs w:val="28"/>
        </w:rPr>
        <w:t>万元、</w:t>
      </w:r>
      <w:r>
        <w:rPr>
          <w:rFonts w:hint="eastAsia" w:eastAsia="仿宋_GB2312"/>
          <w:bCs/>
          <w:color w:val="000000"/>
          <w:kern w:val="0"/>
          <w:sz w:val="28"/>
          <w:szCs w:val="28"/>
          <w:lang w:eastAsia="zh-CN"/>
        </w:rPr>
        <w:t>庆祝中国共产党成立</w:t>
      </w:r>
      <w:r>
        <w:rPr>
          <w:rFonts w:hint="eastAsia" w:eastAsia="仿宋_GB2312"/>
          <w:bCs/>
          <w:color w:val="000000"/>
          <w:kern w:val="0"/>
          <w:sz w:val="28"/>
          <w:szCs w:val="28"/>
          <w:lang w:val="en-US" w:eastAsia="zh-CN"/>
        </w:rPr>
        <w:t>100周年“永远跟党走 唱支歌儿给党听”大型群众合唱比赛活动经费88</w:t>
      </w:r>
      <w:r>
        <w:rPr>
          <w:rFonts w:hint="eastAsia" w:eastAsia="仿宋_GB2312"/>
          <w:bCs/>
          <w:color w:val="000000"/>
          <w:kern w:val="0"/>
          <w:sz w:val="28"/>
          <w:szCs w:val="28"/>
        </w:rPr>
        <w:t>万元、</w:t>
      </w:r>
      <w:r>
        <w:rPr>
          <w:rFonts w:hint="eastAsia" w:eastAsia="仿宋_GB2312"/>
          <w:bCs/>
          <w:kern w:val="0"/>
          <w:sz w:val="28"/>
          <w:szCs w:val="28"/>
          <w:lang w:eastAsia="zh-CN"/>
        </w:rPr>
        <w:t>实施乡村振兴战略启动仪式暨湘潭排头鸢尾花节开幕式项目</w:t>
      </w:r>
      <w:r>
        <w:rPr>
          <w:rFonts w:hint="eastAsia" w:eastAsia="仿宋_GB2312"/>
          <w:bCs/>
          <w:kern w:val="0"/>
          <w:sz w:val="28"/>
          <w:szCs w:val="28"/>
          <w:lang w:val="en-US" w:eastAsia="zh-CN"/>
        </w:rPr>
        <w:t>30万元、第四届运动会及参加市十三届运动会100万元。</w:t>
      </w:r>
      <w:r>
        <w:rPr>
          <w:rFonts w:hint="eastAsia" w:ascii="仿宋" w:hAnsi="仿宋" w:eastAsia="仿宋" w:cs="仿宋"/>
          <w:color w:val="auto"/>
          <w:kern w:val="2"/>
          <w:sz w:val="28"/>
          <w:szCs w:val="28"/>
          <w:lang w:val="en-US" w:eastAsia="zh-CN" w:bidi="ar-SA"/>
        </w:rPr>
        <w:t>根据《湘潭县财政局关于做好2021年度县本级预算支出绩效自评工作的通知》的工作要求，2021年度我局继续加强对项目资金的绩效管理工作，成立了领导小组、制定了工作方案，认真对照财政支出绩效评价指标体系进行自评，围绕项目绩效目标、项目产出、项目效益等指标进行评价，</w:t>
      </w:r>
      <w:r>
        <w:rPr>
          <w:rFonts w:hint="eastAsia" w:ascii="仿宋" w:hAnsi="仿宋" w:eastAsia="仿宋" w:cs="仿宋"/>
          <w:color w:val="auto"/>
          <w:sz w:val="28"/>
          <w:szCs w:val="28"/>
          <w:lang w:val="en-US" w:eastAsia="zh-CN"/>
        </w:rPr>
        <w:t>重点绩效评价结果良好。</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sz w:val="28"/>
          <w:szCs w:val="28"/>
        </w:rPr>
      </w:pPr>
      <w:r>
        <w:rPr>
          <w:rFonts w:hint="eastAsia" w:ascii="仿宋" w:hAnsi="仿宋" w:eastAsia="仿宋" w:cs="仿宋"/>
          <w:color w:val="auto"/>
          <w:sz w:val="28"/>
          <w:szCs w:val="28"/>
          <w:lang w:val="en-US" w:eastAsia="zh-CN"/>
        </w:rPr>
        <w:t>2021年度部门整体支出在项目申报、目标设定、决策过程、资金分配、资金到位、支出管理、组织实施和项目效果等方面落实情况较好。</w:t>
      </w:r>
      <w:r>
        <w:rPr>
          <w:rFonts w:hint="eastAsia" w:ascii="仿宋" w:hAnsi="仿宋" w:eastAsia="仿宋" w:cs="仿宋"/>
          <w:color w:val="auto"/>
          <w:sz w:val="28"/>
          <w:szCs w:val="28"/>
        </w:rPr>
        <w:t>我</w:t>
      </w:r>
      <w:r>
        <w:rPr>
          <w:rFonts w:hint="eastAsia" w:ascii="仿宋" w:hAnsi="仿宋" w:eastAsia="仿宋" w:cs="仿宋"/>
          <w:color w:val="auto"/>
          <w:kern w:val="2"/>
          <w:sz w:val="28"/>
          <w:szCs w:val="28"/>
          <w:lang w:val="en-US" w:eastAsia="zh-CN" w:bidi="ar-SA"/>
        </w:rPr>
        <w:t>局预算绩效管理领导小组</w:t>
      </w:r>
      <w:r>
        <w:rPr>
          <w:rFonts w:hint="eastAsia" w:ascii="仿宋" w:hAnsi="仿宋" w:eastAsia="仿宋" w:cs="仿宋"/>
          <w:color w:val="auto"/>
          <w:sz w:val="28"/>
          <w:szCs w:val="28"/>
        </w:rPr>
        <w:t>对照相关文件，对全年所有财政支出进行自评</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根据部门整体支出绩效评价指标体系自评打分，评定等次为良好。</w:t>
      </w:r>
      <w:r>
        <w:rPr>
          <w:rFonts w:hint="eastAsia" w:ascii="仿宋" w:hAnsi="仿宋" w:eastAsia="仿宋" w:cs="仿宋"/>
          <w:color w:val="auto"/>
          <w:kern w:val="2"/>
          <w:sz w:val="28"/>
          <w:szCs w:val="28"/>
          <w:lang w:val="en-US" w:eastAsia="zh-CN" w:bidi="ar-SA"/>
        </w:rPr>
        <w:t>按照县财政绩效部门要求，2021年度部门整体支出绩效评价报告已按要求进行公开。</w:t>
      </w:r>
    </w:p>
    <w:p>
      <w:pPr>
        <w:pStyle w:val="1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十</w:t>
      </w:r>
      <w:r>
        <w:rPr>
          <w:rFonts w:hint="eastAsia" w:ascii="仿宋" w:hAnsi="仿宋" w:eastAsia="仿宋" w:cs="仿宋"/>
          <w:b/>
          <w:bCs/>
          <w:sz w:val="28"/>
          <w:szCs w:val="28"/>
          <w:lang w:eastAsia="zh-CN"/>
        </w:rPr>
        <w:t>一</w:t>
      </w:r>
      <w:r>
        <w:rPr>
          <w:rFonts w:hint="eastAsia" w:ascii="仿宋" w:hAnsi="仿宋" w:eastAsia="仿宋" w:cs="仿宋"/>
          <w:b/>
          <w:bCs/>
          <w:sz w:val="28"/>
          <w:szCs w:val="28"/>
        </w:rPr>
        <w:t>、其他重要事项情况说明</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（一）机关运行经费支出情况</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本部门202</w:t>
      </w:r>
      <w:r>
        <w:rPr>
          <w:rFonts w:hint="eastAsia" w:ascii="仿宋" w:hAnsi="仿宋" w:eastAsia="仿宋" w:cs="仿宋"/>
          <w:sz w:val="28"/>
          <w:szCs w:val="28"/>
          <w:lang w:val="en-US" w:eastAsia="zh-CN"/>
        </w:rPr>
        <w:t>1</w:t>
      </w:r>
      <w:r>
        <w:rPr>
          <w:rFonts w:hint="eastAsia" w:ascii="仿宋" w:hAnsi="仿宋" w:eastAsia="仿宋" w:cs="仿宋"/>
          <w:sz w:val="28"/>
          <w:szCs w:val="28"/>
        </w:rPr>
        <w:t>年度机关运行经费支出</w:t>
      </w:r>
      <w:r>
        <w:rPr>
          <w:rFonts w:hint="eastAsia" w:ascii="仿宋" w:hAnsi="仿宋" w:eastAsia="仿宋" w:cs="仿宋"/>
          <w:sz w:val="28"/>
          <w:szCs w:val="28"/>
          <w:lang w:val="en-US" w:eastAsia="zh-CN"/>
        </w:rPr>
        <w:t>144.17</w:t>
      </w:r>
      <w:r>
        <w:rPr>
          <w:rFonts w:hint="eastAsia" w:ascii="仿宋" w:hAnsi="仿宋" w:eastAsia="仿宋" w:cs="仿宋"/>
          <w:sz w:val="28"/>
          <w:szCs w:val="28"/>
        </w:rPr>
        <w:t>万元，比上年决算数减少</w:t>
      </w:r>
      <w:r>
        <w:rPr>
          <w:rFonts w:hint="eastAsia" w:ascii="仿宋" w:hAnsi="仿宋" w:eastAsia="仿宋" w:cs="仿宋"/>
          <w:sz w:val="28"/>
          <w:szCs w:val="28"/>
          <w:lang w:val="en-US" w:eastAsia="zh-CN"/>
        </w:rPr>
        <w:t>12.22</w:t>
      </w:r>
      <w:r>
        <w:rPr>
          <w:rFonts w:hint="eastAsia" w:ascii="仿宋" w:hAnsi="仿宋" w:eastAsia="仿宋" w:cs="仿宋"/>
          <w:sz w:val="28"/>
          <w:szCs w:val="28"/>
        </w:rPr>
        <w:t>万元，降低</w:t>
      </w:r>
      <w:r>
        <w:rPr>
          <w:rFonts w:hint="eastAsia" w:ascii="仿宋" w:hAnsi="仿宋" w:eastAsia="仿宋" w:cs="仿宋"/>
          <w:sz w:val="28"/>
          <w:szCs w:val="28"/>
          <w:lang w:val="en-US" w:eastAsia="zh-CN"/>
        </w:rPr>
        <w:t>7.81</w:t>
      </w:r>
      <w:r>
        <w:rPr>
          <w:rFonts w:hint="eastAsia" w:ascii="仿宋" w:hAnsi="仿宋" w:eastAsia="仿宋" w:cs="仿宋"/>
          <w:sz w:val="28"/>
          <w:szCs w:val="28"/>
        </w:rPr>
        <w:t>%。主要原因是</w:t>
      </w:r>
      <w:r>
        <w:rPr>
          <w:rFonts w:hint="eastAsia" w:ascii="仿宋" w:hAnsi="仿宋" w:eastAsia="仿宋" w:cs="仿宋"/>
          <w:sz w:val="28"/>
          <w:szCs w:val="28"/>
          <w:lang w:eastAsia="zh-CN"/>
        </w:rPr>
        <w:t>本年度我局按照上级规定，进一步压减一般性支出，将部门一般性支出控制在限额范围内。</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（二）一般性支出情况</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年本部门开支会议费</w:t>
      </w:r>
      <w:r>
        <w:rPr>
          <w:rFonts w:hint="eastAsia" w:ascii="仿宋" w:hAnsi="仿宋" w:eastAsia="仿宋" w:cs="仿宋"/>
          <w:sz w:val="28"/>
          <w:szCs w:val="28"/>
          <w:lang w:val="en-US" w:eastAsia="zh-CN"/>
        </w:rPr>
        <w:t>0.03</w:t>
      </w:r>
      <w:r>
        <w:rPr>
          <w:rFonts w:hint="eastAsia" w:ascii="仿宋" w:hAnsi="仿宋" w:eastAsia="仿宋" w:cs="仿宋"/>
          <w:sz w:val="28"/>
          <w:szCs w:val="28"/>
        </w:rPr>
        <w:t>万元，</w:t>
      </w:r>
      <w:r>
        <w:rPr>
          <w:rFonts w:hint="eastAsia" w:ascii="仿宋" w:hAnsi="仿宋" w:eastAsia="仿宋" w:cs="仿宋"/>
          <w:sz w:val="28"/>
          <w:szCs w:val="28"/>
          <w:lang w:eastAsia="zh-CN"/>
        </w:rPr>
        <w:t>主要用于</w:t>
      </w:r>
      <w:r>
        <w:rPr>
          <w:rFonts w:hint="eastAsia" w:ascii="仿宋" w:hAnsi="仿宋" w:eastAsia="仿宋" w:cs="仿宋"/>
          <w:sz w:val="28"/>
          <w:szCs w:val="28"/>
        </w:rPr>
        <w:t>湘潭县第九组</w:t>
      </w:r>
      <w:r>
        <w:rPr>
          <w:rFonts w:hint="eastAsia" w:ascii="仿宋" w:hAnsi="仿宋" w:eastAsia="仿宋" w:cs="仿宋"/>
          <w:sz w:val="28"/>
          <w:szCs w:val="28"/>
          <w:lang w:eastAsia="zh-CN"/>
        </w:rPr>
        <w:t>代表会议开支</w:t>
      </w:r>
      <w:r>
        <w:rPr>
          <w:rFonts w:hint="eastAsia" w:ascii="仿宋" w:hAnsi="仿宋" w:eastAsia="仿宋" w:cs="仿宋"/>
          <w:sz w:val="28"/>
          <w:szCs w:val="28"/>
        </w:rPr>
        <w:t>，人数</w:t>
      </w:r>
      <w:r>
        <w:rPr>
          <w:rFonts w:hint="eastAsia" w:ascii="仿宋" w:hAnsi="仿宋" w:eastAsia="仿宋" w:cs="仿宋"/>
          <w:sz w:val="28"/>
          <w:szCs w:val="28"/>
          <w:lang w:val="en-US" w:eastAsia="zh-CN"/>
        </w:rPr>
        <w:t>10</w:t>
      </w:r>
      <w:r>
        <w:rPr>
          <w:rFonts w:hint="eastAsia" w:ascii="仿宋" w:hAnsi="仿宋" w:eastAsia="仿宋" w:cs="仿宋"/>
          <w:sz w:val="28"/>
          <w:szCs w:val="28"/>
        </w:rPr>
        <w:t>人</w:t>
      </w:r>
      <w:r>
        <w:rPr>
          <w:rFonts w:hint="eastAsia" w:ascii="仿宋" w:hAnsi="仿宋" w:eastAsia="仿宋" w:cs="仿宋"/>
          <w:sz w:val="28"/>
          <w:szCs w:val="28"/>
          <w:lang w:eastAsia="zh-CN"/>
        </w:rPr>
        <w:t>左右</w:t>
      </w:r>
      <w:r>
        <w:rPr>
          <w:rFonts w:hint="eastAsia" w:ascii="仿宋" w:hAnsi="仿宋" w:eastAsia="仿宋" w:cs="仿宋"/>
          <w:sz w:val="28"/>
          <w:szCs w:val="28"/>
        </w:rPr>
        <w:t>；开支培训费</w:t>
      </w:r>
      <w:r>
        <w:rPr>
          <w:rFonts w:hint="eastAsia" w:ascii="仿宋" w:hAnsi="仿宋" w:eastAsia="仿宋" w:cs="仿宋"/>
          <w:sz w:val="28"/>
          <w:szCs w:val="28"/>
          <w:lang w:val="en-US" w:eastAsia="zh-CN"/>
        </w:rPr>
        <w:t>0.62</w:t>
      </w:r>
      <w:r>
        <w:rPr>
          <w:rFonts w:hint="eastAsia" w:ascii="仿宋" w:hAnsi="仿宋" w:eastAsia="仿宋" w:cs="仿宋"/>
          <w:sz w:val="28"/>
          <w:szCs w:val="28"/>
        </w:rPr>
        <w:t>万元，用于</w:t>
      </w:r>
      <w:r>
        <w:rPr>
          <w:rFonts w:hint="eastAsia" w:ascii="仿宋" w:hAnsi="仿宋" w:eastAsia="仿宋" w:cs="仿宋"/>
          <w:color w:val="000000"/>
          <w:kern w:val="2"/>
          <w:sz w:val="28"/>
          <w:szCs w:val="28"/>
          <w:lang w:val="en-US" w:eastAsia="zh-CN" w:bidi="ar-SA"/>
        </w:rPr>
        <w:t>开展干部教育培训，购买干部教育类书籍共600余册</w:t>
      </w:r>
      <w:r>
        <w:rPr>
          <w:rFonts w:hint="eastAsia" w:ascii="仿宋" w:hAnsi="仿宋" w:eastAsia="仿宋" w:cs="仿宋"/>
          <w:sz w:val="28"/>
          <w:szCs w:val="28"/>
        </w:rPr>
        <w:t>；</w:t>
      </w:r>
      <w:r>
        <w:rPr>
          <w:rFonts w:hint="eastAsia" w:ascii="仿宋" w:hAnsi="仿宋" w:eastAsia="仿宋" w:cs="仿宋"/>
          <w:color w:val="000000"/>
          <w:kern w:val="2"/>
          <w:sz w:val="28"/>
          <w:szCs w:val="28"/>
          <w:lang w:val="en-US" w:eastAsia="zh-CN" w:bidi="ar-SA"/>
        </w:rPr>
        <w:t>2021年局本级未举办节庆、晚会、论坛、赛事等活动。</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sz w:val="28"/>
          <w:szCs w:val="28"/>
          <w:lang w:eastAsia="zh-CN"/>
        </w:rPr>
      </w:pPr>
      <w:r>
        <w:rPr>
          <w:rFonts w:hint="eastAsia" w:ascii="仿宋" w:hAnsi="仿宋" w:eastAsia="仿宋" w:cs="仿宋"/>
          <w:b/>
          <w:sz w:val="28"/>
          <w:szCs w:val="28"/>
          <w:lang w:eastAsia="zh-CN"/>
        </w:rPr>
        <w:t>（三）</w:t>
      </w:r>
      <w:r>
        <w:rPr>
          <w:rFonts w:hint="eastAsia" w:ascii="仿宋" w:hAnsi="仿宋" w:eastAsia="仿宋" w:cs="仿宋"/>
          <w:b/>
          <w:sz w:val="28"/>
          <w:szCs w:val="28"/>
        </w:rPr>
        <w:t>政府采购支出</w:t>
      </w:r>
      <w:r>
        <w:rPr>
          <w:rFonts w:hint="eastAsia" w:ascii="仿宋" w:hAnsi="仿宋" w:eastAsia="仿宋" w:cs="仿宋"/>
          <w:b/>
          <w:sz w:val="28"/>
          <w:szCs w:val="28"/>
          <w:lang w:eastAsia="zh-CN"/>
        </w:rPr>
        <w:t>情况</w:t>
      </w:r>
    </w:p>
    <w:p>
      <w:pPr>
        <w:pStyle w:val="12"/>
        <w:keepNext w:val="0"/>
        <w:keepLines w:val="0"/>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本部门202</w:t>
      </w:r>
      <w:r>
        <w:rPr>
          <w:rFonts w:hint="eastAsia" w:ascii="仿宋" w:hAnsi="仿宋" w:eastAsia="仿宋" w:cs="仿宋"/>
          <w:sz w:val="28"/>
          <w:szCs w:val="28"/>
          <w:lang w:val="en-US" w:eastAsia="zh-CN"/>
        </w:rPr>
        <w:t>1</w:t>
      </w:r>
      <w:r>
        <w:rPr>
          <w:rFonts w:hint="eastAsia" w:ascii="仿宋" w:hAnsi="仿宋" w:eastAsia="仿宋" w:cs="仿宋"/>
          <w:sz w:val="28"/>
          <w:szCs w:val="28"/>
        </w:rPr>
        <w:t>年度政府采购支出总额</w:t>
      </w:r>
      <w:r>
        <w:rPr>
          <w:rFonts w:hint="eastAsia" w:ascii="仿宋" w:hAnsi="仿宋" w:eastAsia="仿宋" w:cs="仿宋"/>
          <w:sz w:val="28"/>
          <w:szCs w:val="28"/>
          <w:lang w:val="en-US" w:eastAsia="zh-CN"/>
        </w:rPr>
        <w:t>535.63</w:t>
      </w:r>
      <w:r>
        <w:rPr>
          <w:rFonts w:hint="eastAsia" w:ascii="仿宋" w:hAnsi="仿宋" w:eastAsia="仿宋" w:cs="仿宋"/>
          <w:sz w:val="28"/>
          <w:szCs w:val="28"/>
        </w:rPr>
        <w:t>万元，其中：政府采购货物支出</w:t>
      </w:r>
      <w:r>
        <w:rPr>
          <w:rFonts w:hint="eastAsia" w:ascii="仿宋" w:hAnsi="仿宋" w:eastAsia="仿宋" w:cs="仿宋"/>
          <w:sz w:val="28"/>
          <w:szCs w:val="28"/>
          <w:lang w:val="en-US" w:eastAsia="zh-CN"/>
        </w:rPr>
        <w:t>298.46</w:t>
      </w:r>
      <w:r>
        <w:rPr>
          <w:rFonts w:hint="eastAsia" w:ascii="仿宋" w:hAnsi="仿宋" w:eastAsia="仿宋" w:cs="仿宋"/>
          <w:sz w:val="28"/>
          <w:szCs w:val="28"/>
        </w:rPr>
        <w:t>万元、政府采购工程支出</w:t>
      </w:r>
      <w:r>
        <w:rPr>
          <w:rFonts w:hint="eastAsia" w:ascii="仿宋" w:hAnsi="仿宋" w:eastAsia="仿宋" w:cs="仿宋"/>
          <w:sz w:val="28"/>
          <w:szCs w:val="28"/>
          <w:lang w:val="en-US" w:eastAsia="zh-CN"/>
        </w:rPr>
        <w:t>49.5</w:t>
      </w:r>
      <w:r>
        <w:rPr>
          <w:rFonts w:hint="eastAsia" w:ascii="仿宋" w:hAnsi="仿宋" w:eastAsia="仿宋" w:cs="仿宋"/>
          <w:sz w:val="28"/>
          <w:szCs w:val="28"/>
        </w:rPr>
        <w:t>万元、政府采购服务支出</w:t>
      </w:r>
      <w:r>
        <w:rPr>
          <w:rFonts w:hint="eastAsia" w:ascii="仿宋" w:hAnsi="仿宋" w:eastAsia="仿宋" w:cs="仿宋"/>
          <w:sz w:val="28"/>
          <w:szCs w:val="28"/>
          <w:lang w:val="en-US" w:eastAsia="zh-CN"/>
        </w:rPr>
        <w:t>187.67</w:t>
      </w:r>
      <w:r>
        <w:rPr>
          <w:rFonts w:hint="eastAsia" w:ascii="仿宋" w:hAnsi="仿宋" w:eastAsia="仿宋" w:cs="仿宋"/>
          <w:sz w:val="28"/>
          <w:szCs w:val="28"/>
        </w:rPr>
        <w:t>万元。授予中小企业合同金额</w:t>
      </w:r>
      <w:r>
        <w:rPr>
          <w:rFonts w:hint="eastAsia" w:ascii="仿宋" w:hAnsi="仿宋" w:eastAsia="仿宋" w:cs="仿宋"/>
          <w:sz w:val="28"/>
          <w:szCs w:val="28"/>
          <w:lang w:val="en-US" w:eastAsia="zh-CN"/>
        </w:rPr>
        <w:t>108.53</w:t>
      </w:r>
      <w:r>
        <w:rPr>
          <w:rFonts w:hint="eastAsia" w:ascii="仿宋" w:hAnsi="仿宋" w:eastAsia="仿宋" w:cs="仿宋"/>
          <w:sz w:val="28"/>
          <w:szCs w:val="28"/>
        </w:rPr>
        <w:t>万元，占政府采购支出总额的</w:t>
      </w:r>
      <w:r>
        <w:rPr>
          <w:rFonts w:hint="eastAsia" w:ascii="仿宋" w:hAnsi="仿宋" w:eastAsia="仿宋" w:cs="仿宋"/>
          <w:sz w:val="28"/>
          <w:szCs w:val="28"/>
          <w:lang w:val="en-US" w:eastAsia="zh-CN"/>
        </w:rPr>
        <w:t>20.26</w:t>
      </w:r>
      <w:r>
        <w:rPr>
          <w:rFonts w:hint="eastAsia" w:ascii="仿宋" w:hAnsi="仿宋" w:eastAsia="仿宋" w:cs="仿宋"/>
          <w:sz w:val="28"/>
          <w:szCs w:val="28"/>
        </w:rPr>
        <w:t>%，其中：授予小微企业合同金额</w:t>
      </w:r>
      <w:r>
        <w:rPr>
          <w:rFonts w:hint="eastAsia" w:ascii="仿宋" w:hAnsi="仿宋" w:eastAsia="仿宋" w:cs="仿宋"/>
          <w:sz w:val="28"/>
          <w:szCs w:val="28"/>
          <w:lang w:val="en-US" w:eastAsia="zh-CN"/>
        </w:rPr>
        <w:t>108.53</w:t>
      </w:r>
      <w:r>
        <w:rPr>
          <w:rFonts w:hint="eastAsia" w:ascii="仿宋" w:hAnsi="仿宋" w:eastAsia="仿宋" w:cs="仿宋"/>
          <w:sz w:val="28"/>
          <w:szCs w:val="28"/>
        </w:rPr>
        <w:t>万元，占政府采购支出总额的</w:t>
      </w:r>
      <w:r>
        <w:rPr>
          <w:rFonts w:hint="eastAsia" w:ascii="仿宋" w:hAnsi="仿宋" w:eastAsia="仿宋" w:cs="仿宋"/>
          <w:sz w:val="28"/>
          <w:szCs w:val="28"/>
          <w:lang w:val="en-US" w:eastAsia="zh-CN"/>
        </w:rPr>
        <w:t>20.26</w:t>
      </w:r>
      <w:r>
        <w:rPr>
          <w:rFonts w:hint="eastAsia" w:ascii="仿宋" w:hAnsi="仿宋" w:eastAsia="仿宋" w:cs="仿宋"/>
          <w:sz w:val="28"/>
          <w:szCs w:val="28"/>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eastAsia" w:ascii="仿宋" w:hAnsi="仿宋" w:eastAsia="仿宋" w:cs="仿宋"/>
          <w:b/>
          <w:sz w:val="28"/>
          <w:szCs w:val="28"/>
        </w:rPr>
      </w:pPr>
      <w:r>
        <w:rPr>
          <w:rFonts w:hint="eastAsia" w:ascii="仿宋" w:hAnsi="仿宋" w:eastAsia="仿宋" w:cs="仿宋"/>
          <w:b/>
          <w:sz w:val="28"/>
          <w:szCs w:val="28"/>
          <w:lang w:eastAsia="zh-CN"/>
        </w:rPr>
        <w:t>（四）</w:t>
      </w:r>
      <w:r>
        <w:rPr>
          <w:rFonts w:hint="eastAsia" w:ascii="仿宋" w:hAnsi="仿宋" w:eastAsia="仿宋" w:cs="仿宋"/>
          <w:b/>
          <w:sz w:val="28"/>
          <w:szCs w:val="28"/>
        </w:rPr>
        <w:t>国有资产占用情况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eastAsia" w:ascii="仿宋" w:hAnsi="仿宋" w:eastAsia="仿宋" w:cs="仿宋"/>
          <w:b/>
          <w:bCs/>
          <w:sz w:val="28"/>
          <w:szCs w:val="28"/>
        </w:rPr>
      </w:pPr>
      <w:r>
        <w:rPr>
          <w:rFonts w:hint="eastAsia" w:ascii="仿宋" w:hAnsi="仿宋" w:eastAsia="仿宋" w:cs="仿宋"/>
          <w:sz w:val="28"/>
          <w:szCs w:val="28"/>
        </w:rPr>
        <w:t>截至202</w:t>
      </w:r>
      <w:r>
        <w:rPr>
          <w:rFonts w:hint="eastAsia" w:ascii="仿宋" w:hAnsi="仿宋" w:eastAsia="仿宋" w:cs="仿宋"/>
          <w:sz w:val="28"/>
          <w:szCs w:val="28"/>
          <w:lang w:val="en-US" w:eastAsia="zh-CN"/>
        </w:rPr>
        <w:t>1</w:t>
      </w:r>
      <w:r>
        <w:rPr>
          <w:rFonts w:hint="eastAsia" w:ascii="仿宋" w:hAnsi="仿宋" w:eastAsia="仿宋" w:cs="仿宋"/>
          <w:sz w:val="28"/>
          <w:szCs w:val="28"/>
        </w:rPr>
        <w:t>年12月31日，本单位共有车辆</w:t>
      </w:r>
      <w:r>
        <w:rPr>
          <w:rFonts w:hint="eastAsia" w:ascii="仿宋" w:hAnsi="仿宋" w:eastAsia="仿宋" w:cs="仿宋"/>
          <w:sz w:val="28"/>
          <w:szCs w:val="28"/>
          <w:lang w:val="en-US" w:eastAsia="zh-CN"/>
        </w:rPr>
        <w:t>1</w:t>
      </w:r>
      <w:r>
        <w:rPr>
          <w:rFonts w:hint="eastAsia" w:ascii="仿宋" w:hAnsi="仿宋" w:eastAsia="仿宋" w:cs="仿宋"/>
          <w:sz w:val="28"/>
          <w:szCs w:val="28"/>
        </w:rPr>
        <w:t>辆，其中，领导干部用车</w:t>
      </w:r>
      <w:r>
        <w:rPr>
          <w:rFonts w:hint="eastAsia" w:ascii="仿宋" w:hAnsi="仿宋" w:eastAsia="仿宋" w:cs="仿宋"/>
          <w:sz w:val="28"/>
          <w:szCs w:val="28"/>
          <w:lang w:val="en-US" w:eastAsia="zh-CN"/>
        </w:rPr>
        <w:t>0</w:t>
      </w:r>
      <w:r>
        <w:rPr>
          <w:rFonts w:hint="eastAsia" w:ascii="仿宋" w:hAnsi="仿宋" w:eastAsia="仿宋" w:cs="仿宋"/>
          <w:sz w:val="28"/>
          <w:szCs w:val="28"/>
        </w:rPr>
        <w:t>辆，机要通信用车</w:t>
      </w:r>
      <w:r>
        <w:rPr>
          <w:rFonts w:hint="eastAsia" w:ascii="仿宋" w:hAnsi="仿宋" w:eastAsia="仿宋" w:cs="仿宋"/>
          <w:sz w:val="28"/>
          <w:szCs w:val="28"/>
          <w:lang w:val="en-US" w:eastAsia="zh-CN"/>
        </w:rPr>
        <w:t>0</w:t>
      </w:r>
      <w:r>
        <w:rPr>
          <w:rFonts w:hint="eastAsia" w:ascii="仿宋" w:hAnsi="仿宋" w:eastAsia="仿宋" w:cs="仿宋"/>
          <w:sz w:val="28"/>
          <w:szCs w:val="28"/>
        </w:rPr>
        <w:t>辆、应急保障用车</w:t>
      </w:r>
      <w:r>
        <w:rPr>
          <w:rFonts w:hint="eastAsia" w:ascii="仿宋" w:hAnsi="仿宋" w:eastAsia="仿宋" w:cs="仿宋"/>
          <w:sz w:val="28"/>
          <w:szCs w:val="28"/>
          <w:lang w:val="en-US" w:eastAsia="zh-CN"/>
        </w:rPr>
        <w:t>0</w:t>
      </w:r>
      <w:r>
        <w:rPr>
          <w:rFonts w:hint="eastAsia" w:ascii="仿宋" w:hAnsi="仿宋" w:eastAsia="仿宋" w:cs="仿宋"/>
          <w:sz w:val="28"/>
          <w:szCs w:val="28"/>
        </w:rPr>
        <w:t>辆、执法执勤用车</w:t>
      </w:r>
      <w:r>
        <w:rPr>
          <w:rFonts w:hint="eastAsia" w:ascii="仿宋" w:hAnsi="仿宋" w:eastAsia="仿宋" w:cs="仿宋"/>
          <w:sz w:val="28"/>
          <w:szCs w:val="28"/>
          <w:lang w:val="en-US" w:eastAsia="zh-CN"/>
        </w:rPr>
        <w:t>1</w:t>
      </w:r>
      <w:r>
        <w:rPr>
          <w:rFonts w:hint="eastAsia" w:ascii="仿宋" w:hAnsi="仿宋" w:eastAsia="仿宋" w:cs="仿宋"/>
          <w:sz w:val="28"/>
          <w:szCs w:val="28"/>
        </w:rPr>
        <w:t>辆、特种专业技术用车</w:t>
      </w:r>
      <w:r>
        <w:rPr>
          <w:rFonts w:hint="eastAsia" w:ascii="仿宋" w:hAnsi="仿宋" w:eastAsia="仿宋" w:cs="仿宋"/>
          <w:sz w:val="28"/>
          <w:szCs w:val="28"/>
          <w:lang w:val="en-US" w:eastAsia="zh-CN"/>
        </w:rPr>
        <w:t>0</w:t>
      </w:r>
      <w:r>
        <w:rPr>
          <w:rFonts w:hint="eastAsia" w:ascii="仿宋" w:hAnsi="仿宋" w:eastAsia="仿宋" w:cs="仿宋"/>
          <w:sz w:val="28"/>
          <w:szCs w:val="28"/>
        </w:rPr>
        <w:t>辆、其他用车</w:t>
      </w:r>
      <w:r>
        <w:rPr>
          <w:rFonts w:hint="eastAsia" w:ascii="仿宋" w:hAnsi="仿宋" w:eastAsia="仿宋" w:cs="仿宋"/>
          <w:sz w:val="28"/>
          <w:szCs w:val="28"/>
          <w:lang w:val="en-US" w:eastAsia="zh-CN"/>
        </w:rPr>
        <w:t>0</w:t>
      </w:r>
      <w:r>
        <w:rPr>
          <w:rFonts w:hint="eastAsia" w:ascii="仿宋" w:hAnsi="仿宋" w:eastAsia="仿宋" w:cs="仿宋"/>
          <w:sz w:val="28"/>
          <w:szCs w:val="28"/>
        </w:rPr>
        <w:t>辆；单位价值50万元以上通用设备</w:t>
      </w:r>
      <w:r>
        <w:rPr>
          <w:rFonts w:hint="eastAsia" w:ascii="仿宋" w:hAnsi="仿宋" w:eastAsia="仿宋" w:cs="仿宋"/>
          <w:sz w:val="28"/>
          <w:szCs w:val="28"/>
          <w:lang w:val="en-US" w:eastAsia="zh-CN"/>
        </w:rPr>
        <w:t>0</w:t>
      </w:r>
      <w:r>
        <w:rPr>
          <w:rFonts w:hint="eastAsia" w:ascii="仿宋" w:hAnsi="仿宋" w:eastAsia="仿宋" w:cs="仿宋"/>
          <w:sz w:val="28"/>
          <w:szCs w:val="28"/>
        </w:rPr>
        <w:t>台（套）；单位价值100万元以上专用设备</w:t>
      </w:r>
      <w:r>
        <w:rPr>
          <w:rFonts w:hint="eastAsia" w:ascii="仿宋" w:hAnsi="仿宋" w:eastAsia="仿宋" w:cs="仿宋"/>
          <w:sz w:val="28"/>
          <w:szCs w:val="28"/>
          <w:lang w:val="en-US" w:eastAsia="zh-CN"/>
        </w:rPr>
        <w:t>0</w:t>
      </w:r>
      <w:r>
        <w:rPr>
          <w:rFonts w:hint="eastAsia" w:ascii="仿宋" w:hAnsi="仿宋" w:eastAsia="仿宋" w:cs="仿宋"/>
          <w:sz w:val="28"/>
          <w:szCs w:val="28"/>
        </w:rPr>
        <w:t>台（套）。</w:t>
      </w:r>
    </w:p>
    <w:p>
      <w:pPr>
        <w:pStyle w:val="12"/>
        <w:keepNext w:val="0"/>
        <w:keepLines w:val="0"/>
        <w:pageBreakBefore w:val="0"/>
        <w:kinsoku/>
        <w:wordWrap/>
        <w:overflowPunct/>
        <w:topLinePunct w:val="0"/>
        <w:bidi w:val="0"/>
        <w:snapToGrid/>
        <w:spacing w:line="360" w:lineRule="auto"/>
        <w:jc w:val="both"/>
        <w:textAlignment w:val="auto"/>
        <w:rPr>
          <w:rFonts w:hint="eastAsia" w:ascii="仿宋" w:hAnsi="仿宋" w:eastAsia="仿宋" w:cs="仿宋"/>
          <w:b/>
          <w:bCs/>
          <w:sz w:val="28"/>
          <w:szCs w:val="28"/>
        </w:rPr>
      </w:pPr>
    </w:p>
    <w:p>
      <w:pPr>
        <w:pStyle w:val="12"/>
        <w:keepNext w:val="0"/>
        <w:keepLines w:val="0"/>
        <w:pageBreakBefore w:val="0"/>
        <w:kinsoku/>
        <w:wordWrap/>
        <w:overflowPunct/>
        <w:topLinePunct w:val="0"/>
        <w:bidi w:val="0"/>
        <w:snapToGrid/>
        <w:spacing w:line="360" w:lineRule="auto"/>
        <w:jc w:val="both"/>
        <w:textAlignment w:val="auto"/>
        <w:rPr>
          <w:rFonts w:hint="eastAsia" w:ascii="仿宋" w:hAnsi="仿宋" w:eastAsia="仿宋" w:cs="仿宋"/>
          <w:b/>
          <w:bCs/>
          <w:color w:val="000000"/>
          <w:kern w:val="0"/>
          <w:sz w:val="28"/>
          <w:szCs w:val="28"/>
        </w:rPr>
      </w:pPr>
      <w:r>
        <w:rPr>
          <w:rFonts w:hint="eastAsia" w:ascii="仿宋" w:hAnsi="仿宋" w:eastAsia="仿宋" w:cs="仿宋"/>
          <w:b/>
          <w:bCs/>
          <w:sz w:val="28"/>
          <w:szCs w:val="28"/>
        </w:rPr>
        <w:t>第四部分</w:t>
      </w:r>
      <w:r>
        <w:rPr>
          <w:rFonts w:hint="eastAsia" w:ascii="仿宋" w:hAnsi="仿宋" w:eastAsia="仿宋" w:cs="仿宋"/>
          <w:b/>
          <w:bCs/>
          <w:sz w:val="28"/>
          <w:szCs w:val="28"/>
          <w:lang w:val="en-US" w:eastAsia="zh-CN"/>
        </w:rPr>
        <w:t xml:space="preserve"> </w:t>
      </w:r>
      <w:r>
        <w:rPr>
          <w:rFonts w:hint="eastAsia" w:ascii="仿宋" w:hAnsi="仿宋" w:eastAsia="仿宋" w:cs="仿宋"/>
          <w:b/>
          <w:bCs/>
          <w:color w:val="000000"/>
          <w:kern w:val="0"/>
          <w:sz w:val="28"/>
          <w:szCs w:val="28"/>
        </w:rPr>
        <w:t>名词解释</w:t>
      </w:r>
    </w:p>
    <w:p>
      <w:pPr>
        <w:pStyle w:val="12"/>
        <w:keepNext w:val="0"/>
        <w:keepLines w:val="0"/>
        <w:pageBreakBefore w:val="0"/>
        <w:numPr>
          <w:ilvl w:val="0"/>
          <w:numId w:val="5"/>
        </w:numPr>
        <w:kinsoku/>
        <w:wordWrap/>
        <w:overflowPunct/>
        <w:topLinePunct w:val="0"/>
        <w:bidi w:val="0"/>
        <w:snapToGrid/>
        <w:spacing w:line="360" w:lineRule="auto"/>
        <w:ind w:leftChars="0" w:firstLine="560" w:firstLineChars="200"/>
        <w:jc w:val="both"/>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pStyle w:val="12"/>
        <w:keepNext w:val="0"/>
        <w:keepLines w:val="0"/>
        <w:pageBreakBefore w:val="0"/>
        <w:numPr>
          <w:ilvl w:val="0"/>
          <w:numId w:val="0"/>
        </w:numPr>
        <w:kinsoku/>
        <w:wordWrap/>
        <w:overflowPunct/>
        <w:topLinePunct w:val="0"/>
        <w:bidi w:val="0"/>
        <w:snapToGrid/>
        <w:spacing w:line="360" w:lineRule="auto"/>
        <w:ind w:firstLine="560" w:firstLineChars="200"/>
        <w:jc w:val="both"/>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三、基本支出：是指为保障机构正常运转、完成日常工作任务而发生的人员支出和公用支出。</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四、项目支出：是指在基本支出之外为完成特定行政任务和事业发展目标所发生的支出。</w:t>
      </w:r>
    </w:p>
    <w:p>
      <w:pPr>
        <w:pStyle w:val="2"/>
        <w:keepNext w:val="0"/>
        <w:keepLines w:val="0"/>
        <w:pageBreakBefore w:val="0"/>
        <w:kinsoku/>
        <w:wordWrap/>
        <w:overflowPunct/>
        <w:topLinePunct w:val="0"/>
        <w:bidi w:val="0"/>
        <w:snapToGrid/>
        <w:spacing w:line="360" w:lineRule="auto"/>
        <w:textAlignment w:val="auto"/>
        <w:rPr>
          <w:rFonts w:hint="eastAsia" w:ascii="仿宋" w:hAnsi="仿宋" w:eastAsia="仿宋" w:cs="仿宋"/>
          <w:b/>
          <w:bCs/>
          <w:sz w:val="28"/>
          <w:szCs w:val="28"/>
        </w:rPr>
      </w:pPr>
      <w:r>
        <w:rPr>
          <w:rFonts w:hint="eastAsia" w:ascii="仿宋" w:hAnsi="仿宋" w:eastAsia="仿宋" w:cs="仿宋"/>
          <w:color w:val="auto"/>
          <w:kern w:val="2"/>
          <w:sz w:val="28"/>
          <w:szCs w:val="28"/>
          <w:lang w:val="en-US" w:eastAsia="zh-CN" w:bidi="ar-SA"/>
        </w:rPr>
        <w:t>五、文化旅游体育与传媒支出：反映政府在文化、旅游、文物、体育、广播电视、电影、新闻出版等方面的支出。</w:t>
      </w:r>
    </w:p>
    <w:p>
      <w:pPr>
        <w:pStyle w:val="12"/>
        <w:keepNext w:val="0"/>
        <w:keepLines w:val="0"/>
        <w:pageBreakBefore w:val="0"/>
        <w:kinsoku/>
        <w:wordWrap/>
        <w:overflowPunct/>
        <w:topLinePunct w:val="0"/>
        <w:bidi w:val="0"/>
        <w:snapToGrid/>
        <w:spacing w:line="360" w:lineRule="auto"/>
        <w:jc w:val="both"/>
        <w:textAlignment w:val="auto"/>
        <w:rPr>
          <w:rFonts w:hint="eastAsia" w:ascii="仿宋" w:hAnsi="仿宋" w:eastAsia="仿宋" w:cs="仿宋"/>
          <w:b/>
          <w:bCs/>
          <w:sz w:val="28"/>
          <w:szCs w:val="28"/>
        </w:rPr>
      </w:pPr>
    </w:p>
    <w:p>
      <w:pPr>
        <w:pStyle w:val="12"/>
        <w:jc w:val="both"/>
        <w:rPr>
          <w:rFonts w:hint="eastAsia" w:ascii="仿宋" w:hAnsi="仿宋" w:eastAsia="仿宋" w:cs="仿宋"/>
          <w:b/>
          <w:bCs/>
          <w:sz w:val="28"/>
          <w:szCs w:val="28"/>
        </w:rPr>
      </w:pPr>
    </w:p>
    <w:p>
      <w:pPr>
        <w:pStyle w:val="12"/>
        <w:jc w:val="both"/>
        <w:rPr>
          <w:rFonts w:hint="eastAsia" w:ascii="仿宋" w:hAnsi="仿宋" w:eastAsia="仿宋" w:cs="仿宋"/>
          <w:b/>
          <w:bCs/>
          <w:sz w:val="28"/>
          <w:szCs w:val="28"/>
        </w:rPr>
      </w:pPr>
    </w:p>
    <w:p>
      <w:pPr>
        <w:pStyle w:val="12"/>
        <w:jc w:val="both"/>
        <w:rPr>
          <w:rFonts w:hint="eastAsia" w:ascii="仿宋" w:hAnsi="仿宋" w:eastAsia="仿宋" w:cs="仿宋"/>
          <w:b/>
          <w:bCs/>
          <w:sz w:val="28"/>
          <w:szCs w:val="28"/>
        </w:rPr>
      </w:pPr>
    </w:p>
    <w:p>
      <w:pPr>
        <w:pStyle w:val="12"/>
        <w:numPr>
          <w:ilvl w:val="0"/>
          <w:numId w:val="6"/>
        </w:numPr>
        <w:jc w:val="both"/>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附件</w:t>
      </w:r>
    </w:p>
    <w:p>
      <w:pPr>
        <w:tabs>
          <w:tab w:val="left" w:pos="6480"/>
        </w:tabs>
        <w:spacing w:line="600" w:lineRule="exact"/>
        <w:jc w:val="center"/>
        <w:rPr>
          <w:rFonts w:hint="eastAsia" w:ascii="宋体" w:hAnsi="宋体" w:cs="仿宋"/>
          <w:b/>
          <w:bCs/>
          <w:color w:val="000000"/>
          <w:kern w:val="0"/>
          <w:sz w:val="36"/>
          <w:szCs w:val="36"/>
          <w:lang w:eastAsia="zh-CN"/>
        </w:rPr>
      </w:pPr>
      <w:r>
        <w:rPr>
          <w:rFonts w:hint="eastAsia" w:ascii="宋体" w:hAnsi="宋体" w:cs="仿宋"/>
          <w:b/>
          <w:bCs/>
          <w:color w:val="000000"/>
          <w:kern w:val="0"/>
          <w:sz w:val="36"/>
          <w:szCs w:val="36"/>
          <w:lang w:eastAsia="zh-CN"/>
        </w:rPr>
        <w:t>湘潭县文化旅游广电体育局</w:t>
      </w:r>
    </w:p>
    <w:p>
      <w:pPr>
        <w:tabs>
          <w:tab w:val="left" w:pos="6480"/>
        </w:tabs>
        <w:spacing w:line="600" w:lineRule="exact"/>
        <w:jc w:val="center"/>
        <w:rPr>
          <w:rFonts w:hint="eastAsia" w:ascii="宋体" w:hAnsi="宋体" w:cs="方正小标宋_GBK"/>
          <w:b/>
          <w:sz w:val="36"/>
          <w:szCs w:val="36"/>
        </w:rPr>
      </w:pPr>
      <w:r>
        <w:rPr>
          <w:rFonts w:hint="eastAsia" w:ascii="宋体" w:hAnsi="宋体" w:cs="方正小标宋_GBK"/>
          <w:b/>
          <w:bCs/>
          <w:sz w:val="36"/>
          <w:szCs w:val="36"/>
          <w:lang w:val="en-US" w:eastAsia="zh-CN"/>
        </w:rPr>
        <w:t>2021年度</w:t>
      </w:r>
      <w:r>
        <w:rPr>
          <w:rFonts w:hint="eastAsia" w:ascii="宋体" w:hAnsi="宋体" w:cs="方正小标宋_GBK"/>
          <w:b/>
          <w:bCs/>
          <w:sz w:val="36"/>
          <w:szCs w:val="36"/>
        </w:rPr>
        <w:t>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pPr>
              <w:spacing w:line="576" w:lineRule="exact"/>
              <w:ind w:right="879"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湘潭县文化旅游广电体育局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pPr>
              <w:spacing w:line="576" w:lineRule="exact"/>
              <w:ind w:right="879" w:rightChars="419"/>
              <w:jc w:val="center"/>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1818.99万元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pPr>
              <w:spacing w:line="576" w:lineRule="exact"/>
              <w:ind w:right="879" w:rightChars="419"/>
              <w:jc w:val="center"/>
              <w:rPr>
                <w:rFonts w:hint="eastAsia" w:ascii="仿宋_GB2312" w:hAnsi="宋体" w:eastAsia="仿宋_GB2312" w:cs="宋体"/>
                <w:szCs w:val="21"/>
              </w:rPr>
            </w:pPr>
            <w:r>
              <w:rPr>
                <w:rFonts w:hint="eastAsia" w:ascii="仿宋_GB2312" w:hAnsi="宋体" w:eastAsia="仿宋_GB2312" w:cs="宋体"/>
                <w:szCs w:val="21"/>
                <w:lang w:eastAsia="zh-CN"/>
              </w:rPr>
              <w:t>湘潭县文化旅游广电体育局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70" w:type="dxa"/>
            <w:noWrap w:val="0"/>
            <w:vAlign w:val="center"/>
          </w:tcPr>
          <w:p>
            <w:pPr>
              <w:spacing w:line="576" w:lineRule="exact"/>
              <w:ind w:right="879" w:rightChars="419" w:firstLine="630" w:firstLineChars="300"/>
              <w:jc w:val="left"/>
              <w:rPr>
                <w:rFonts w:hint="eastAsia" w:ascii="仿宋_GB2312" w:hAnsi="宋体" w:eastAsia="仿宋_GB2312" w:cs="宋体"/>
                <w:szCs w:val="21"/>
              </w:rPr>
            </w:pPr>
            <w:r>
              <w:rPr>
                <w:rFonts w:hint="eastAsia" w:ascii="仿宋_GB2312" w:hAnsi="宋体" w:eastAsia="仿宋_GB2312" w:cs="宋体"/>
                <w:szCs w:val="21"/>
                <w:lang w:val="en-US" w:eastAsia="zh-CN"/>
              </w:rPr>
              <w:t>贯彻执行党和国家、省、市有关文化（文物）、旅游、广播电视、体育工作的方针政策和法律法规；拟订全县文化、旅游、广播电视、体育事业的政策措施和中长期规划并组织实施；推进文化（文物）、旅游、广播电视、体育领域体制机制改革；指导、管理全县文艺事业，指导艺术创作生产，扶持推动各门类艺术、各艺术品种发展；负责全县公共文化（文物）、旅游、广播电视、体育领域事业发展；统筹规划全县文化（文物）、旅游、广播电视、体育领域产业；指导文化（文物）、旅游、广播电视、体育领域市场发展；组织指导全县文化市场综合执法，维护市场秩序；管理全县性重大文化（文物）、旅游、广播电视、体育活动，指导设施建设，组织全县旅游整体形象推广，促进相关产业对外合作和交流，制定旅游市场开发战略并组织实施，指导、推进全域旅游；协调指导全县文物和博物馆的业务工作、安全防范工作，指导全县文物安全责任落实；指导、推进文化（文物）、旅游、广播电视、体育科技创新发展；负责对全县各类广播电视机构进行行业指导和行业监管；积极推行全民健身计划，协调、组织群众性体育活动的开展，监督实施国家体育锻炼标准，开展国民体质监测；培养全县文化（文物）、旅游、广播电视、体育人才，加快文化、旅游、广播电视、体育人才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noWrap w:val="0"/>
            <w:vAlign w:val="center"/>
          </w:tcPr>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一是成立评价工作领导小组。</w:t>
            </w:r>
            <w:r>
              <w:rPr>
                <w:rFonts w:hint="eastAsia" w:ascii="仿宋_GB2312" w:hAnsi="宋体" w:eastAsia="仿宋_GB2312" w:cs="宋体"/>
                <w:szCs w:val="21"/>
              </w:rPr>
              <w:t>我局成立了以局长为组长、其他班子成员为副组长的局</w:t>
            </w:r>
            <w:r>
              <w:rPr>
                <w:rFonts w:hint="eastAsia" w:ascii="仿宋_GB2312" w:hAnsi="宋体" w:eastAsia="仿宋_GB2312" w:cs="宋体"/>
                <w:szCs w:val="21"/>
                <w:lang w:eastAsia="zh-CN"/>
              </w:rPr>
              <w:t>预算</w:t>
            </w:r>
            <w:r>
              <w:rPr>
                <w:rFonts w:hint="eastAsia" w:ascii="仿宋_GB2312" w:hAnsi="宋体" w:eastAsia="仿宋_GB2312" w:cs="宋体"/>
                <w:szCs w:val="21"/>
              </w:rPr>
              <w:t>绩效</w:t>
            </w:r>
            <w:r>
              <w:rPr>
                <w:rFonts w:hint="eastAsia" w:ascii="仿宋_GB2312" w:hAnsi="宋体" w:eastAsia="仿宋_GB2312" w:cs="宋体"/>
                <w:szCs w:val="21"/>
                <w:lang w:eastAsia="zh-CN"/>
              </w:rPr>
              <w:t>管理</w:t>
            </w:r>
            <w:r>
              <w:rPr>
                <w:rFonts w:hint="eastAsia" w:ascii="仿宋_GB2312" w:hAnsi="宋体" w:eastAsia="仿宋_GB2312" w:cs="宋体"/>
                <w:szCs w:val="21"/>
              </w:rPr>
              <w:t>工作</w:t>
            </w:r>
            <w:r>
              <w:rPr>
                <w:rFonts w:hint="eastAsia" w:ascii="仿宋_GB2312" w:hAnsi="宋体" w:eastAsia="仿宋_GB2312" w:cs="宋体"/>
                <w:szCs w:val="21"/>
                <w:lang w:eastAsia="zh-CN"/>
              </w:rPr>
              <w:t>领导</w:t>
            </w:r>
            <w:r>
              <w:rPr>
                <w:rFonts w:hint="eastAsia" w:ascii="仿宋_GB2312" w:hAnsi="宋体" w:eastAsia="仿宋_GB2312" w:cs="宋体"/>
                <w:szCs w:val="21"/>
              </w:rPr>
              <w:t>小组</w:t>
            </w:r>
            <w:r>
              <w:rPr>
                <w:rFonts w:hint="eastAsia" w:ascii="仿宋_GB2312" w:hAnsi="宋体" w:eastAsia="仿宋_GB2312" w:cs="宋体"/>
                <w:szCs w:val="21"/>
                <w:lang w:eastAsia="zh-CN"/>
              </w:rPr>
              <w:t>及领导小组办公室。</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二是制定评价工作方案。制定了《湘潭县文化旅游广电体育局2022年度预算绩效管理工作实施方案》，明确了工作职责，确定了本部门评价指标和考核方式。</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三是召开专题会议。我局于5月12日组织全系统预算项目单位负责人和预算绩效管理工作人员召开会议，学习中央、省、市有关文件精神，培训具体操作流程和注意事项以及相关工作的安排布署，为今后加强预算绩效管理明确了责任主体、提升了责任意识，为强化评价结果应用提供了有力依据。</w:t>
            </w:r>
          </w:p>
          <w:p>
            <w:pPr>
              <w:spacing w:line="576" w:lineRule="exact"/>
              <w:ind w:right="879" w:rightChars="419" w:firstLine="420" w:firstLineChars="200"/>
              <w:jc w:val="left"/>
              <w:rPr>
                <w:rFonts w:hint="eastAsia" w:ascii="仿宋_GB2312" w:hAnsi="宋体" w:eastAsia="仿宋_GB2312" w:cs="宋体"/>
                <w:szCs w:val="21"/>
              </w:rPr>
            </w:pPr>
            <w:r>
              <w:rPr>
                <w:rFonts w:hint="eastAsia" w:ascii="仿宋_GB2312" w:hAnsi="宋体" w:eastAsia="仿宋_GB2312" w:cs="宋体"/>
                <w:szCs w:val="21"/>
                <w:lang w:val="en-US" w:eastAsia="zh-CN"/>
              </w:rPr>
              <w:t>四是完成评价工作报告。收集整理了相关资料，调查核实评价基础数据，形成自评报告，对评价结果分析存在的问题，提出相关的建议，为今后开展财政支出绩效评价工作积累经验。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70" w:type="dxa"/>
            <w:noWrap w:val="0"/>
            <w:vAlign w:val="center"/>
          </w:tcPr>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2021年，我局坚持以习近平新时代中国特色社会主义思想为指导，认真贯彻落实县委、县政府决策部署，以服务经济社会发展为中心，以满足广大群众精神文化需求为根本，以助推产业发展为重点，创新奋进，真抓实干，文化、旅游、广电、体育工作稳步推进，成效明显。</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立足群众精神需求，全面提升公共服务效能。一是强管理补短板。制定印发了《湘潭县现代公共文化服务体系高质量发展五年行动计划（2021-2025）》《关于推进2021年乡镇现代公共文化服务体系建设的工作细则》，进一步明确镇、村两级文化工作任务，强化对基层文化工作的指导和管理，促使基层站所提质上档；二是强阵地夯基础。向上争取186.1万元以奖代投方式加强农村公共文体阵地建设。建成2所24小时图书馆、1所群众文娱体验中心、1间专业录音室，在晓木塘社区、乌石峰村等地建设图书馆分馆7个；完成文旅云智慧平台建设，对各乡镇配送电视机、音箱、书架书籍、电脑、扫描枪、人流量统计机等设备；3个乡镇文化综合服务站、4个村级文化服务中心获评“最美潇湘文化阵地”；建设文化市场网络视频监控平台，对36家经营场所实现常态技术监管；完善旅游设施配套，新建旅游厕所5座，完成49座旅游厕所责任公示牌；三是优服务提质效。县文化馆开展免费开放艺术基础培训322次，受训群众达2万人次，派出专业教师开展各类辅导培训160余次，顺利通过第五次评估定级，获评国家一级馆；县图书馆接待读者近16万人次，借阅13.4万余册次，被教育部门定为湖南省中小学思政课改革创新示范区思政老师学习基地，被团县委定为青年之家。</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围绕建党百年大庆，广泛开展群众文体活动。以“永远跟党走”为主题，开展庆祝中国共产党成立100周年大型群众合唱比赛、100场红色故事读书分享会、100场红色革命电影放映、100场文艺惠民演出等系列活动，唱响中国共产党好的主旋律，在全县上下营造了共庆百年华诞、共创幸福莲乡的浓厚氛围；开展“送戏下乡，演艺惠民”活动85场（年度任务65场），放映农村电影4493场（年度任务4438场），广场电影808场（年度任务800场）。精心打造文艺精品，排练大型古装传统戏《三子争父》,创排了表演唱《元帅树》、吹打乐《盛世莲乡乐小康》、花鼓戏表演唱《学党史，赞英雄》、花鼓小戏《民生实事颂党恩》等节目，其中吹打乐《盛世莲乡乐小康》勇夺“百团百角唱百年”市赛桂冠，入围省第七届艺术节。编制湘潭县钓鱼地图，举办长株潭垂钓邀请赛、“探索湖湘文化，穿越千年隐山”徒步等群众文体活动；积极参加市第十三届运动会，其中青少年儿童组团体总分、金牌数量均获全市第一名，成年A组团体总分获二等奖。全民健身蓬勃发展，先后荣获市全民健身工作先进单位、“2017-2020年度全国群众体育先进单位”等荣誉称号。</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聚焦文旅融合，力促产业持续健康发展。项目包装有新亮点。乌石军旅小镇新型文旅消费集聚区、齐白石文化旅游区、碧泉潭湖湘文化园建设项目纳入湖南省“十四五”文旅项目库，并参与“湖南文旅对接央企”和“湘赣红”文化和旅游产业城市峰会。项目建设有新进展。着力支持乌石峰村研学旅游园第二期民宿、乌石军旅小镇实弹射击场等重点文旅项目建设。品牌创建有新成果，鑫田大酒店顺利通过五星级酒店评定复核。宣传营销有新突破。举办“重温红色印记 传承爱国情怀”红色旅游线路发布会，发布红色旅游线路8条；组织开展湘潭县实施乡村振兴启动仪式暨排头乡鸢尾花节，指导开展射埠镇蘑菇节、花石湘莲节等节会活动，进一步提升县域旅游形象；向星级饭店和星级乡村旅游区（点）发放湘潭全域旅游惠民卡390张，引导消费回暖。</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坚持创新性发展，文物非遗文化广为弘扬。对联海商贸城便道等5个项目进行考古发掘，对花石镇电场4号机位古墓等进行抢救性发掘，出土文物97件，修复10件（套）。加快推进陈鹏年墓保护修缮、尹氏宗祠安防工程及砚井本体保护及周边环境整治等项目，全面完成县内红色故事和革命文化资源概况的征集与编撰工作。稳步推进罗亦农生平事迹陈列文物史料征集工作，先后赴湖北、重庆、广东、上海、江西等地征集文物史料860余份。进一步完善非遗中心展陈，收藏实物近1000件（套）；启动文化生态保护规划编制工作，积极争创市级文化生态保护区。举办第五个“文化和自然遗产日”集中宣传展示活动，组织小学生开展石鼓油纸伞制作工艺体验课堂。积极组织县内文艺爱好者参加省第七届艺术节，5人作品入展。推选石鼓镇成功入选2021-2023年度“湖南民间文化艺术之乡”。</w:t>
            </w:r>
          </w:p>
          <w:p>
            <w:pPr>
              <w:spacing w:line="576" w:lineRule="exact"/>
              <w:ind w:right="879" w:rightChars="419" w:firstLine="630" w:firstLineChars="300"/>
              <w:jc w:val="left"/>
              <w:rPr>
                <w:rFonts w:hint="eastAsia" w:ascii="仿宋_GB2312" w:hAnsi="宋体" w:eastAsia="仿宋_GB2312" w:cs="宋体"/>
                <w:szCs w:val="21"/>
              </w:rPr>
            </w:pPr>
            <w:r>
              <w:rPr>
                <w:rFonts w:hint="eastAsia" w:ascii="仿宋_GB2312" w:hAnsi="宋体" w:eastAsia="仿宋_GB2312" w:cs="宋体"/>
                <w:szCs w:val="21"/>
                <w:lang w:val="en-US" w:eastAsia="zh-CN"/>
              </w:rPr>
              <w:t>5.强化行业监管，全面提升市场治理能力。严格落实“放管</w:t>
            </w:r>
            <w:bookmarkStart w:id="3" w:name="_GoBack"/>
            <w:bookmarkEnd w:id="3"/>
            <w:r>
              <w:rPr>
                <w:rFonts w:hint="eastAsia" w:ascii="仿宋_GB2312" w:hAnsi="宋体" w:eastAsia="仿宋_GB2312" w:cs="宋体"/>
                <w:szCs w:val="21"/>
                <w:lang w:val="en-US" w:eastAsia="zh-CN"/>
              </w:rPr>
              <w:t>服”改革，大力推行一次办好和不见面审批，进一步简化行政审批流程，优化政务服务。强化执法监管，突出网吧、歌舞娱乐场所、A级景区等重点场所，开展校园周边环境整治、无证照歌舞娱乐场所、“护苗”等专项行动7次，出动执法检查1490人次，巡查经营单位1100余家次，责令整改79家次，立案查处违规文化经营场所24家，吊销2家。联合相关部门开展“扫黄打非”专项治理，严厉打击政治性有害出版物及信息，深入打击网络淫秽色情信息，编排“扫黄打非”花鼓戏节目1个，下乡巡演10余场次。开展非法卫星电视地面接收设施和境外电视传播秩序专项整治行动12次，确保“建党100周年”等特护期的安全播出，文旅广体市场安全平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70" w:type="dxa"/>
            <w:noWrap w:val="0"/>
            <w:vAlign w:val="center"/>
          </w:tcPr>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公用经费严重不足。部门单位的公用经费由财政部门按照定额编制预算，定额标准体系的不健全从根源上导致了公用经费支出的不规范和项目化。主要表现在以下两个方面：一是部门正常运转的各项支出都有所提高，但标准并未相应调整，不能满足现实需要；二是部门在实际运转过程中，存在无预算但必须支出的情况，如“创文、创卫”奖励和乡村振兴抽调驻村工作人员生活补贴、交通补贴等，公用经费的严重不足导致了挤占项目经费。</w:t>
            </w:r>
          </w:p>
          <w:p>
            <w:pPr>
              <w:spacing w:line="576" w:lineRule="exact"/>
              <w:ind w:right="879" w:rightChars="419" w:firstLine="630" w:firstLineChars="300"/>
              <w:jc w:val="left"/>
              <w:rPr>
                <w:rFonts w:hint="eastAsia" w:ascii="仿宋_GB2312" w:hAnsi="宋体" w:eastAsia="仿宋_GB2312" w:cs="宋体"/>
                <w:szCs w:val="21"/>
              </w:rPr>
            </w:pPr>
            <w:r>
              <w:rPr>
                <w:rFonts w:hint="eastAsia" w:ascii="仿宋_GB2312" w:hAnsi="宋体" w:eastAsia="仿宋_GB2312" w:cs="宋体"/>
                <w:szCs w:val="21"/>
              </w:rPr>
              <w:t>2.预算执行存在偏差。</w:t>
            </w:r>
            <w:r>
              <w:rPr>
                <w:rFonts w:hint="eastAsia" w:ascii="仿宋_GB2312" w:hAnsi="宋体" w:eastAsia="仿宋_GB2312" w:cs="宋体"/>
                <w:szCs w:val="21"/>
                <w:lang w:eastAsia="zh-CN"/>
              </w:rPr>
              <w:t>部分</w:t>
            </w:r>
            <w:r>
              <w:rPr>
                <w:rFonts w:hint="eastAsia" w:ascii="仿宋_GB2312" w:hAnsi="宋体" w:eastAsia="仿宋_GB2312" w:cs="宋体"/>
                <w:szCs w:val="21"/>
              </w:rPr>
              <w:t>项目财政并未能按照预算申报金额批准，有的甚至严重短缺，导致部分项目只能降低标准实行或挤占其它项目经费。</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固定资产管理有待加强。近几年虽加大了对单位固定资产的管理，每月及时登记固定资产台账，但在资产残值、资产报废等方面没有及时处理，导致系统资产台账与实际资产存在差异，固定资产管理仍有待加强。</w:t>
            </w:r>
          </w:p>
          <w:p>
            <w:pPr>
              <w:spacing w:line="576" w:lineRule="exact"/>
              <w:ind w:right="879" w:rightChars="419" w:firstLine="630" w:firstLineChars="300"/>
              <w:jc w:val="left"/>
              <w:rPr>
                <w:rFonts w:hint="eastAsia" w:ascii="仿宋_GB2312" w:hAnsi="宋体" w:eastAsia="仿宋_GB2312" w:cs="宋体"/>
                <w:szCs w:val="21"/>
              </w:rPr>
            </w:pPr>
            <w:r>
              <w:rPr>
                <w:rFonts w:hint="eastAsia" w:ascii="仿宋_GB2312" w:hAnsi="宋体" w:eastAsia="仿宋_GB2312" w:cs="宋体"/>
                <w:szCs w:val="21"/>
                <w:lang w:val="en-US" w:eastAsia="zh-CN"/>
              </w:rPr>
              <w:t>4.公共文化场馆薄弱。县城缺乏图书馆、博物馆等标志性文化建筑，县图书馆阅览室仅300平方米，馆舍面积、藏书量等严重不达标，</w:t>
            </w:r>
            <w:r>
              <w:rPr>
                <w:rFonts w:hint="eastAsia" w:ascii="仿宋_GB2312" w:hAnsi="宋体" w:eastAsia="仿宋_GB2312" w:cs="宋体"/>
                <w:szCs w:val="21"/>
              </w:rPr>
              <w:t>免费开放</w:t>
            </w:r>
            <w:r>
              <w:rPr>
                <w:rFonts w:hint="eastAsia" w:ascii="仿宋_GB2312" w:hAnsi="宋体" w:eastAsia="仿宋_GB2312" w:cs="宋体"/>
                <w:szCs w:val="21"/>
                <w:lang w:eastAsia="zh-CN"/>
              </w:rPr>
              <w:t>严重受限</w:t>
            </w:r>
            <w:r>
              <w:rPr>
                <w:rFonts w:hint="eastAsia" w:ascii="仿宋_GB2312" w:hAnsi="宋体" w:eastAsia="仿宋_GB2312" w:cs="宋体"/>
                <w:szCs w:val="21"/>
              </w:rPr>
              <w:t>，制约了图书馆工作的开展</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县博物馆目前仅有几间办公室，馆藏的千余件文物难以面向公众开放，</w:t>
            </w:r>
            <w:r>
              <w:rPr>
                <w:rFonts w:hint="eastAsia" w:ascii="仿宋_GB2312" w:hAnsi="宋体" w:eastAsia="仿宋_GB2312" w:cs="宋体"/>
                <w:szCs w:val="21"/>
              </w:rPr>
              <w:t>县域范围内文物点多面广，专业技术人才缺乏，只能做好隶属文物局管理的两个故居的保护管理</w:t>
            </w:r>
            <w:r>
              <w:rPr>
                <w:rFonts w:hint="eastAsia" w:ascii="仿宋_GB2312" w:hAnsi="宋体" w:eastAsia="仿宋_GB2312" w:cs="宋体"/>
                <w:szCs w:val="21"/>
                <w:lang w:eastAsia="zh-CN"/>
              </w:rPr>
              <w:t>工作</w:t>
            </w:r>
            <w:r>
              <w:rPr>
                <w:rFonts w:hint="eastAsia" w:ascii="仿宋_GB2312" w:hAnsi="宋体" w:eastAsia="仿宋_GB2312" w:cs="宋体"/>
                <w:szCs w:val="21"/>
              </w:rPr>
              <w:t>，而其它文物点的保护工作因经费和人</w:t>
            </w:r>
            <w:r>
              <w:rPr>
                <w:rFonts w:hint="eastAsia" w:ascii="仿宋_GB2312" w:hAnsi="宋体" w:eastAsia="仿宋_GB2312" w:cs="宋体"/>
                <w:szCs w:val="21"/>
                <w:lang w:eastAsia="zh-CN"/>
              </w:rPr>
              <w:t>员</w:t>
            </w:r>
            <w:r>
              <w:rPr>
                <w:rFonts w:hint="eastAsia" w:ascii="仿宋_GB2312" w:hAnsi="宋体" w:eastAsia="仿宋_GB2312" w:cs="宋体"/>
                <w:szCs w:val="21"/>
              </w:rPr>
              <w:t>的</w:t>
            </w:r>
            <w:r>
              <w:rPr>
                <w:rFonts w:hint="eastAsia" w:ascii="仿宋_GB2312" w:hAnsi="宋体" w:eastAsia="仿宋_GB2312" w:cs="宋体"/>
                <w:szCs w:val="21"/>
                <w:lang w:eastAsia="zh-CN"/>
              </w:rPr>
              <w:t>短缺</w:t>
            </w:r>
            <w:r>
              <w:rPr>
                <w:rFonts w:hint="eastAsia" w:ascii="仿宋_GB2312" w:hAnsi="宋体" w:eastAsia="仿宋_GB2312" w:cs="宋体"/>
                <w:szCs w:val="21"/>
              </w:rPr>
              <w:t>而鞭长莫及。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70" w:type="dxa"/>
            <w:noWrap w:val="0"/>
            <w:vAlign w:val="center"/>
          </w:tcPr>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细化预算编制工作。进一步加强各二级机构和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切实提高部门预算收支管理水平，提高预算资金使用效率。</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建议完善公用经费定额标准体系。建立科学的动态调整机制，首先标准要和国家方针政策、社会经济发展状况相适应，随物价水平的波动而自动调整；其次要坚持区别对待的原则，根据部门预算单位具体职能的不同，制定不同的标准，实现相对公平。</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牢固树立过紧日子的思想。坚持按照县委县人民政府“建设节约型”机关工作要求，严格实施精准预算下达各二级机构，局机关除确保工资待遇、正常运转外，严控各项公用支出。在绩效目标设置中严格遵循“绩效目标应从数量、质量、成本和时效等方面进行细化，须用定量表述为主，采用分级分档的形式定性表述，并具有可测量性”的规定来制定，促进项目绩效申报的科学规范合理化。</w:t>
            </w:r>
          </w:p>
          <w:p>
            <w:pPr>
              <w:spacing w:line="576" w:lineRule="exact"/>
              <w:ind w:right="879" w:rightChars="419" w:firstLine="630" w:firstLineChars="3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加强财务管理，严格财务审核。加强单位财务管理，健全单位财务管理制度体系，规范单位财务行为，根据内控制度，在费用报账支付时，按照预算规定的费用项目和用途进行资金使用审核、列报支付、财务核算，杜绝超支现象的发生，对预算外经费严格落实“收支两条线”要求，精细测算支出额度，把需求核准核实，充分发挥财政资金的效益。</w:t>
            </w:r>
          </w:p>
          <w:p>
            <w:pPr>
              <w:spacing w:line="576" w:lineRule="exact"/>
              <w:ind w:right="879" w:rightChars="419" w:firstLine="630" w:firstLineChars="300"/>
              <w:jc w:val="left"/>
              <w:rPr>
                <w:rFonts w:hint="eastAsia" w:ascii="仿宋_GB2312" w:hAnsi="宋体" w:eastAsia="仿宋_GB2312" w:cs="宋体"/>
                <w:szCs w:val="21"/>
              </w:rPr>
            </w:pPr>
            <w:r>
              <w:rPr>
                <w:rFonts w:hint="eastAsia" w:ascii="仿宋_GB2312" w:hAnsi="宋体" w:eastAsia="仿宋_GB2312" w:cs="宋体"/>
                <w:szCs w:val="21"/>
                <w:lang w:val="en-US" w:eastAsia="zh-CN"/>
              </w:rPr>
              <w:t>5.</w:t>
            </w:r>
            <w:r>
              <w:rPr>
                <w:rFonts w:hint="eastAsia" w:ascii="仿宋_GB2312" w:hAnsi="宋体" w:eastAsia="仿宋_GB2312" w:cs="宋体"/>
                <w:szCs w:val="21"/>
              </w:rPr>
              <w:t>将两馆一站免费开放县级配套经费列入年初预算</w:t>
            </w:r>
            <w:r>
              <w:rPr>
                <w:rFonts w:hint="eastAsia" w:ascii="仿宋_GB2312" w:hAnsi="宋体" w:eastAsia="仿宋_GB2312" w:cs="宋体"/>
                <w:szCs w:val="21"/>
                <w:lang w:eastAsia="zh-CN"/>
              </w:rPr>
              <w:t>。</w:t>
            </w:r>
            <w:r>
              <w:rPr>
                <w:rFonts w:hint="eastAsia" w:ascii="仿宋_GB2312" w:hAnsi="宋体" w:eastAsia="仿宋_GB2312" w:cs="宋体"/>
                <w:szCs w:val="21"/>
              </w:rPr>
              <w:t>建议县财政</w:t>
            </w:r>
            <w:r>
              <w:rPr>
                <w:rFonts w:hint="eastAsia" w:ascii="仿宋_GB2312" w:hAnsi="宋体" w:eastAsia="仿宋_GB2312" w:cs="宋体"/>
                <w:szCs w:val="21"/>
                <w:lang w:eastAsia="zh-CN"/>
              </w:rPr>
              <w:t>配套文化</w:t>
            </w:r>
            <w:r>
              <w:rPr>
                <w:rFonts w:hint="eastAsia" w:ascii="仿宋_GB2312" w:hAnsi="宋体" w:eastAsia="仿宋_GB2312" w:cs="宋体"/>
                <w:szCs w:val="21"/>
              </w:rPr>
              <w:t>馆</w:t>
            </w:r>
            <w:r>
              <w:rPr>
                <w:rFonts w:hint="eastAsia" w:ascii="仿宋_GB2312" w:hAnsi="宋体" w:eastAsia="仿宋_GB2312" w:cs="宋体"/>
                <w:szCs w:val="21"/>
                <w:lang w:eastAsia="zh-CN"/>
              </w:rPr>
              <w:t>、图书馆、乡镇文化综合服务站免费开放经费，并保障</w:t>
            </w:r>
            <w:r>
              <w:rPr>
                <w:rFonts w:hint="eastAsia" w:ascii="仿宋_GB2312" w:hAnsi="宋体" w:eastAsia="仿宋_GB2312" w:cs="宋体"/>
                <w:szCs w:val="21"/>
              </w:rPr>
              <w:t>一定的运行经费预算</w:t>
            </w:r>
            <w:r>
              <w:rPr>
                <w:rFonts w:hint="eastAsia" w:ascii="仿宋_GB2312" w:hAnsi="宋体" w:eastAsia="仿宋_GB2312" w:cs="宋体"/>
                <w:szCs w:val="21"/>
                <w:lang w:eastAsia="zh-CN"/>
              </w:rPr>
              <w:t>，使</w:t>
            </w:r>
            <w:r>
              <w:rPr>
                <w:rFonts w:hint="eastAsia" w:ascii="仿宋_GB2312" w:hAnsi="宋体" w:eastAsia="仿宋_GB2312" w:cs="宋体"/>
                <w:szCs w:val="21"/>
              </w:rPr>
              <w:t>免费开放政策落实到位，加大购书经费及设施设备维护经费的投入，</w:t>
            </w:r>
            <w:r>
              <w:rPr>
                <w:rFonts w:hint="eastAsia" w:ascii="仿宋_GB2312" w:hAnsi="宋体" w:eastAsia="仿宋_GB2312" w:cs="宋体"/>
                <w:szCs w:val="21"/>
                <w:lang w:eastAsia="zh-CN"/>
              </w:rPr>
              <w:t>加强</w:t>
            </w:r>
            <w:r>
              <w:rPr>
                <w:rFonts w:hint="eastAsia" w:ascii="仿宋_GB2312" w:hAnsi="宋体" w:eastAsia="仿宋_GB2312" w:cs="宋体"/>
                <w:szCs w:val="21"/>
              </w:rPr>
              <w:t>单位的硬软件建设，加快新馆建设步伐</w:t>
            </w:r>
            <w:r>
              <w:rPr>
                <w:rFonts w:hint="eastAsia" w:ascii="仿宋_GB2312" w:hAnsi="宋体" w:eastAsia="仿宋_GB2312" w:cs="宋体"/>
                <w:szCs w:val="21"/>
                <w:lang w:eastAsia="zh-CN"/>
              </w:rPr>
              <w:t>。同时</w:t>
            </w:r>
            <w:r>
              <w:rPr>
                <w:rFonts w:hint="eastAsia" w:ascii="仿宋_GB2312" w:hAnsi="宋体" w:eastAsia="仿宋_GB2312" w:cs="宋体"/>
                <w:szCs w:val="21"/>
              </w:rPr>
              <w:t>加大对文物事业和文物保护经费的投入</w:t>
            </w:r>
            <w:r>
              <w:rPr>
                <w:rFonts w:hint="eastAsia" w:ascii="仿宋_GB2312" w:hAnsi="宋体" w:eastAsia="仿宋_GB2312" w:cs="宋体"/>
                <w:szCs w:val="21"/>
                <w:lang w:eastAsia="zh-CN"/>
              </w:rPr>
              <w:t>，</w:t>
            </w:r>
            <w:r>
              <w:rPr>
                <w:rFonts w:hint="eastAsia" w:ascii="仿宋_GB2312" w:hAnsi="宋体" w:eastAsia="仿宋_GB2312" w:cs="宋体"/>
                <w:szCs w:val="21"/>
              </w:rPr>
              <w:t>建议县财政设立文物保护专项资金。近年来，我县城</w:t>
            </w:r>
            <w:r>
              <w:rPr>
                <w:rFonts w:hint="eastAsia" w:ascii="仿宋_GB2312" w:hAnsi="宋体" w:eastAsia="仿宋_GB2312" w:cs="宋体"/>
                <w:szCs w:val="21"/>
                <w:lang w:eastAsia="zh-CN"/>
              </w:rPr>
              <w:t>区</w:t>
            </w:r>
            <w:r>
              <w:rPr>
                <w:rFonts w:hint="eastAsia" w:ascii="仿宋_GB2312" w:hAnsi="宋体" w:eastAsia="仿宋_GB2312" w:cs="宋体"/>
                <w:szCs w:val="21"/>
              </w:rPr>
              <w:t>改造，文物保护</w:t>
            </w:r>
            <w:r>
              <w:rPr>
                <w:rFonts w:hint="eastAsia" w:ascii="仿宋_GB2312" w:hAnsi="宋体" w:eastAsia="仿宋_GB2312" w:cs="宋体"/>
                <w:szCs w:val="21"/>
                <w:lang w:eastAsia="zh-CN"/>
              </w:rPr>
              <w:t>修缮</w:t>
            </w:r>
            <w:r>
              <w:rPr>
                <w:rFonts w:hint="eastAsia" w:ascii="仿宋_GB2312" w:hAnsi="宋体" w:eastAsia="仿宋_GB2312" w:cs="宋体"/>
                <w:szCs w:val="21"/>
              </w:rPr>
              <w:t>任务突出</w:t>
            </w:r>
            <w:r>
              <w:rPr>
                <w:rFonts w:hint="eastAsia" w:ascii="仿宋_GB2312" w:hAnsi="宋体" w:eastAsia="仿宋_GB2312" w:cs="宋体"/>
                <w:szCs w:val="21"/>
                <w:lang w:eastAsia="zh-CN"/>
              </w:rPr>
              <w:t>，</w:t>
            </w:r>
            <w:r>
              <w:rPr>
                <w:rFonts w:hint="eastAsia" w:ascii="仿宋_GB2312" w:hAnsi="宋体" w:eastAsia="仿宋_GB2312" w:cs="宋体"/>
                <w:szCs w:val="21"/>
              </w:rPr>
              <w:t>根据上级要求和参照周边县市区的做法，</w:t>
            </w:r>
            <w:r>
              <w:rPr>
                <w:rFonts w:hint="eastAsia" w:ascii="仿宋_GB2312" w:hAnsi="宋体" w:eastAsia="仿宋_GB2312" w:cs="宋体"/>
                <w:szCs w:val="21"/>
                <w:lang w:eastAsia="zh-CN"/>
              </w:rPr>
              <w:t>建议</w:t>
            </w:r>
            <w:r>
              <w:rPr>
                <w:rFonts w:hint="eastAsia" w:ascii="仿宋_GB2312" w:hAnsi="宋体" w:eastAsia="仿宋_GB2312" w:cs="宋体"/>
                <w:szCs w:val="21"/>
              </w:rPr>
              <w:t>每年从县城乡建设费中划出2-3%经费作为文物保护专项经费，使濒临损毁的文物得到及时的抢救性整修和维护。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70" w:type="dxa"/>
            <w:noWrap w:val="0"/>
            <w:vAlign w:val="center"/>
          </w:tcPr>
          <w:p>
            <w:pPr>
              <w:spacing w:line="576" w:lineRule="exact"/>
              <w:ind w:right="879"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无</w:t>
            </w:r>
          </w:p>
        </w:tc>
      </w:tr>
    </w:tbl>
    <w:p>
      <w:pPr>
        <w:pStyle w:val="12"/>
        <w:numPr>
          <w:ilvl w:val="0"/>
          <w:numId w:val="0"/>
        </w:numPr>
        <w:jc w:val="both"/>
        <w:rPr>
          <w:rFonts w:hint="eastAsia" w:ascii="仿宋" w:hAnsi="仿宋" w:eastAsia="仿宋" w:cs="仿宋"/>
          <w:b/>
          <w:bCs/>
          <w:color w:val="000000"/>
          <w:kern w:val="0"/>
          <w:sz w:val="28"/>
          <w:szCs w:val="28"/>
        </w:rPr>
      </w:pPr>
    </w:p>
    <w:p>
      <w:pPr>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6B1A2"/>
    <w:multiLevelType w:val="singleLevel"/>
    <w:tmpl w:val="8056B1A2"/>
    <w:lvl w:ilvl="0" w:tentative="0">
      <w:start w:val="5"/>
      <w:numFmt w:val="chineseCounting"/>
      <w:suff w:val="space"/>
      <w:lvlText w:val="第%1部分"/>
      <w:lvlJc w:val="left"/>
      <w:rPr>
        <w:rFonts w:hint="eastAsia"/>
      </w:rPr>
    </w:lvl>
  </w:abstractNum>
  <w:abstractNum w:abstractNumId="1">
    <w:nsid w:val="F4311DFB"/>
    <w:multiLevelType w:val="singleLevel"/>
    <w:tmpl w:val="F4311DFB"/>
    <w:lvl w:ilvl="0" w:tentative="0">
      <w:start w:val="1"/>
      <w:numFmt w:val="chineseCounting"/>
      <w:suff w:val="nothing"/>
      <w:lvlText w:val="%1、"/>
      <w:lvlJc w:val="left"/>
      <w:rPr>
        <w:rFonts w:hint="eastAsia"/>
      </w:rPr>
    </w:lvl>
  </w:abstractNum>
  <w:abstractNum w:abstractNumId="2">
    <w:nsid w:val="099C6E9E"/>
    <w:multiLevelType w:val="singleLevel"/>
    <w:tmpl w:val="099C6E9E"/>
    <w:lvl w:ilvl="0" w:tentative="0">
      <w:start w:val="3"/>
      <w:numFmt w:val="chineseCounting"/>
      <w:suff w:val="space"/>
      <w:lvlText w:val="第%1部分"/>
      <w:lvlJc w:val="left"/>
      <w:rPr>
        <w:rFonts w:hint="eastAsia"/>
      </w:rPr>
    </w:lvl>
  </w:abstractNum>
  <w:abstractNum w:abstractNumId="3">
    <w:nsid w:val="2E045EFF"/>
    <w:multiLevelType w:val="singleLevel"/>
    <w:tmpl w:val="2E045EFF"/>
    <w:lvl w:ilvl="0" w:tentative="0">
      <w:start w:val="1"/>
      <w:numFmt w:val="chineseCounting"/>
      <w:suff w:val="nothing"/>
      <w:lvlText w:val="%1、"/>
      <w:lvlJc w:val="left"/>
      <w:rPr>
        <w:rFonts w:hint="eastAsia"/>
      </w:rPr>
    </w:lvl>
  </w:abstractNum>
  <w:abstractNum w:abstractNumId="4">
    <w:nsid w:val="60154A9A"/>
    <w:multiLevelType w:val="singleLevel"/>
    <w:tmpl w:val="60154A9A"/>
    <w:lvl w:ilvl="0" w:tentative="0">
      <w:start w:val="9"/>
      <w:numFmt w:val="chineseCounting"/>
      <w:suff w:val="nothing"/>
      <w:lvlText w:val="%1、"/>
      <w:lvlJc w:val="left"/>
      <w:rPr>
        <w:rFonts w:hint="eastAsia"/>
      </w:rPr>
    </w:lvl>
  </w:abstractNum>
  <w:abstractNum w:abstractNumId="5">
    <w:nsid w:val="735B6464"/>
    <w:multiLevelType w:val="singleLevel"/>
    <w:tmpl w:val="735B6464"/>
    <w:lvl w:ilvl="0" w:tentative="0">
      <w:start w:val="2"/>
      <w:numFmt w:val="chineseCounting"/>
      <w:suff w:val="nothing"/>
      <w:lvlText w:val="（%1）"/>
      <w:lvlJc w:val="left"/>
      <w:rPr>
        <w:rFonts w:hint="eastAsia"/>
      </w:rPr>
    </w:lvl>
  </w:abstractNum>
  <w:num w:numId="1">
    <w:abstractNumId w:val="5"/>
  </w:num>
  <w:num w:numId="2">
    <w:abstractNumId w:val="2"/>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TMxMGJmNzI0OWJhOWExYTc3YTRiMTM2YTQyMzY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A7C56"/>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252098B"/>
    <w:rsid w:val="02FC0103"/>
    <w:rsid w:val="042C0BED"/>
    <w:rsid w:val="07F36D59"/>
    <w:rsid w:val="08645315"/>
    <w:rsid w:val="0A0F28E7"/>
    <w:rsid w:val="0A360CDE"/>
    <w:rsid w:val="0AE778EA"/>
    <w:rsid w:val="0CBD3079"/>
    <w:rsid w:val="0CF0035E"/>
    <w:rsid w:val="0E476961"/>
    <w:rsid w:val="0EB65F51"/>
    <w:rsid w:val="0F2E3ECA"/>
    <w:rsid w:val="0FDE36EB"/>
    <w:rsid w:val="139510B2"/>
    <w:rsid w:val="14C51C83"/>
    <w:rsid w:val="17451C21"/>
    <w:rsid w:val="1A1D7854"/>
    <w:rsid w:val="1B430B6D"/>
    <w:rsid w:val="1B705EBD"/>
    <w:rsid w:val="1C6C7582"/>
    <w:rsid w:val="1F882897"/>
    <w:rsid w:val="1FC91A73"/>
    <w:rsid w:val="1FD27FA4"/>
    <w:rsid w:val="200F584A"/>
    <w:rsid w:val="221440A4"/>
    <w:rsid w:val="24103C2E"/>
    <w:rsid w:val="246001CD"/>
    <w:rsid w:val="25042BD1"/>
    <w:rsid w:val="25D6438C"/>
    <w:rsid w:val="27A56E97"/>
    <w:rsid w:val="284E65ED"/>
    <w:rsid w:val="29922529"/>
    <w:rsid w:val="2B434271"/>
    <w:rsid w:val="2BF9081F"/>
    <w:rsid w:val="2D327A83"/>
    <w:rsid w:val="31E22A36"/>
    <w:rsid w:val="32A661A0"/>
    <w:rsid w:val="33653796"/>
    <w:rsid w:val="33C81BCF"/>
    <w:rsid w:val="355B76F6"/>
    <w:rsid w:val="35960786"/>
    <w:rsid w:val="35B56B92"/>
    <w:rsid w:val="37474D66"/>
    <w:rsid w:val="394352BA"/>
    <w:rsid w:val="395A7587"/>
    <w:rsid w:val="39797E71"/>
    <w:rsid w:val="39AA38AE"/>
    <w:rsid w:val="39E210F9"/>
    <w:rsid w:val="3AE47F7F"/>
    <w:rsid w:val="3B1D157E"/>
    <w:rsid w:val="3BB47D53"/>
    <w:rsid w:val="3DE511B8"/>
    <w:rsid w:val="3EE65033"/>
    <w:rsid w:val="3FD024DC"/>
    <w:rsid w:val="42006EA5"/>
    <w:rsid w:val="42622DB3"/>
    <w:rsid w:val="43BD0C0D"/>
    <w:rsid w:val="448D4228"/>
    <w:rsid w:val="45366F73"/>
    <w:rsid w:val="45A43FE6"/>
    <w:rsid w:val="46BF5A44"/>
    <w:rsid w:val="47341F49"/>
    <w:rsid w:val="474B2221"/>
    <w:rsid w:val="49F17862"/>
    <w:rsid w:val="4A7102CF"/>
    <w:rsid w:val="4B0B4954"/>
    <w:rsid w:val="4D3A3A90"/>
    <w:rsid w:val="4EF500A9"/>
    <w:rsid w:val="4F3759AA"/>
    <w:rsid w:val="50373506"/>
    <w:rsid w:val="50FB4A02"/>
    <w:rsid w:val="53B901CF"/>
    <w:rsid w:val="54626374"/>
    <w:rsid w:val="54D41A47"/>
    <w:rsid w:val="551C7980"/>
    <w:rsid w:val="584C035A"/>
    <w:rsid w:val="584F0BFF"/>
    <w:rsid w:val="585A4147"/>
    <w:rsid w:val="58F27794"/>
    <w:rsid w:val="596F0EEE"/>
    <w:rsid w:val="5B484CF5"/>
    <w:rsid w:val="5C404E42"/>
    <w:rsid w:val="5E930A90"/>
    <w:rsid w:val="6411230F"/>
    <w:rsid w:val="64941E09"/>
    <w:rsid w:val="655F6755"/>
    <w:rsid w:val="664D4662"/>
    <w:rsid w:val="67A506CD"/>
    <w:rsid w:val="67A936D1"/>
    <w:rsid w:val="67E959C8"/>
    <w:rsid w:val="68A83BF9"/>
    <w:rsid w:val="6BCC0120"/>
    <w:rsid w:val="6C9E3826"/>
    <w:rsid w:val="6E443F8A"/>
    <w:rsid w:val="6EFC0BF8"/>
    <w:rsid w:val="760D0CD1"/>
    <w:rsid w:val="7660239D"/>
    <w:rsid w:val="781322E7"/>
    <w:rsid w:val="79176AC6"/>
    <w:rsid w:val="7B3F165E"/>
    <w:rsid w:val="7D48497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unhideWhenUsed/>
    <w:qFormat/>
    <w:uiPriority w:val="99"/>
    <w:pPr>
      <w:ind w:firstLine="420" w:firstLineChars="200"/>
    </w:p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Balloon Text Char"/>
    <w:basedOn w:val="8"/>
    <w:link w:val="3"/>
    <w:semiHidden/>
    <w:qFormat/>
    <w:locked/>
    <w:uiPriority w:val="99"/>
    <w:rPr>
      <w:sz w:val="18"/>
      <w:szCs w:val="18"/>
    </w:rPr>
  </w:style>
  <w:style w:type="character" w:customStyle="1" w:styleId="10">
    <w:name w:val="Footer Char"/>
    <w:basedOn w:val="8"/>
    <w:link w:val="4"/>
    <w:qFormat/>
    <w:locked/>
    <w:uiPriority w:val="99"/>
    <w:rPr>
      <w:sz w:val="18"/>
      <w:szCs w:val="18"/>
    </w:rPr>
  </w:style>
  <w:style w:type="character" w:customStyle="1" w:styleId="11">
    <w:name w:val="Header Char"/>
    <w:basedOn w:val="8"/>
    <w:link w:val="5"/>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31</Pages>
  <Words>12629</Words>
  <Characters>14968</Characters>
  <Lines>0</Lines>
  <Paragraphs>0</Paragraphs>
  <TotalTime>11</TotalTime>
  <ScaleCrop>false</ScaleCrop>
  <LinksUpToDate>false</LinksUpToDate>
  <CharactersWithSpaces>16329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周红柏</cp:lastModifiedBy>
  <cp:lastPrinted>2022-08-03T02:47:00Z</cp:lastPrinted>
  <dcterms:modified xsi:type="dcterms:W3CDTF">2023-09-07T09:27:47Z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7A886FF238454519A0870F0655B18586_13</vt:lpwstr>
  </property>
</Properties>
</file>