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D7C" w:rsidRDefault="00BF1D7C">
      <w:pPr>
        <w:pStyle w:val="Default"/>
        <w:jc w:val="center"/>
        <w:rPr>
          <w:rFonts w:cs="Times New Roman"/>
          <w:sz w:val="56"/>
          <w:szCs w:val="56"/>
        </w:rPr>
      </w:pPr>
    </w:p>
    <w:p w:rsidR="00BF1D7C" w:rsidRDefault="00BF1D7C">
      <w:pPr>
        <w:pStyle w:val="Default"/>
        <w:jc w:val="center"/>
        <w:rPr>
          <w:rFonts w:cs="Times New Roman"/>
          <w:sz w:val="84"/>
          <w:szCs w:val="84"/>
        </w:rPr>
      </w:pPr>
    </w:p>
    <w:p w:rsidR="00BF1D7C" w:rsidRDefault="00A54150">
      <w:pPr>
        <w:pStyle w:val="Default"/>
        <w:jc w:val="center"/>
        <w:rPr>
          <w:rFonts w:ascii="宋体" w:eastAsia="宋体" w:hAnsi="宋体" w:cs="Times New Roman"/>
          <w:sz w:val="72"/>
          <w:szCs w:val="72"/>
        </w:rPr>
      </w:pPr>
      <w:r>
        <w:rPr>
          <w:rFonts w:ascii="宋体" w:eastAsia="宋体" w:hAnsi="宋体" w:cs="宋体"/>
          <w:sz w:val="72"/>
          <w:szCs w:val="72"/>
        </w:rPr>
        <w:t>2021</w:t>
      </w:r>
      <w:r>
        <w:rPr>
          <w:rFonts w:ascii="宋体" w:eastAsia="宋体" w:hAnsi="宋体" w:cs="宋体" w:hint="eastAsia"/>
          <w:sz w:val="72"/>
          <w:szCs w:val="72"/>
        </w:rPr>
        <w:t>年度</w:t>
      </w:r>
    </w:p>
    <w:p w:rsidR="00BF1D7C" w:rsidRDefault="00A54150">
      <w:pPr>
        <w:pStyle w:val="Default"/>
        <w:jc w:val="center"/>
        <w:rPr>
          <w:rFonts w:ascii="宋体" w:eastAsia="宋体" w:hAnsi="宋体" w:cs="Times New Roman"/>
          <w:sz w:val="72"/>
          <w:szCs w:val="72"/>
        </w:rPr>
      </w:pPr>
      <w:r>
        <w:rPr>
          <w:rFonts w:ascii="宋体" w:eastAsia="宋体" w:hAnsi="宋体" w:cs="宋体" w:hint="eastAsia"/>
          <w:sz w:val="72"/>
          <w:szCs w:val="72"/>
        </w:rPr>
        <w:t>湘潭县住房和城乡建设局（人防办）部门决算</w:t>
      </w:r>
    </w:p>
    <w:p w:rsidR="00BF1D7C" w:rsidRDefault="00BF1D7C">
      <w:pPr>
        <w:pStyle w:val="Default"/>
        <w:jc w:val="center"/>
        <w:rPr>
          <w:rFonts w:ascii="宋体" w:eastAsia="宋体" w:hAnsi="宋体" w:cs="Times New Roman"/>
          <w:sz w:val="72"/>
          <w:szCs w:val="72"/>
        </w:rPr>
      </w:pPr>
    </w:p>
    <w:p w:rsidR="00BF1D7C" w:rsidRDefault="00BF1D7C">
      <w:pPr>
        <w:pStyle w:val="Default"/>
        <w:jc w:val="center"/>
        <w:rPr>
          <w:rFonts w:cs="Times New Roman"/>
          <w:sz w:val="56"/>
          <w:szCs w:val="56"/>
        </w:rPr>
      </w:pPr>
    </w:p>
    <w:p w:rsidR="00BF1D7C" w:rsidRDefault="00BF1D7C">
      <w:pPr>
        <w:pStyle w:val="Default"/>
        <w:jc w:val="center"/>
        <w:rPr>
          <w:rFonts w:cs="Times New Roman"/>
          <w:sz w:val="56"/>
          <w:szCs w:val="56"/>
        </w:rPr>
      </w:pPr>
    </w:p>
    <w:p w:rsidR="00BF1D7C" w:rsidRDefault="00BF1D7C">
      <w:pPr>
        <w:pStyle w:val="Default"/>
        <w:jc w:val="center"/>
        <w:rPr>
          <w:rFonts w:cs="Times New Roman"/>
          <w:sz w:val="56"/>
          <w:szCs w:val="56"/>
        </w:rPr>
      </w:pPr>
    </w:p>
    <w:p w:rsidR="00BF1D7C" w:rsidRDefault="00BF1D7C">
      <w:pPr>
        <w:pStyle w:val="Default"/>
        <w:jc w:val="center"/>
        <w:rPr>
          <w:rFonts w:cs="Times New Roman"/>
          <w:sz w:val="32"/>
          <w:szCs w:val="32"/>
        </w:rPr>
      </w:pPr>
    </w:p>
    <w:p w:rsidR="00BF1D7C" w:rsidRDefault="00BF1D7C">
      <w:pPr>
        <w:pStyle w:val="Default"/>
        <w:jc w:val="center"/>
        <w:rPr>
          <w:rFonts w:cs="Times New Roman"/>
          <w:sz w:val="32"/>
          <w:szCs w:val="32"/>
        </w:rPr>
      </w:pPr>
    </w:p>
    <w:p w:rsidR="00BF1D7C" w:rsidRDefault="00BF1D7C">
      <w:pPr>
        <w:pStyle w:val="Default"/>
        <w:jc w:val="center"/>
        <w:rPr>
          <w:rFonts w:cs="Times New Roman"/>
          <w:sz w:val="32"/>
          <w:szCs w:val="32"/>
        </w:rPr>
      </w:pPr>
    </w:p>
    <w:p w:rsidR="00BF1D7C" w:rsidRDefault="00BF1D7C">
      <w:pPr>
        <w:pStyle w:val="Default"/>
        <w:spacing w:line="540" w:lineRule="exact"/>
        <w:jc w:val="center"/>
        <w:rPr>
          <w:rFonts w:cs="Times New Roman"/>
          <w:sz w:val="56"/>
          <w:szCs w:val="56"/>
        </w:rPr>
      </w:pPr>
    </w:p>
    <w:p w:rsidR="00BF1D7C" w:rsidRDefault="00BF1D7C">
      <w:pPr>
        <w:pStyle w:val="Default"/>
        <w:spacing w:line="540" w:lineRule="exact"/>
        <w:jc w:val="center"/>
        <w:rPr>
          <w:rFonts w:cs="Times New Roman"/>
          <w:sz w:val="56"/>
          <w:szCs w:val="56"/>
        </w:rPr>
      </w:pPr>
    </w:p>
    <w:p w:rsidR="00BF1D7C" w:rsidRDefault="00BF1D7C">
      <w:pPr>
        <w:pStyle w:val="Default"/>
        <w:spacing w:line="540" w:lineRule="exact"/>
        <w:jc w:val="center"/>
        <w:rPr>
          <w:rFonts w:cs="Times New Roman"/>
          <w:sz w:val="56"/>
          <w:szCs w:val="56"/>
        </w:rPr>
      </w:pPr>
    </w:p>
    <w:p w:rsidR="00BF1D7C" w:rsidRDefault="00BF1D7C">
      <w:pPr>
        <w:pStyle w:val="Default"/>
        <w:spacing w:line="540" w:lineRule="exact"/>
        <w:jc w:val="center"/>
        <w:rPr>
          <w:rFonts w:cs="Times New Roman"/>
          <w:sz w:val="56"/>
          <w:szCs w:val="56"/>
        </w:rPr>
      </w:pPr>
    </w:p>
    <w:p w:rsidR="00BF1D7C" w:rsidRDefault="00BF1D7C">
      <w:pPr>
        <w:pStyle w:val="Default"/>
        <w:spacing w:line="540" w:lineRule="exact"/>
        <w:jc w:val="center"/>
        <w:rPr>
          <w:rFonts w:cs="Times New Roman"/>
          <w:sz w:val="56"/>
          <w:szCs w:val="56"/>
        </w:rPr>
      </w:pPr>
    </w:p>
    <w:p w:rsidR="00BF1D7C" w:rsidRDefault="00BF1D7C">
      <w:pPr>
        <w:pStyle w:val="Default"/>
        <w:spacing w:line="500" w:lineRule="exact"/>
        <w:jc w:val="center"/>
        <w:rPr>
          <w:rFonts w:cs="Times New Roman"/>
          <w:b/>
          <w:bCs/>
          <w:sz w:val="36"/>
          <w:szCs w:val="36"/>
        </w:rPr>
      </w:pPr>
    </w:p>
    <w:p w:rsidR="00BF1D7C" w:rsidRDefault="00A54150">
      <w:pPr>
        <w:pStyle w:val="Default"/>
        <w:spacing w:line="500" w:lineRule="exact"/>
        <w:jc w:val="center"/>
        <w:rPr>
          <w:rFonts w:cs="Times New Roman"/>
          <w:b/>
          <w:bCs/>
          <w:sz w:val="36"/>
          <w:szCs w:val="36"/>
        </w:rPr>
      </w:pPr>
      <w:r>
        <w:rPr>
          <w:rFonts w:hint="eastAsia"/>
          <w:b/>
          <w:bCs/>
          <w:sz w:val="36"/>
          <w:szCs w:val="36"/>
        </w:rPr>
        <w:lastRenderedPageBreak/>
        <w:t>目录</w:t>
      </w:r>
    </w:p>
    <w:p w:rsidR="00BF1D7C" w:rsidRDefault="00A54150">
      <w:pPr>
        <w:pStyle w:val="Default"/>
        <w:spacing w:line="460" w:lineRule="exact"/>
        <w:rPr>
          <w:rFonts w:ascii="仿宋_GB2312" w:eastAsia="仿宋_GB2312" w:cs="Times New Roman"/>
          <w:b/>
          <w:bCs/>
          <w:sz w:val="28"/>
          <w:szCs w:val="28"/>
        </w:rPr>
      </w:pPr>
      <w:r>
        <w:rPr>
          <w:rFonts w:hint="eastAsia"/>
          <w:b/>
          <w:bCs/>
          <w:sz w:val="28"/>
          <w:szCs w:val="28"/>
        </w:rPr>
        <w:t>第一部分</w:t>
      </w:r>
      <w:r>
        <w:rPr>
          <w:rFonts w:hint="eastAsia"/>
          <w:b/>
          <w:sz w:val="28"/>
          <w:szCs w:val="28"/>
        </w:rPr>
        <w:t>湘潭</w:t>
      </w:r>
      <w:r>
        <w:rPr>
          <w:b/>
          <w:sz w:val="28"/>
          <w:szCs w:val="28"/>
        </w:rPr>
        <w:t>县住房和城乡建设局（</w:t>
      </w:r>
      <w:r>
        <w:rPr>
          <w:rFonts w:hint="eastAsia"/>
          <w:b/>
          <w:sz w:val="28"/>
          <w:szCs w:val="28"/>
        </w:rPr>
        <w:t>人</w:t>
      </w:r>
      <w:r>
        <w:rPr>
          <w:b/>
          <w:sz w:val="28"/>
          <w:szCs w:val="28"/>
        </w:rPr>
        <w:t>防办）</w:t>
      </w:r>
      <w:r>
        <w:rPr>
          <w:rFonts w:hint="eastAsia"/>
          <w:b/>
          <w:bCs/>
          <w:sz w:val="28"/>
          <w:szCs w:val="28"/>
        </w:rPr>
        <w:t>概况</w:t>
      </w:r>
    </w:p>
    <w:p w:rsidR="00BF1D7C" w:rsidRDefault="00A54150">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一、部门职责</w:t>
      </w:r>
    </w:p>
    <w:p w:rsidR="00BF1D7C" w:rsidRDefault="00A54150">
      <w:pPr>
        <w:pStyle w:val="Default"/>
        <w:spacing w:line="500" w:lineRule="exact"/>
        <w:ind w:left="142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此</w:t>
      </w:r>
      <w:r>
        <w:rPr>
          <w:rFonts w:asciiTheme="minorEastAsia" w:eastAsiaTheme="minorEastAsia" w:hAnsiTheme="minorEastAsia" w:cs="仿宋_GB2312"/>
          <w:sz w:val="28"/>
          <w:szCs w:val="28"/>
        </w:rPr>
        <w:t>项内容</w:t>
      </w:r>
      <w:r>
        <w:rPr>
          <w:rFonts w:asciiTheme="minorEastAsia" w:eastAsiaTheme="minorEastAsia" w:hAnsiTheme="minorEastAsia" w:cs="仿宋_GB2312" w:hint="eastAsia"/>
          <w:sz w:val="28"/>
          <w:szCs w:val="28"/>
        </w:rPr>
        <w:t>涉密不予公开</w:t>
      </w:r>
    </w:p>
    <w:p w:rsidR="00BF1D7C" w:rsidRDefault="00A54150">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二、机构设置</w:t>
      </w:r>
    </w:p>
    <w:p w:rsidR="00BF1D7C" w:rsidRDefault="00A54150">
      <w:pPr>
        <w:pStyle w:val="Default"/>
        <w:spacing w:line="500" w:lineRule="exact"/>
        <w:ind w:left="142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此</w:t>
      </w:r>
      <w:r>
        <w:rPr>
          <w:rFonts w:asciiTheme="minorEastAsia" w:eastAsiaTheme="minorEastAsia" w:hAnsiTheme="minorEastAsia" w:cs="仿宋_GB2312"/>
          <w:sz w:val="28"/>
          <w:szCs w:val="28"/>
        </w:rPr>
        <w:t>项内容</w:t>
      </w:r>
      <w:r>
        <w:rPr>
          <w:rFonts w:asciiTheme="minorEastAsia" w:eastAsiaTheme="minorEastAsia" w:hAnsiTheme="minorEastAsia" w:cs="仿宋_GB2312" w:hint="eastAsia"/>
          <w:sz w:val="28"/>
          <w:szCs w:val="28"/>
        </w:rPr>
        <w:t>涉密不予公开</w:t>
      </w:r>
    </w:p>
    <w:p w:rsidR="00BF1D7C" w:rsidRDefault="00A54150">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2021</w:t>
      </w:r>
      <w:r>
        <w:rPr>
          <w:rFonts w:hAnsi="仿宋_GB2312" w:hint="eastAsia"/>
          <w:b/>
          <w:bCs/>
          <w:sz w:val="28"/>
          <w:szCs w:val="28"/>
        </w:rPr>
        <w:t>年度部门决算表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BF1D7C" w:rsidRDefault="00A54150">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2021</w:t>
      </w:r>
      <w:r>
        <w:rPr>
          <w:rFonts w:hAnsi="仿宋_GB2312" w:hint="eastAsia"/>
          <w:b/>
          <w:bCs/>
          <w:sz w:val="28"/>
          <w:szCs w:val="28"/>
        </w:rPr>
        <w:t>年度部门决算情况说明</w:t>
      </w:r>
    </w:p>
    <w:p w:rsidR="00BF1D7C" w:rsidRDefault="00A54150">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BF1D7C" w:rsidRDefault="00A54150">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十、一般性支出情况</w:t>
      </w:r>
    </w:p>
    <w:p w:rsidR="00BF1D7C" w:rsidRDefault="00A54150">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BF1D7C" w:rsidRDefault="00A54150">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BF1D7C" w:rsidRDefault="00A54150">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2021</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BF1D7C" w:rsidRDefault="00A54150">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lastRenderedPageBreak/>
        <w:t>第四部分名词解释</w:t>
      </w:r>
    </w:p>
    <w:p w:rsidR="00BF1D7C" w:rsidRDefault="00A54150">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BF1D7C" w:rsidRDefault="00A54150">
      <w:pPr>
        <w:pStyle w:val="Default"/>
        <w:jc w:val="center"/>
        <w:rPr>
          <w:rFonts w:ascii="宋体" w:eastAsia="宋体" w:hAnsi="宋体" w:cs="Times New Roman"/>
          <w:sz w:val="72"/>
          <w:szCs w:val="72"/>
        </w:rPr>
      </w:pPr>
      <w:r>
        <w:rPr>
          <w:rFonts w:ascii="宋体" w:eastAsia="宋体" w:hAnsi="宋体" w:cs="宋体" w:hint="eastAsia"/>
          <w:sz w:val="72"/>
          <w:szCs w:val="72"/>
        </w:rPr>
        <w:t>第一部分</w:t>
      </w:r>
    </w:p>
    <w:p w:rsidR="00BF1D7C" w:rsidRDefault="00BF1D7C">
      <w:pPr>
        <w:pStyle w:val="Default"/>
        <w:jc w:val="center"/>
        <w:rPr>
          <w:rFonts w:ascii="宋体" w:eastAsia="宋体" w:hAnsi="宋体" w:cs="Times New Roman"/>
          <w:sz w:val="72"/>
          <w:szCs w:val="72"/>
        </w:rPr>
      </w:pPr>
    </w:p>
    <w:p w:rsidR="00BF1D7C" w:rsidRDefault="00A54150">
      <w:pPr>
        <w:pStyle w:val="Default"/>
        <w:jc w:val="center"/>
        <w:rPr>
          <w:rFonts w:cs="Times New Roman"/>
          <w:sz w:val="84"/>
          <w:szCs w:val="84"/>
        </w:rPr>
      </w:pPr>
      <w:r>
        <w:rPr>
          <w:rFonts w:ascii="宋体" w:eastAsia="宋体" w:hAnsi="宋体" w:cs="宋体" w:hint="eastAsia"/>
          <w:sz w:val="72"/>
          <w:szCs w:val="72"/>
        </w:rPr>
        <w:t>湘潭县</w:t>
      </w:r>
      <w:r>
        <w:rPr>
          <w:rFonts w:ascii="宋体" w:eastAsia="宋体" w:hAnsi="宋体" w:cs="宋体"/>
          <w:sz w:val="72"/>
          <w:szCs w:val="72"/>
        </w:rPr>
        <w:t>住房和城乡</w:t>
      </w:r>
      <w:r>
        <w:rPr>
          <w:rFonts w:ascii="宋体" w:eastAsia="宋体" w:hAnsi="宋体" w:cs="宋体" w:hint="eastAsia"/>
          <w:sz w:val="72"/>
          <w:szCs w:val="72"/>
        </w:rPr>
        <w:t>建设</w:t>
      </w:r>
      <w:r>
        <w:rPr>
          <w:rFonts w:ascii="宋体" w:eastAsia="宋体" w:hAnsi="宋体" w:cs="宋体"/>
          <w:sz w:val="72"/>
          <w:szCs w:val="72"/>
        </w:rPr>
        <w:t>局（人防办）</w:t>
      </w:r>
      <w:r>
        <w:rPr>
          <w:rFonts w:ascii="宋体" w:eastAsia="宋体" w:hAnsi="宋体" w:cs="宋体" w:hint="eastAsia"/>
          <w:sz w:val="72"/>
          <w:szCs w:val="72"/>
        </w:rPr>
        <w:t>单位概况</w:t>
      </w:r>
    </w:p>
    <w:p w:rsidR="00BF1D7C" w:rsidRDefault="00BF1D7C">
      <w:pPr>
        <w:jc w:val="center"/>
        <w:rPr>
          <w:rFonts w:cs="Times New Roman"/>
          <w:sz w:val="72"/>
          <w:szCs w:val="72"/>
        </w:rPr>
      </w:pPr>
    </w:p>
    <w:p w:rsidR="00BF1D7C" w:rsidRDefault="00BF1D7C">
      <w:pPr>
        <w:jc w:val="center"/>
        <w:rPr>
          <w:rFonts w:cs="Times New Roman"/>
          <w:sz w:val="72"/>
          <w:szCs w:val="72"/>
        </w:rPr>
      </w:pPr>
    </w:p>
    <w:p w:rsidR="00BF1D7C" w:rsidRDefault="00BF1D7C">
      <w:pPr>
        <w:jc w:val="center"/>
        <w:rPr>
          <w:rFonts w:cs="Times New Roman"/>
          <w:sz w:val="72"/>
          <w:szCs w:val="72"/>
        </w:rPr>
      </w:pPr>
    </w:p>
    <w:p w:rsidR="00BF1D7C" w:rsidRDefault="00BF1D7C">
      <w:pPr>
        <w:pStyle w:val="a7"/>
        <w:ind w:left="720" w:firstLineChars="0" w:firstLine="0"/>
        <w:jc w:val="left"/>
        <w:rPr>
          <w:rFonts w:ascii="黑体" w:eastAsia="黑体" w:hAnsi="黑体" w:cs="Times New Roman"/>
          <w:sz w:val="32"/>
          <w:szCs w:val="32"/>
        </w:rPr>
      </w:pPr>
    </w:p>
    <w:p w:rsidR="00BF1D7C" w:rsidRDefault="00A54150">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BF1D7C" w:rsidRDefault="00A54150">
      <w:pPr>
        <w:pStyle w:val="Default"/>
        <w:spacing w:line="500" w:lineRule="exact"/>
        <w:ind w:left="720"/>
        <w:rPr>
          <w:rFonts w:ascii="宋体" w:eastAsia="宋体" w:hAnsi="宋体" w:cs="宋体"/>
          <w:color w:val="auto"/>
          <w:sz w:val="32"/>
          <w:szCs w:val="32"/>
        </w:rPr>
      </w:pPr>
      <w:r>
        <w:rPr>
          <w:rFonts w:ascii="宋体" w:eastAsia="宋体" w:hAnsi="宋体" w:cs="宋体" w:hint="eastAsia"/>
          <w:color w:val="auto"/>
          <w:sz w:val="32"/>
          <w:szCs w:val="32"/>
        </w:rPr>
        <w:t>此</w:t>
      </w:r>
      <w:r>
        <w:rPr>
          <w:rFonts w:ascii="宋体" w:eastAsia="宋体" w:hAnsi="宋体" w:cs="宋体"/>
          <w:color w:val="auto"/>
          <w:sz w:val="32"/>
          <w:szCs w:val="32"/>
        </w:rPr>
        <w:t>项内容</w:t>
      </w:r>
      <w:r>
        <w:rPr>
          <w:rFonts w:ascii="宋体" w:eastAsia="宋体" w:hAnsi="宋体" w:cs="宋体" w:hint="eastAsia"/>
          <w:color w:val="auto"/>
          <w:sz w:val="32"/>
          <w:szCs w:val="32"/>
        </w:rPr>
        <w:t>涉密不予公开</w:t>
      </w:r>
    </w:p>
    <w:p w:rsidR="00BF1D7C" w:rsidRDefault="00A54150">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BF1D7C" w:rsidRDefault="00A54150">
      <w:pPr>
        <w:pStyle w:val="Default"/>
        <w:spacing w:line="500" w:lineRule="exact"/>
        <w:rPr>
          <w:rFonts w:ascii="宋体" w:eastAsia="宋体" w:hAnsi="宋体" w:cs="宋体"/>
          <w:color w:val="auto"/>
          <w:sz w:val="32"/>
          <w:szCs w:val="32"/>
        </w:rPr>
      </w:pPr>
      <w:r>
        <w:rPr>
          <w:rFonts w:ascii="宋体" w:eastAsia="宋体" w:hAnsi="宋体" w:cs="宋体" w:hint="eastAsia"/>
          <w:color w:val="auto"/>
          <w:sz w:val="32"/>
          <w:szCs w:val="32"/>
        </w:rPr>
        <w:t>（一）内设机构设置。湘潭县</w:t>
      </w:r>
      <w:r>
        <w:rPr>
          <w:rFonts w:ascii="宋体" w:eastAsia="宋体" w:hAnsi="宋体" w:cs="宋体"/>
          <w:color w:val="auto"/>
          <w:sz w:val="32"/>
          <w:szCs w:val="32"/>
        </w:rPr>
        <w:t>住房城乡建设局（人防办）</w:t>
      </w:r>
      <w:r>
        <w:rPr>
          <w:rFonts w:ascii="宋体" w:eastAsia="宋体" w:hAnsi="宋体" w:cs="宋体" w:hint="eastAsia"/>
          <w:color w:val="auto"/>
          <w:sz w:val="32"/>
          <w:szCs w:val="32"/>
        </w:rPr>
        <w:t>内设机构此</w:t>
      </w:r>
      <w:r>
        <w:rPr>
          <w:rFonts w:ascii="宋体" w:eastAsia="宋体" w:hAnsi="宋体" w:cs="宋体"/>
          <w:color w:val="auto"/>
          <w:sz w:val="32"/>
          <w:szCs w:val="32"/>
        </w:rPr>
        <w:t>项内容</w:t>
      </w:r>
      <w:r>
        <w:rPr>
          <w:rFonts w:ascii="宋体" w:eastAsia="宋体" w:hAnsi="宋体" w:cs="宋体" w:hint="eastAsia"/>
          <w:color w:val="auto"/>
          <w:sz w:val="32"/>
          <w:szCs w:val="32"/>
        </w:rPr>
        <w:t>涉密不予公开。</w:t>
      </w:r>
    </w:p>
    <w:p w:rsidR="00BF1D7C" w:rsidRDefault="00A54150">
      <w:pPr>
        <w:jc w:val="left"/>
        <w:rPr>
          <w:rFonts w:asciiTheme="minorEastAsia" w:hAnsiTheme="minorEastAsia"/>
          <w:bCs/>
          <w:kern w:val="0"/>
          <w:sz w:val="32"/>
          <w:szCs w:val="32"/>
        </w:rPr>
      </w:pPr>
      <w:r>
        <w:rPr>
          <w:rFonts w:ascii="宋体" w:hAnsi="宋体" w:cs="宋体" w:hint="eastAsia"/>
          <w:kern w:val="0"/>
          <w:sz w:val="32"/>
          <w:szCs w:val="32"/>
        </w:rPr>
        <w:t>（二）决算单位构成。</w:t>
      </w:r>
      <w:r>
        <w:rPr>
          <w:rFonts w:asciiTheme="minorEastAsia" w:hAnsiTheme="minorEastAsia" w:hint="eastAsia"/>
          <w:bCs/>
          <w:kern w:val="0"/>
          <w:sz w:val="32"/>
          <w:szCs w:val="32"/>
        </w:rPr>
        <w:t>湘潭县</w:t>
      </w:r>
      <w:r>
        <w:rPr>
          <w:rFonts w:asciiTheme="minorEastAsia" w:hAnsiTheme="minorEastAsia"/>
          <w:bCs/>
          <w:kern w:val="0"/>
          <w:sz w:val="32"/>
          <w:szCs w:val="32"/>
        </w:rPr>
        <w:t>住房和城乡建设局（人防办）20</w:t>
      </w:r>
      <w:r>
        <w:rPr>
          <w:rFonts w:asciiTheme="minorEastAsia" w:hAnsiTheme="minorEastAsia" w:hint="eastAsia"/>
          <w:bCs/>
          <w:kern w:val="0"/>
          <w:sz w:val="32"/>
          <w:szCs w:val="32"/>
        </w:rPr>
        <w:t>20年部门决算汇总公开单位构成包括：湘潭县</w:t>
      </w:r>
      <w:r>
        <w:rPr>
          <w:rFonts w:asciiTheme="minorEastAsia" w:hAnsiTheme="minorEastAsia"/>
          <w:bCs/>
          <w:kern w:val="0"/>
          <w:sz w:val="32"/>
          <w:szCs w:val="32"/>
        </w:rPr>
        <w:t>住房城乡建设局（人防办）</w:t>
      </w:r>
      <w:r>
        <w:rPr>
          <w:rFonts w:asciiTheme="minorEastAsia" w:hAnsiTheme="minorEastAsia" w:hint="eastAsia"/>
          <w:bCs/>
          <w:kern w:val="0"/>
          <w:sz w:val="32"/>
          <w:szCs w:val="32"/>
        </w:rPr>
        <w:t>本级以及湘潭县城</w:t>
      </w:r>
      <w:r>
        <w:rPr>
          <w:rFonts w:asciiTheme="minorEastAsia" w:hAnsiTheme="minorEastAsia"/>
          <w:bCs/>
          <w:kern w:val="0"/>
          <w:sz w:val="32"/>
          <w:szCs w:val="32"/>
        </w:rPr>
        <w:t>建档案馆、湘潭县</w:t>
      </w:r>
      <w:r>
        <w:rPr>
          <w:rFonts w:asciiTheme="minorEastAsia" w:hAnsiTheme="minorEastAsia" w:hint="eastAsia"/>
          <w:bCs/>
          <w:kern w:val="0"/>
          <w:sz w:val="32"/>
          <w:szCs w:val="32"/>
        </w:rPr>
        <w:t>建设</w:t>
      </w:r>
      <w:r>
        <w:rPr>
          <w:rFonts w:asciiTheme="minorEastAsia" w:hAnsiTheme="minorEastAsia"/>
          <w:bCs/>
          <w:kern w:val="0"/>
          <w:sz w:val="32"/>
          <w:szCs w:val="32"/>
        </w:rPr>
        <w:t>工程质量</w:t>
      </w:r>
      <w:r>
        <w:rPr>
          <w:rFonts w:asciiTheme="minorEastAsia" w:hAnsiTheme="minorEastAsia" w:hint="eastAsia"/>
          <w:bCs/>
          <w:kern w:val="0"/>
          <w:sz w:val="32"/>
          <w:szCs w:val="32"/>
        </w:rPr>
        <w:t>安</w:t>
      </w:r>
      <w:r>
        <w:rPr>
          <w:rFonts w:asciiTheme="minorEastAsia" w:hAnsiTheme="minorEastAsia"/>
          <w:bCs/>
          <w:kern w:val="0"/>
          <w:sz w:val="32"/>
          <w:szCs w:val="32"/>
        </w:rPr>
        <w:t>全监督管理站</w:t>
      </w:r>
      <w:r>
        <w:rPr>
          <w:rFonts w:asciiTheme="minorEastAsia" w:hAnsiTheme="minorEastAsia" w:hint="eastAsia"/>
          <w:bCs/>
          <w:kern w:val="0"/>
          <w:sz w:val="32"/>
          <w:szCs w:val="32"/>
        </w:rPr>
        <w:t>2个</w:t>
      </w:r>
      <w:r>
        <w:rPr>
          <w:rFonts w:asciiTheme="minorEastAsia" w:hAnsiTheme="minorEastAsia"/>
          <w:bCs/>
          <w:kern w:val="0"/>
          <w:sz w:val="32"/>
          <w:szCs w:val="32"/>
        </w:rPr>
        <w:t>二级机构</w:t>
      </w:r>
      <w:r>
        <w:rPr>
          <w:rFonts w:asciiTheme="minorEastAsia" w:hAnsiTheme="minorEastAsia" w:hint="eastAsia"/>
          <w:bCs/>
          <w:kern w:val="0"/>
          <w:sz w:val="32"/>
          <w:szCs w:val="32"/>
        </w:rPr>
        <w:t>(</w:t>
      </w:r>
      <w:r>
        <w:rPr>
          <w:rFonts w:asciiTheme="minorEastAsia" w:hAnsiTheme="minorEastAsia"/>
          <w:bCs/>
          <w:kern w:val="0"/>
          <w:sz w:val="32"/>
          <w:szCs w:val="32"/>
        </w:rPr>
        <w:t>湘潭县建筑工程检测中心</w:t>
      </w:r>
      <w:r>
        <w:rPr>
          <w:rFonts w:asciiTheme="minorEastAsia" w:hAnsiTheme="minorEastAsia" w:hint="eastAsia"/>
          <w:bCs/>
          <w:kern w:val="0"/>
          <w:sz w:val="32"/>
          <w:szCs w:val="32"/>
        </w:rPr>
        <w:t>因机构改革已变更为企业）</w:t>
      </w:r>
      <w:r>
        <w:rPr>
          <w:rFonts w:asciiTheme="minorEastAsia" w:hAnsiTheme="minorEastAsia"/>
          <w:bCs/>
          <w:kern w:val="0"/>
          <w:sz w:val="32"/>
          <w:szCs w:val="32"/>
        </w:rPr>
        <w:t>。</w:t>
      </w:r>
      <w:r>
        <w:rPr>
          <w:rFonts w:asciiTheme="minorEastAsia" w:hAnsiTheme="minorEastAsia" w:hint="eastAsia"/>
          <w:bCs/>
          <w:kern w:val="0"/>
          <w:sz w:val="32"/>
          <w:szCs w:val="32"/>
        </w:rPr>
        <w:t xml:space="preserve"> </w:t>
      </w:r>
    </w:p>
    <w:p w:rsidR="00BF1D7C" w:rsidRDefault="00BF1D7C">
      <w:pPr>
        <w:widowControl/>
        <w:spacing w:line="600" w:lineRule="exact"/>
        <w:rPr>
          <w:rFonts w:ascii="仿宋_GB2312" w:eastAsia="仿宋_GB2312" w:hAnsi="宋体" w:cs="Times New Roman"/>
          <w:sz w:val="28"/>
          <w:szCs w:val="28"/>
        </w:rPr>
      </w:pPr>
    </w:p>
    <w:p w:rsidR="00BF1D7C" w:rsidRDefault="00BF1D7C">
      <w:pPr>
        <w:jc w:val="center"/>
        <w:rPr>
          <w:rFonts w:ascii="黑体" w:eastAsia="黑体" w:hAnsi="黑体" w:cs="Times New Roman"/>
          <w:sz w:val="28"/>
          <w:szCs w:val="28"/>
        </w:rPr>
      </w:pPr>
    </w:p>
    <w:p w:rsidR="00BF1D7C" w:rsidRDefault="00BF1D7C">
      <w:pPr>
        <w:jc w:val="center"/>
        <w:rPr>
          <w:rFonts w:ascii="黑体" w:eastAsia="黑体" w:hAnsi="黑体" w:cs="Times New Roman"/>
          <w:sz w:val="28"/>
          <w:szCs w:val="28"/>
        </w:rPr>
      </w:pPr>
    </w:p>
    <w:p w:rsidR="00BF1D7C" w:rsidRDefault="00BF1D7C">
      <w:pPr>
        <w:jc w:val="center"/>
        <w:rPr>
          <w:rFonts w:ascii="黑体" w:eastAsia="黑体" w:hAnsi="黑体" w:cs="Times New Roman"/>
          <w:sz w:val="28"/>
          <w:szCs w:val="28"/>
        </w:rPr>
      </w:pPr>
    </w:p>
    <w:p w:rsidR="00BF1D7C" w:rsidRDefault="00A54150">
      <w:pPr>
        <w:jc w:val="center"/>
        <w:rPr>
          <w:rFonts w:cs="Times New Roman"/>
          <w:sz w:val="72"/>
          <w:szCs w:val="72"/>
        </w:rPr>
      </w:pPr>
      <w:r>
        <w:rPr>
          <w:rFonts w:cs="宋体" w:hint="eastAsia"/>
          <w:sz w:val="72"/>
          <w:szCs w:val="72"/>
        </w:rPr>
        <w:t>第二部分</w:t>
      </w:r>
    </w:p>
    <w:p w:rsidR="00BF1D7C" w:rsidRDefault="00BF1D7C">
      <w:pPr>
        <w:jc w:val="center"/>
        <w:rPr>
          <w:rFonts w:cs="Times New Roman"/>
          <w:sz w:val="72"/>
          <w:szCs w:val="72"/>
        </w:rPr>
      </w:pPr>
    </w:p>
    <w:p w:rsidR="00BF1D7C" w:rsidRDefault="00A54150">
      <w:pPr>
        <w:jc w:val="center"/>
        <w:rPr>
          <w:rFonts w:cs="Times New Roman"/>
          <w:sz w:val="72"/>
          <w:szCs w:val="72"/>
        </w:rPr>
      </w:pPr>
      <w:r>
        <w:rPr>
          <w:rFonts w:cs="宋体" w:hint="eastAsia"/>
          <w:sz w:val="72"/>
          <w:szCs w:val="72"/>
        </w:rPr>
        <w:t>部门决算表</w:t>
      </w:r>
    </w:p>
    <w:p w:rsidR="00BF1D7C" w:rsidRDefault="00BF1D7C">
      <w:pPr>
        <w:jc w:val="center"/>
        <w:rPr>
          <w:rFonts w:cs="Times New Roman"/>
          <w:sz w:val="72"/>
          <w:szCs w:val="72"/>
        </w:rPr>
      </w:pPr>
    </w:p>
    <w:p w:rsidR="00BF1D7C" w:rsidRDefault="00BF1D7C">
      <w:pPr>
        <w:spacing w:line="560" w:lineRule="exact"/>
        <w:jc w:val="center"/>
        <w:rPr>
          <w:rFonts w:cs="Times New Roman"/>
          <w:sz w:val="72"/>
          <w:szCs w:val="72"/>
        </w:rPr>
      </w:pPr>
    </w:p>
    <w:p w:rsidR="00BF1D7C" w:rsidRDefault="00BF1D7C">
      <w:pPr>
        <w:spacing w:line="560" w:lineRule="exact"/>
        <w:jc w:val="center"/>
        <w:rPr>
          <w:rFonts w:cs="Times New Roman"/>
          <w:sz w:val="72"/>
          <w:szCs w:val="72"/>
        </w:rPr>
      </w:pPr>
    </w:p>
    <w:p w:rsidR="00BF1D7C" w:rsidRDefault="00BF1D7C">
      <w:pPr>
        <w:spacing w:line="560" w:lineRule="exact"/>
        <w:jc w:val="center"/>
        <w:rPr>
          <w:rFonts w:cs="Times New Roman"/>
          <w:sz w:val="72"/>
          <w:szCs w:val="72"/>
        </w:rPr>
      </w:pPr>
    </w:p>
    <w:p w:rsidR="00BF1D7C" w:rsidRDefault="00BF1D7C">
      <w:pPr>
        <w:jc w:val="left"/>
        <w:rPr>
          <w:rFonts w:ascii="宋体" w:cs="Times New Roman"/>
          <w:sz w:val="32"/>
          <w:szCs w:val="32"/>
        </w:rPr>
        <w:sectPr w:rsidR="00BF1D7C">
          <w:pgSz w:w="11906" w:h="16838"/>
          <w:pgMar w:top="1440" w:right="1797" w:bottom="1440" w:left="1797" w:header="851" w:footer="992" w:gutter="0"/>
          <w:cols w:space="0"/>
          <w:docGrid w:type="lines" w:linePitch="312"/>
        </w:sectPr>
      </w:pPr>
    </w:p>
    <w:tbl>
      <w:tblPr>
        <w:tblW w:w="14869" w:type="dxa"/>
        <w:tblInd w:w="-106" w:type="dxa"/>
        <w:tblLook w:val="04A0"/>
      </w:tblPr>
      <w:tblGrid>
        <w:gridCol w:w="4126"/>
        <w:gridCol w:w="449"/>
        <w:gridCol w:w="631"/>
        <w:gridCol w:w="1387"/>
        <w:gridCol w:w="98"/>
        <w:gridCol w:w="232"/>
        <w:gridCol w:w="3468"/>
        <w:gridCol w:w="845"/>
        <w:gridCol w:w="1460"/>
        <w:gridCol w:w="657"/>
        <w:gridCol w:w="1516"/>
      </w:tblGrid>
      <w:tr w:rsidR="00BF1D7C">
        <w:trPr>
          <w:trHeight w:val="360"/>
        </w:trPr>
        <w:tc>
          <w:tcPr>
            <w:tcW w:w="14869" w:type="dxa"/>
            <w:gridSpan w:val="11"/>
            <w:tcBorders>
              <w:top w:val="nil"/>
              <w:left w:val="nil"/>
              <w:bottom w:val="nil"/>
              <w:right w:val="nil"/>
            </w:tcBorders>
            <w:noWrap/>
            <w:vAlign w:val="center"/>
          </w:tcPr>
          <w:p w:rsidR="00BF1D7C" w:rsidRDefault="00A54150">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BF1D7C">
        <w:trPr>
          <w:trHeight w:val="199"/>
        </w:trPr>
        <w:tc>
          <w:tcPr>
            <w:tcW w:w="5206" w:type="dxa"/>
            <w:gridSpan w:val="3"/>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85" w:type="dxa"/>
            <w:gridSpan w:val="2"/>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BF1D7C">
        <w:trPr>
          <w:trHeight w:val="300"/>
        </w:trPr>
        <w:tc>
          <w:tcPr>
            <w:tcW w:w="5206" w:type="dxa"/>
            <w:gridSpan w:val="3"/>
            <w:tcBorders>
              <w:top w:val="nil"/>
              <w:left w:val="nil"/>
              <w:bottom w:val="nil"/>
              <w:right w:val="nil"/>
            </w:tcBorders>
            <w:shd w:val="clear" w:color="000000" w:fill="FFFFFF"/>
            <w:noWrap/>
            <w:vAlign w:val="center"/>
          </w:tcPr>
          <w:p w:rsidR="00BF1D7C" w:rsidRDefault="00A54150">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Pr>
                <w:rFonts w:ascii="宋体" w:hAnsi="宋体" w:cs="Arial" w:hint="eastAsia"/>
                <w:color w:val="000000"/>
                <w:kern w:val="0"/>
                <w:sz w:val="20"/>
                <w:szCs w:val="20"/>
              </w:rPr>
              <w:t>湘潭县住房和城乡建设局（人防办）</w:t>
            </w:r>
          </w:p>
        </w:tc>
        <w:tc>
          <w:tcPr>
            <w:tcW w:w="1485" w:type="dxa"/>
            <w:gridSpan w:val="2"/>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BF1D7C">
        <w:trPr>
          <w:trHeight w:val="340"/>
        </w:trPr>
        <w:tc>
          <w:tcPr>
            <w:tcW w:w="6593"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支出</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行次</w:t>
            </w:r>
          </w:p>
        </w:tc>
        <w:tc>
          <w:tcPr>
            <w:tcW w:w="2018" w:type="dxa"/>
            <w:gridSpan w:val="2"/>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决算数</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018" w:type="dxa"/>
            <w:gridSpan w:val="2"/>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2</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1</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15473.05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27</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3118.23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2</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1794.41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28</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3</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29</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31.57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4</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30</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5</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31</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6</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32</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7</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BF1D7C" w:rsidRDefault="00A54150">
            <w:pPr>
              <w:jc w:val="left"/>
              <w:rPr>
                <w:rFonts w:ascii="宋体" w:hAnsi="宋体" w:cs="Arial"/>
                <w:color w:val="000000"/>
                <w:sz w:val="22"/>
                <w:szCs w:val="22"/>
              </w:rPr>
            </w:pPr>
            <w:r>
              <w:rPr>
                <w:rFonts w:cs="Arial" w:hint="eastAsia"/>
                <w:color w:val="000000"/>
                <w:sz w:val="22"/>
                <w:szCs w:val="22"/>
              </w:rPr>
              <w:t>七、文化旅游体育与传媒支出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33</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8</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34</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6.41</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9</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2"/>
                <w:szCs w:val="22"/>
              </w:rPr>
            </w:pPr>
            <w:r>
              <w:rPr>
                <w:rFonts w:ascii="宋体" w:hAnsi="宋体" w:cs="宋体" w:hint="eastAsia"/>
                <w:kern w:val="0"/>
                <w:sz w:val="22"/>
                <w:szCs w:val="22"/>
              </w:rPr>
              <w:t>九、卫生健康支出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35</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b/>
                <w:bCs/>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10</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2"/>
                <w:szCs w:val="22"/>
              </w:rPr>
            </w:pPr>
            <w:r>
              <w:rPr>
                <w:rFonts w:ascii="宋体" w:hAnsi="宋体" w:cs="宋体" w:hint="eastAsia"/>
                <w:kern w:val="0"/>
                <w:sz w:val="22"/>
                <w:szCs w:val="22"/>
              </w:rPr>
              <w:t>十、节能环保支出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36</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hAnsi="宋体" w:cs="宋体"/>
                <w:kern w:val="0"/>
                <w:sz w:val="22"/>
                <w:szCs w:val="22"/>
              </w:rPr>
            </w:pPr>
            <w:r>
              <w:rPr>
                <w:rFonts w:ascii="宋体" w:hAnsi="宋体" w:cs="宋体" w:hint="eastAsia"/>
                <w:kern w:val="0"/>
                <w:sz w:val="22"/>
                <w:szCs w:val="22"/>
              </w:rPr>
              <w:t>1476.42</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11</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2"/>
                <w:szCs w:val="22"/>
              </w:rPr>
            </w:pPr>
            <w:r>
              <w:rPr>
                <w:rFonts w:ascii="宋体" w:hAnsi="宋体" w:cs="宋体" w:hint="eastAsia"/>
                <w:kern w:val="0"/>
                <w:sz w:val="22"/>
                <w:szCs w:val="22"/>
              </w:rPr>
              <w:t>十一、城乡社区支出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37</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hAnsi="宋体" w:cs="宋体"/>
                <w:bCs/>
                <w:kern w:val="0"/>
                <w:sz w:val="22"/>
                <w:szCs w:val="22"/>
              </w:rPr>
            </w:pPr>
            <w:r>
              <w:rPr>
                <w:rFonts w:ascii="宋体" w:hAnsi="宋体" w:cs="宋体" w:hint="eastAsia"/>
                <w:bCs/>
                <w:kern w:val="0"/>
                <w:sz w:val="22"/>
                <w:szCs w:val="22"/>
              </w:rPr>
              <w:t>3002.66</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12</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2"/>
                <w:szCs w:val="22"/>
              </w:rPr>
            </w:pPr>
            <w:r>
              <w:rPr>
                <w:rFonts w:ascii="宋体" w:hAnsi="宋体" w:cs="宋体" w:hint="eastAsia"/>
                <w:kern w:val="0"/>
                <w:sz w:val="22"/>
                <w:szCs w:val="22"/>
              </w:rPr>
              <w:t>十三、交通运输支出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38</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hAnsi="宋体" w:cs="宋体"/>
                <w:bCs/>
                <w:kern w:val="0"/>
                <w:sz w:val="22"/>
                <w:szCs w:val="22"/>
              </w:rPr>
            </w:pPr>
            <w:r>
              <w:rPr>
                <w:rFonts w:ascii="宋体" w:hAnsi="宋体" w:cs="宋体" w:hint="eastAsia"/>
                <w:bCs/>
                <w:kern w:val="0"/>
                <w:sz w:val="22"/>
                <w:szCs w:val="22"/>
              </w:rPr>
              <w:t>12.82</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13</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2"/>
                <w:szCs w:val="22"/>
              </w:rPr>
            </w:pPr>
            <w:r>
              <w:rPr>
                <w:rFonts w:ascii="宋体" w:hAnsi="宋体" w:cs="宋体" w:hint="eastAsia"/>
                <w:kern w:val="0"/>
                <w:sz w:val="22"/>
                <w:szCs w:val="22"/>
              </w:rPr>
              <w:t>十八、自然资源海洋气象等支出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39</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hAnsi="宋体" w:cs="宋体"/>
                <w:bCs/>
                <w:kern w:val="0"/>
                <w:sz w:val="22"/>
                <w:szCs w:val="22"/>
              </w:rPr>
            </w:pPr>
            <w:r>
              <w:rPr>
                <w:rFonts w:ascii="宋体" w:hAnsi="宋体" w:cs="宋体" w:hint="eastAsia"/>
                <w:bCs/>
                <w:kern w:val="0"/>
                <w:sz w:val="22"/>
                <w:szCs w:val="22"/>
              </w:rPr>
              <w:t>4.54</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14</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0"/>
                <w:szCs w:val="20"/>
              </w:rPr>
            </w:pPr>
            <w:r>
              <w:rPr>
                <w:rFonts w:ascii="宋体" w:hAnsi="宋体" w:cs="宋体" w:hint="eastAsia"/>
                <w:kern w:val="0"/>
                <w:sz w:val="22"/>
                <w:szCs w:val="22"/>
              </w:rPr>
              <w:t>十九、住房保障支出</w:t>
            </w:r>
            <w:r>
              <w:rPr>
                <w:rFonts w:ascii="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40</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bCs/>
                <w:kern w:val="0"/>
                <w:sz w:val="22"/>
              </w:rPr>
            </w:pPr>
            <w:r>
              <w:rPr>
                <w:rFonts w:ascii="宋体" w:hAnsi="宋体" w:cs="宋体" w:hint="eastAsia"/>
                <w:bCs/>
                <w:kern w:val="0"/>
                <w:sz w:val="22"/>
                <w:szCs w:val="22"/>
              </w:rPr>
              <w:t xml:space="preserve">10541.22　</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15</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二十、粮油物资储备支出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41</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16</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二十一、国有资本经营预算支出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42</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17</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二十二、灾害防治及应急管理支出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43</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18</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二十三、其他支出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44</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19</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二十四、债务还本支出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45</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20</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二十五、债务付息支出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46</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21</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b/>
                <w:bCs/>
                <w:kern w:val="0"/>
                <w:sz w:val="22"/>
                <w:szCs w:val="22"/>
              </w:rPr>
            </w:pPr>
            <w:r>
              <w:rPr>
                <w:rFonts w:ascii="宋体" w:hAnsi="宋体" w:cs="Arial" w:hint="eastAsia"/>
                <w:color w:val="000000"/>
                <w:kern w:val="0"/>
                <w:sz w:val="22"/>
              </w:rPr>
              <w:t>二十六、抗疫特别国债安排的支出</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47</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hAnsi="宋体" w:cs="宋体"/>
                <w:b/>
                <w:bCs/>
                <w:kern w:val="0"/>
                <w:sz w:val="22"/>
                <w:szCs w:val="22"/>
              </w:rPr>
            </w:pP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22</w:t>
            </w:r>
          </w:p>
        </w:tc>
        <w:tc>
          <w:tcPr>
            <w:tcW w:w="2018" w:type="dxa"/>
            <w:gridSpan w:val="2"/>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48</w:t>
            </w:r>
          </w:p>
        </w:tc>
        <w:tc>
          <w:tcPr>
            <w:tcW w:w="3633" w:type="dxa"/>
            <w:gridSpan w:val="3"/>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23</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17267.46　</w:t>
            </w: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49</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18193.87　</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24</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50</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0　</w:t>
            </w:r>
          </w:p>
        </w:tc>
      </w:tr>
      <w:tr w:rsidR="00BF1D7C">
        <w:trPr>
          <w:trHeight w:val="340"/>
        </w:trPr>
        <w:tc>
          <w:tcPr>
            <w:tcW w:w="4126"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25</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926.41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BF1D7C">
            <w:pPr>
              <w:widowControl/>
              <w:jc w:val="center"/>
              <w:rPr>
                <w:rFonts w:ascii="宋体" w:cs="Times New Roman"/>
                <w:b/>
                <w:bCs/>
                <w:kern w:val="0"/>
                <w:sz w:val="22"/>
              </w:rPr>
            </w:pP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51</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0</w:t>
            </w:r>
          </w:p>
        </w:tc>
      </w:tr>
      <w:tr w:rsidR="00BF1D7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26</w:t>
            </w:r>
          </w:p>
        </w:tc>
        <w:tc>
          <w:tcPr>
            <w:tcW w:w="2018" w:type="dxa"/>
            <w:gridSpan w:val="2"/>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18193.87　</w:t>
            </w:r>
          </w:p>
        </w:tc>
        <w:tc>
          <w:tcPr>
            <w:tcW w:w="3798" w:type="dxa"/>
            <w:gridSpan w:val="3"/>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52</w:t>
            </w:r>
          </w:p>
        </w:tc>
        <w:tc>
          <w:tcPr>
            <w:tcW w:w="3633" w:type="dxa"/>
            <w:gridSpan w:val="3"/>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bCs/>
                <w:kern w:val="0"/>
                <w:sz w:val="22"/>
              </w:rPr>
            </w:pPr>
            <w:r>
              <w:rPr>
                <w:rFonts w:ascii="宋体" w:hAnsi="宋体" w:cs="宋体" w:hint="eastAsia"/>
                <w:bCs/>
                <w:kern w:val="0"/>
                <w:sz w:val="22"/>
                <w:szCs w:val="22"/>
              </w:rPr>
              <w:t xml:space="preserve">　18193.87</w:t>
            </w:r>
          </w:p>
        </w:tc>
      </w:tr>
      <w:tr w:rsidR="00BF1D7C">
        <w:trPr>
          <w:trHeight w:val="1020"/>
        </w:trPr>
        <w:tc>
          <w:tcPr>
            <w:tcW w:w="14869" w:type="dxa"/>
            <w:gridSpan w:val="11"/>
            <w:tcBorders>
              <w:top w:val="nil"/>
              <w:left w:val="nil"/>
              <w:bottom w:val="nil"/>
              <w:right w:val="nil"/>
            </w:tcBorders>
            <w:vAlign w:val="center"/>
          </w:tcPr>
          <w:tbl>
            <w:tblPr>
              <w:tblW w:w="5000" w:type="pct"/>
              <w:tblLook w:val="04A0"/>
            </w:tblPr>
            <w:tblGrid>
              <w:gridCol w:w="14653"/>
            </w:tblGrid>
            <w:tr w:rsidR="00BF1D7C">
              <w:trPr>
                <w:trHeight w:val="308"/>
              </w:trPr>
              <w:tc>
                <w:tcPr>
                  <w:tcW w:w="5000" w:type="pct"/>
                  <w:tcBorders>
                    <w:top w:val="nil"/>
                    <w:left w:val="nil"/>
                    <w:bottom w:val="nil"/>
                    <w:right w:val="nil"/>
                  </w:tcBorders>
                  <w:shd w:val="clear" w:color="auto" w:fill="auto"/>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注：本表反映部门本年度的总收支和年末结转结余情况。本套报表金额单位转换时可能存在尾数误差。</w:t>
                  </w:r>
                </w:p>
              </w:tc>
            </w:tr>
          </w:tbl>
          <w:p w:rsidR="00BF1D7C" w:rsidRDefault="00A54150">
            <w:r>
              <w:br w:type="page"/>
            </w:r>
          </w:p>
          <w:p w:rsidR="00BF1D7C" w:rsidRDefault="00BF1D7C">
            <w:pPr>
              <w:widowControl/>
              <w:jc w:val="left"/>
              <w:rPr>
                <w:rFonts w:ascii="宋体" w:cs="Times New Roman"/>
                <w:kern w:val="0"/>
                <w:sz w:val="24"/>
                <w:szCs w:val="24"/>
              </w:rPr>
            </w:pPr>
          </w:p>
        </w:tc>
      </w:tr>
    </w:tbl>
    <w:p w:rsidR="00BF1D7C" w:rsidRDefault="00BF1D7C">
      <w:pPr>
        <w:jc w:val="center"/>
        <w:rPr>
          <w:rFonts w:ascii="黑体" w:eastAsia="黑体" w:hAnsi="黑体" w:cs="Times New Roman"/>
          <w:sz w:val="28"/>
          <w:szCs w:val="28"/>
        </w:rPr>
        <w:sectPr w:rsidR="00BF1D7C">
          <w:pgSz w:w="16838" w:h="11906" w:orient="landscape"/>
          <w:pgMar w:top="1797" w:right="1440" w:bottom="1797" w:left="1440" w:header="851" w:footer="992" w:gutter="0"/>
          <w:cols w:space="425"/>
          <w:docGrid w:type="linesAndChars" w:linePitch="312"/>
        </w:sectPr>
      </w:pPr>
    </w:p>
    <w:tbl>
      <w:tblPr>
        <w:tblW w:w="14685" w:type="dxa"/>
        <w:tblInd w:w="2" w:type="dxa"/>
        <w:tblLayout w:type="fixed"/>
        <w:tblCellMar>
          <w:left w:w="0" w:type="dxa"/>
          <w:right w:w="0" w:type="dxa"/>
        </w:tblCellMar>
        <w:tblLook w:val="04A0"/>
      </w:tblPr>
      <w:tblGrid>
        <w:gridCol w:w="90"/>
        <w:gridCol w:w="1057"/>
        <w:gridCol w:w="358"/>
        <w:gridCol w:w="2194"/>
        <w:gridCol w:w="134"/>
        <w:gridCol w:w="1073"/>
        <w:gridCol w:w="358"/>
        <w:gridCol w:w="742"/>
        <w:gridCol w:w="358"/>
        <w:gridCol w:w="667"/>
        <w:gridCol w:w="358"/>
        <w:gridCol w:w="817"/>
        <w:gridCol w:w="358"/>
        <w:gridCol w:w="942"/>
        <w:gridCol w:w="358"/>
        <w:gridCol w:w="1401"/>
        <w:gridCol w:w="358"/>
        <w:gridCol w:w="2704"/>
        <w:gridCol w:w="358"/>
      </w:tblGrid>
      <w:tr w:rsidR="00BF1D7C">
        <w:trPr>
          <w:gridAfter w:val="1"/>
          <w:wAfter w:w="358" w:type="dxa"/>
          <w:trHeight w:val="435"/>
        </w:trPr>
        <w:tc>
          <w:tcPr>
            <w:tcW w:w="14327" w:type="dxa"/>
            <w:gridSpan w:val="18"/>
            <w:tcBorders>
              <w:top w:val="nil"/>
              <w:left w:val="nil"/>
              <w:bottom w:val="nil"/>
              <w:right w:val="nil"/>
            </w:tcBorders>
            <w:noWrap/>
            <w:tcMar>
              <w:top w:w="15" w:type="dxa"/>
              <w:left w:w="15" w:type="dxa"/>
              <w:bottom w:w="0" w:type="dxa"/>
              <w:right w:w="15" w:type="dxa"/>
            </w:tcMar>
            <w:vAlign w:val="center"/>
          </w:tcPr>
          <w:p w:rsidR="00BF1D7C" w:rsidRDefault="00A54150">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lastRenderedPageBreak/>
              <w:t>收入决算表</w:t>
            </w:r>
          </w:p>
        </w:tc>
      </w:tr>
      <w:tr w:rsidR="00BF1D7C">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41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232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BF1D7C">
        <w:trPr>
          <w:gridAfter w:val="1"/>
          <w:wAfter w:w="358" w:type="dxa"/>
          <w:trHeight w:val="285"/>
        </w:trPr>
        <w:tc>
          <w:tcPr>
            <w:tcW w:w="3699" w:type="dxa"/>
            <w:gridSpan w:val="4"/>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ind w:rightChars="-142" w:right="-298"/>
              <w:rPr>
                <w:rFonts w:ascii="宋体" w:cs="Times New Roman"/>
                <w:color w:val="000000"/>
                <w:sz w:val="20"/>
                <w:szCs w:val="20"/>
              </w:rPr>
            </w:pPr>
            <w:r>
              <w:rPr>
                <w:rFonts w:cs="宋体" w:hint="eastAsia"/>
                <w:color w:val="000000"/>
                <w:sz w:val="20"/>
                <w:szCs w:val="20"/>
              </w:rPr>
              <w:t>部门：</w:t>
            </w:r>
            <w:r>
              <w:rPr>
                <w:rFonts w:ascii="宋体" w:hAnsi="宋体" w:cs="Arial" w:hint="eastAsia"/>
                <w:color w:val="000000"/>
                <w:kern w:val="0"/>
                <w:sz w:val="20"/>
                <w:szCs w:val="20"/>
              </w:rPr>
              <w:t>湘潭县住房和城乡建设局（人防办）</w:t>
            </w:r>
          </w:p>
          <w:p w:rsidR="00BF1D7C" w:rsidRDefault="00A54150">
            <w:pPr>
              <w:jc w:val="right"/>
              <w:rPr>
                <w:rFonts w:ascii="宋体" w:cs="Times New Roman"/>
                <w:sz w:val="24"/>
                <w:szCs w:val="24"/>
              </w:rPr>
            </w:pPr>
            <w:r>
              <w:rPr>
                <w:rFonts w:cs="宋体" w:hint="eastAsia"/>
              </w:rPr>
              <w:t xml:space="preserve">　</w:t>
            </w:r>
          </w:p>
        </w:tc>
        <w:tc>
          <w:tcPr>
            <w:tcW w:w="12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color w:val="000000"/>
                <w:sz w:val="20"/>
                <w:szCs w:val="20"/>
              </w:rPr>
            </w:pPr>
            <w:r>
              <w:rPr>
                <w:rFonts w:cs="宋体" w:hint="eastAsia"/>
                <w:color w:val="000000"/>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BF1D7C" w:rsidRDefault="00A54150">
            <w:pPr>
              <w:jc w:val="right"/>
              <w:rPr>
                <w:rFonts w:ascii="宋体" w:cs="Times New Roman"/>
                <w:color w:val="000000"/>
                <w:sz w:val="20"/>
                <w:szCs w:val="20"/>
              </w:rPr>
            </w:pPr>
            <w:r>
              <w:rPr>
                <w:rFonts w:cs="宋体" w:hint="eastAsia"/>
                <w:color w:val="000000"/>
                <w:sz w:val="20"/>
                <w:szCs w:val="20"/>
              </w:rPr>
              <w:t>单位：万元</w:t>
            </w:r>
          </w:p>
        </w:tc>
      </w:tr>
      <w:tr w:rsidR="00BF1D7C">
        <w:trPr>
          <w:gridAfter w:val="1"/>
          <w:wAfter w:w="358" w:type="dxa"/>
          <w:trHeight w:val="450"/>
        </w:trPr>
        <w:tc>
          <w:tcPr>
            <w:tcW w:w="3699"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项</w:t>
            </w:r>
            <w:r>
              <w:t xml:space="preserve">    </w:t>
            </w:r>
            <w:r>
              <w:rPr>
                <w:rFonts w:cs="宋体" w:hint="eastAsia"/>
              </w:rPr>
              <w:t>目</w:t>
            </w:r>
          </w:p>
        </w:tc>
        <w:tc>
          <w:tcPr>
            <w:tcW w:w="1207"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本年收入合计</w:t>
            </w:r>
          </w:p>
        </w:tc>
        <w:tc>
          <w:tcPr>
            <w:tcW w:w="1100"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其他收入</w:t>
            </w:r>
          </w:p>
        </w:tc>
      </w:tr>
      <w:tr w:rsidR="00BF1D7C">
        <w:trPr>
          <w:gridAfter w:val="1"/>
          <w:wAfter w:w="358" w:type="dxa"/>
          <w:trHeight w:val="450"/>
        </w:trPr>
        <w:tc>
          <w:tcPr>
            <w:tcW w:w="1147"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功能分类科目编码</w:t>
            </w:r>
          </w:p>
        </w:tc>
        <w:tc>
          <w:tcPr>
            <w:tcW w:w="2552"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科目名称</w:t>
            </w:r>
          </w:p>
        </w:tc>
        <w:tc>
          <w:tcPr>
            <w:tcW w:w="1207"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r>
      <w:tr w:rsidR="00BF1D7C">
        <w:trPr>
          <w:gridAfter w:val="1"/>
          <w:wAfter w:w="358" w:type="dxa"/>
          <w:trHeight w:val="450"/>
        </w:trPr>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2552" w:type="dxa"/>
            <w:gridSpan w:val="2"/>
            <w:vMerge/>
            <w:tcBorders>
              <w:top w:val="nil"/>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207"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rPr>
                <w:rFonts w:ascii="宋体" w:cs="Times New Roman"/>
                <w:sz w:val="24"/>
                <w:szCs w:val="24"/>
              </w:rPr>
            </w:pPr>
          </w:p>
        </w:tc>
      </w:tr>
      <w:tr w:rsidR="00BF1D7C">
        <w:trPr>
          <w:gridAfter w:val="1"/>
          <w:wAfter w:w="358" w:type="dxa"/>
          <w:trHeight w:val="450"/>
        </w:trPr>
        <w:tc>
          <w:tcPr>
            <w:tcW w:w="3699"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栏次</w:t>
            </w:r>
          </w:p>
        </w:tc>
        <w:tc>
          <w:tcPr>
            <w:tcW w:w="1207"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1</w:t>
            </w:r>
          </w:p>
        </w:tc>
        <w:tc>
          <w:tcPr>
            <w:tcW w:w="11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t>7</w:t>
            </w:r>
          </w:p>
        </w:tc>
      </w:tr>
      <w:tr w:rsidR="00BF1D7C">
        <w:trPr>
          <w:gridAfter w:val="1"/>
          <w:wAfter w:w="358" w:type="dxa"/>
          <w:trHeight w:val="450"/>
        </w:trPr>
        <w:tc>
          <w:tcPr>
            <w:tcW w:w="3699"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jc w:val="center"/>
              <w:rPr>
                <w:rFonts w:ascii="宋体" w:cs="Times New Roman"/>
                <w:sz w:val="24"/>
                <w:szCs w:val="24"/>
              </w:rPr>
            </w:pPr>
            <w:r>
              <w:rPr>
                <w:rFonts w:cs="宋体" w:hint="eastAsia"/>
              </w:rPr>
              <w:t>合计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17267.46</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17267.46</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ind w:rightChars="283" w:right="594"/>
              <w:jc w:val="left"/>
              <w:rPr>
                <w:rFonts w:ascii="宋体" w:hAnsi="宋体" w:cs="Arial"/>
                <w:color w:val="000000"/>
                <w:kern w:val="0"/>
                <w:sz w:val="22"/>
              </w:rPr>
            </w:pPr>
            <w:r>
              <w:rPr>
                <w:rFonts w:ascii="宋体" w:hAnsi="宋体" w:cs="Arial" w:hint="eastAsia"/>
                <w:color w:val="000000"/>
                <w:kern w:val="0"/>
                <w:sz w:val="22"/>
              </w:rPr>
              <w:t>201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3118.23</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3118.23</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99"/>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人大事务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华文中宋" w:eastAsia="华文中宋" w:hAnsi="华文中宋" w:cs="Times New Roman"/>
                <w:sz w:val="24"/>
                <w:szCs w:val="24"/>
              </w:rPr>
            </w:pPr>
            <w:r>
              <w:rPr>
                <w:rFonts w:ascii="华文中宋" w:eastAsia="华文中宋" w:hAnsi="华文中宋" w:cs="华文中宋" w:hint="eastAsia"/>
              </w:rPr>
              <w:t xml:space="preserve">1737.05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华文中宋" w:eastAsia="华文中宋" w:hAnsi="华文中宋" w:cs="Times New Roman"/>
                <w:sz w:val="24"/>
                <w:szCs w:val="24"/>
              </w:rPr>
            </w:pPr>
            <w:r>
              <w:rPr>
                <w:rFonts w:ascii="华文中宋" w:eastAsia="华文中宋" w:hAnsi="华文中宋" w:cs="华文中宋" w:hint="eastAsia"/>
              </w:rPr>
              <w:t xml:space="preserve">1737.05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1737.05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1737.05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政府办公厅（室）及相关机构事务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390.77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390.77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390.77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390.77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2010302</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0.41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0.41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w:t>
            </w:r>
            <w:r>
              <w:rPr>
                <w:rFonts w:ascii="宋体" w:hAnsi="宋体" w:cs="Arial"/>
                <w:color w:val="000000"/>
                <w:kern w:val="0"/>
                <w:sz w:val="22"/>
              </w:rPr>
              <w:tab/>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宣传事务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14.40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14.40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其他宣传事务支出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14.40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14.40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市场监督管理事务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42.09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42.09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2013802</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42.09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42.09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933.92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933.92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2019999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933.92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933.92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lastRenderedPageBreak/>
              <w:t>20306</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国防动员</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2030603</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人民防空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31.57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财政对其他社会保险基金的补助</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其他财政对社会保险基金的补助</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节能环保支出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污染防治</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2110302</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水体</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550.01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3002.66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3002.66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城乡社区管理事务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901.99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901.99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240.53</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240.53</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2120102</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599.81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599.81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其他城乡社区管理事务支出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61.65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61.65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168.08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168.08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168.08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168.08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污水处理费安排的支出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1794.41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1794.41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污水处理设施建设和运营</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1735.41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1735.41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其他污水处理费安排的支出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138.19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138.19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138.19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138.19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lastRenderedPageBreak/>
              <w:t>214</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交通运输支出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21401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公路水路运输</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2140101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12.82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220</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自然资源海洋气象等支出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22001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自然资源事务</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2200101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4.54</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住房保障支出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10541.22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10541.22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保障性安居工程支出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10541.22</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10541.22</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2210101</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廉租住房</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60.49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60.49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2210103</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棚户区改造</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8531.54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8531.54</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2210105</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农村危房改造</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308.2</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308.2</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2210107</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ind w:leftChars="-230" w:left="-483"/>
              <w:jc w:val="center"/>
              <w:rPr>
                <w:rFonts w:ascii="宋体" w:hAnsi="宋体" w:cs="Arial"/>
                <w:color w:val="000000"/>
                <w:kern w:val="0"/>
                <w:sz w:val="22"/>
              </w:rPr>
            </w:pPr>
            <w:r>
              <w:rPr>
                <w:rFonts w:ascii="宋体" w:hAnsi="宋体" w:cs="Arial" w:hint="eastAsia"/>
                <w:color w:val="000000"/>
                <w:kern w:val="0"/>
                <w:sz w:val="22"/>
              </w:rPr>
              <w:t>保 保障性住房租金补贴</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137.21</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137.21</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2210108</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老旧小区改造</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1498.62</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1498.62</w:t>
            </w: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ascii="宋体" w:cs="Times New Roman"/>
                <w:sz w:val="24"/>
                <w:szCs w:val="24"/>
              </w:rPr>
            </w:pPr>
            <w:r>
              <w:rPr>
                <w:rFonts w:cs="宋体" w:hint="eastAsia"/>
              </w:rPr>
              <w:t xml:space="preserve">　</w:t>
            </w:r>
          </w:p>
        </w:tc>
      </w:tr>
      <w:tr w:rsidR="00BF1D7C">
        <w:trPr>
          <w:gridAfter w:val="1"/>
          <w:wAfter w:w="358" w:type="dxa"/>
          <w:trHeight w:val="450"/>
        </w:trPr>
        <w:tc>
          <w:tcPr>
            <w:tcW w:w="1147"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2210199</w:t>
            </w:r>
          </w:p>
        </w:tc>
        <w:tc>
          <w:tcPr>
            <w:tcW w:w="255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其他保障性安居工程支出</w:t>
            </w:r>
          </w:p>
        </w:tc>
        <w:tc>
          <w:tcPr>
            <w:tcW w:w="1207"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5.15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A54150">
            <w:pPr>
              <w:jc w:val="right"/>
              <w:rPr>
                <w:rFonts w:cs="宋体"/>
              </w:rPr>
            </w:pPr>
            <w:r>
              <w:rPr>
                <w:rFonts w:cs="宋体" w:hint="eastAsia"/>
              </w:rPr>
              <w:t>5.15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BF1D7C" w:rsidRDefault="00BF1D7C">
            <w:pPr>
              <w:jc w:val="right"/>
              <w:rPr>
                <w:rFonts w:cs="宋体"/>
              </w:rPr>
            </w:pPr>
          </w:p>
        </w:tc>
      </w:tr>
      <w:tr w:rsidR="00BF1D7C">
        <w:trPr>
          <w:gridAfter w:val="1"/>
          <w:wAfter w:w="358" w:type="dxa"/>
          <w:trHeight w:val="615"/>
        </w:trPr>
        <w:tc>
          <w:tcPr>
            <w:tcW w:w="14327" w:type="dxa"/>
            <w:gridSpan w:val="18"/>
            <w:tcBorders>
              <w:top w:val="nil"/>
              <w:left w:val="nil"/>
              <w:bottom w:val="nil"/>
              <w:right w:val="nil"/>
            </w:tcBorders>
            <w:tcMar>
              <w:top w:w="15" w:type="dxa"/>
              <w:left w:w="15" w:type="dxa"/>
              <w:bottom w:w="0" w:type="dxa"/>
              <w:right w:w="15" w:type="dxa"/>
            </w:tcMar>
            <w:vAlign w:val="center"/>
          </w:tcPr>
          <w:p w:rsidR="00BF1D7C" w:rsidRDefault="00A54150">
            <w:pPr>
              <w:rPr>
                <w:rFonts w:ascii="宋体" w:cs="Times New Roman"/>
                <w:sz w:val="24"/>
                <w:szCs w:val="24"/>
              </w:rPr>
            </w:pPr>
            <w:r>
              <w:rPr>
                <w:rFonts w:cs="宋体" w:hint="eastAsia"/>
              </w:rPr>
              <w:t>注：本表反映部门本年度取得的各项收入情况。</w:t>
            </w:r>
          </w:p>
        </w:tc>
      </w:tr>
    </w:tbl>
    <w:p w:rsidR="00BF1D7C" w:rsidRDefault="00A54150">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p w:rsidR="00BF1D7C" w:rsidRDefault="00BF1D7C">
      <w:pPr>
        <w:widowControl/>
        <w:rPr>
          <w:rFonts w:ascii="Times New Roman" w:eastAsia="方正小标宋_GBK" w:hAnsi="Times New Roman" w:cs="Times New Roman"/>
          <w:color w:val="000000"/>
          <w:kern w:val="0"/>
          <w:sz w:val="36"/>
          <w:szCs w:val="36"/>
        </w:rPr>
      </w:pPr>
    </w:p>
    <w:tbl>
      <w:tblPr>
        <w:tblW w:w="14831" w:type="dxa"/>
        <w:tblInd w:w="-106" w:type="dxa"/>
        <w:tblLayout w:type="fixed"/>
        <w:tblLook w:val="04A0"/>
      </w:tblPr>
      <w:tblGrid>
        <w:gridCol w:w="609"/>
        <w:gridCol w:w="598"/>
        <w:gridCol w:w="3118"/>
        <w:gridCol w:w="1315"/>
        <w:gridCol w:w="1237"/>
        <w:gridCol w:w="1682"/>
        <w:gridCol w:w="1679"/>
        <w:gridCol w:w="1679"/>
        <w:gridCol w:w="2914"/>
      </w:tblGrid>
      <w:tr w:rsidR="00BF1D7C">
        <w:trPr>
          <w:trHeight w:val="435"/>
        </w:trPr>
        <w:tc>
          <w:tcPr>
            <w:tcW w:w="14831" w:type="dxa"/>
            <w:gridSpan w:val="9"/>
            <w:tcBorders>
              <w:top w:val="nil"/>
              <w:left w:val="nil"/>
              <w:bottom w:val="nil"/>
              <w:right w:val="nil"/>
            </w:tcBorders>
            <w:noWrap/>
            <w:vAlign w:val="center"/>
          </w:tcPr>
          <w:p w:rsidR="00BF1D7C" w:rsidRDefault="00A54150">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BF1D7C">
        <w:trPr>
          <w:trHeight w:val="285"/>
        </w:trPr>
        <w:tc>
          <w:tcPr>
            <w:tcW w:w="609"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8"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118"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82"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BF1D7C">
        <w:trPr>
          <w:trHeight w:val="285"/>
        </w:trPr>
        <w:tc>
          <w:tcPr>
            <w:tcW w:w="609" w:type="dxa"/>
            <w:tcBorders>
              <w:top w:val="nil"/>
              <w:left w:val="nil"/>
              <w:bottom w:val="nil"/>
              <w:right w:val="nil"/>
            </w:tcBorders>
            <w:shd w:val="clear" w:color="000000" w:fill="FFFFFF"/>
            <w:noWrap/>
            <w:vAlign w:val="center"/>
          </w:tcPr>
          <w:p w:rsidR="00BF1D7C" w:rsidRDefault="00A54150">
            <w:pPr>
              <w:widowControl/>
              <w:ind w:rightChars="-66" w:right="-139"/>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98"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118" w:type="dxa"/>
            <w:tcBorders>
              <w:top w:val="nil"/>
              <w:left w:val="nil"/>
              <w:bottom w:val="nil"/>
              <w:right w:val="nil"/>
            </w:tcBorders>
            <w:shd w:val="clear" w:color="000000" w:fill="FFFFFF"/>
            <w:noWrap/>
            <w:vAlign w:val="center"/>
          </w:tcPr>
          <w:p w:rsidR="00BF1D7C" w:rsidRDefault="00A54150">
            <w:pPr>
              <w:widowControl/>
              <w:ind w:leftChars="-119" w:left="-250" w:rightChars="-51" w:right="-107" w:firstLine="143"/>
              <w:jc w:val="right"/>
              <w:rPr>
                <w:rFonts w:ascii="宋体" w:cs="Times New Roman"/>
                <w:kern w:val="0"/>
                <w:sz w:val="24"/>
                <w:szCs w:val="24"/>
              </w:rPr>
            </w:pPr>
            <w:r>
              <w:rPr>
                <w:rFonts w:ascii="宋体" w:hAnsi="宋体" w:cs="Arial" w:hint="eastAsia"/>
                <w:color w:val="000000"/>
                <w:kern w:val="0"/>
                <w:sz w:val="20"/>
                <w:szCs w:val="20"/>
              </w:rPr>
              <w:t>湘潭县住房和城乡建设局（人防办)</w:t>
            </w:r>
            <w:r>
              <w:rPr>
                <w:rFonts w:ascii="宋体" w:hAnsi="宋体" w:cs="宋体" w:hint="eastAsia"/>
                <w:kern w:val="0"/>
                <w:sz w:val="24"/>
                <w:szCs w:val="24"/>
              </w:rPr>
              <w:t xml:space="preserve">　</w:t>
            </w:r>
          </w:p>
        </w:tc>
        <w:tc>
          <w:tcPr>
            <w:tcW w:w="131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82" w:type="dxa"/>
            <w:tcBorders>
              <w:top w:val="nil"/>
              <w:left w:val="nil"/>
              <w:bottom w:val="nil"/>
              <w:right w:val="nil"/>
            </w:tcBorders>
            <w:shd w:val="clear" w:color="000000" w:fill="FFFFFF"/>
            <w:noWrap/>
            <w:vAlign w:val="center"/>
          </w:tcPr>
          <w:p w:rsidR="00BF1D7C" w:rsidRDefault="00A54150">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BF1D7C">
        <w:trPr>
          <w:trHeight w:val="450"/>
        </w:trPr>
        <w:tc>
          <w:tcPr>
            <w:tcW w:w="4325"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31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本年支出合计</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基本支出</w:t>
            </w:r>
          </w:p>
        </w:tc>
        <w:tc>
          <w:tcPr>
            <w:tcW w:w="168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经营支出</w:t>
            </w:r>
          </w:p>
        </w:tc>
        <w:tc>
          <w:tcPr>
            <w:tcW w:w="29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对附属单位补助支出</w:t>
            </w:r>
          </w:p>
        </w:tc>
      </w:tr>
      <w:tr w:rsidR="00BF1D7C">
        <w:trPr>
          <w:trHeight w:val="450"/>
        </w:trPr>
        <w:tc>
          <w:tcPr>
            <w:tcW w:w="12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功能分类科目编码</w:t>
            </w:r>
          </w:p>
        </w:tc>
        <w:tc>
          <w:tcPr>
            <w:tcW w:w="3118" w:type="dxa"/>
            <w:vMerge w:val="restart"/>
            <w:tcBorders>
              <w:top w:val="nil"/>
              <w:left w:val="single" w:sz="4" w:space="0" w:color="auto"/>
              <w:bottom w:val="single" w:sz="4" w:space="0" w:color="auto"/>
              <w:right w:val="single" w:sz="4" w:space="0" w:color="auto"/>
            </w:tcBorders>
            <w:shd w:val="clear" w:color="000000" w:fill="FFFFFF"/>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科目名称</w:t>
            </w:r>
          </w:p>
        </w:tc>
        <w:tc>
          <w:tcPr>
            <w:tcW w:w="1315"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82"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r>
      <w:tr w:rsidR="00BF1D7C">
        <w:trPr>
          <w:trHeight w:val="450"/>
        </w:trPr>
        <w:tc>
          <w:tcPr>
            <w:tcW w:w="1207" w:type="dxa"/>
            <w:gridSpan w:val="2"/>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3118" w:type="dxa"/>
            <w:vMerge/>
            <w:tcBorders>
              <w:top w:val="nil"/>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315"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82"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BF1D7C" w:rsidRDefault="00BF1D7C">
            <w:pPr>
              <w:widowControl/>
              <w:ind w:left="247" w:hangingChars="103" w:hanging="247"/>
              <w:jc w:val="left"/>
              <w:rPr>
                <w:rFonts w:ascii="宋体" w:cs="Times New Roman"/>
                <w:kern w:val="0"/>
                <w:sz w:val="24"/>
                <w:szCs w:val="24"/>
              </w:rPr>
            </w:pPr>
          </w:p>
        </w:tc>
      </w:tr>
      <w:tr w:rsidR="00BF1D7C">
        <w:trPr>
          <w:trHeight w:val="450"/>
        </w:trPr>
        <w:tc>
          <w:tcPr>
            <w:tcW w:w="432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栏次</w:t>
            </w:r>
          </w:p>
        </w:tc>
        <w:tc>
          <w:tcPr>
            <w:tcW w:w="1315"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2</w:t>
            </w:r>
          </w:p>
        </w:tc>
        <w:tc>
          <w:tcPr>
            <w:tcW w:w="1682"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kern w:val="0"/>
                <w:sz w:val="24"/>
                <w:szCs w:val="24"/>
              </w:rPr>
              <w:t>6</w:t>
            </w:r>
          </w:p>
        </w:tc>
      </w:tr>
      <w:tr w:rsidR="00BF1D7C">
        <w:trPr>
          <w:trHeight w:val="450"/>
        </w:trPr>
        <w:tc>
          <w:tcPr>
            <w:tcW w:w="4325"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ind w:left="247" w:hangingChars="103" w:hanging="247"/>
              <w:jc w:val="center"/>
              <w:rPr>
                <w:rFonts w:ascii="宋体" w:cs="Times New Roman"/>
                <w:kern w:val="0"/>
                <w:sz w:val="24"/>
                <w:szCs w:val="24"/>
              </w:rPr>
            </w:pPr>
            <w:r>
              <w:rPr>
                <w:rFonts w:ascii="宋体" w:hAnsi="宋体" w:cs="宋体" w:hint="eastAsia"/>
                <w:kern w:val="0"/>
                <w:sz w:val="24"/>
                <w:szCs w:val="24"/>
              </w:rPr>
              <w:t>合计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18193.87　</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10939.66　</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7254.20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ind w:rightChars="283" w:right="594"/>
              <w:jc w:val="left"/>
              <w:rPr>
                <w:rFonts w:ascii="宋体" w:hAnsi="宋体" w:cs="Arial"/>
                <w:color w:val="000000"/>
                <w:kern w:val="0"/>
                <w:sz w:val="22"/>
              </w:rPr>
            </w:pPr>
            <w:r>
              <w:rPr>
                <w:rFonts w:ascii="宋体" w:hAnsi="宋体" w:cs="Arial" w:hint="eastAsia"/>
                <w:color w:val="000000"/>
                <w:kern w:val="0"/>
                <w:sz w:val="22"/>
              </w:rPr>
              <w:t>201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3118.23</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2057.32</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1060.91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人大事务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1737.05</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1731.56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5.48</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1737.05</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1731.56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5.48</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政府办公厅（室）及相关机构事务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390.77</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190.36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200.41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390.36</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190.36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200</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2010302</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0.41</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0.41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w:t>
            </w:r>
            <w:r>
              <w:rPr>
                <w:rFonts w:ascii="宋体" w:hAnsi="宋体" w:cs="Arial"/>
                <w:color w:val="000000"/>
                <w:kern w:val="0"/>
                <w:sz w:val="22"/>
              </w:rPr>
              <w:tab/>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宣传事务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14.4</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14.4</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其他宣传事务支出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14.4</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14.4</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市场监督管理事务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42.09</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0.47</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41.62</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2013802</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42.09</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0.47</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41.62</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933.92</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134.92</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799.01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2019999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933.92</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134.92</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799.01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31.57</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28.41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lastRenderedPageBreak/>
              <w:t>20306</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国防动员</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31.57</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28.41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2030603</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人民防空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31.57</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3.16</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28.41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财政对其他社会保险基金的补助</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其他财政对社会保险基金的补助</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6.41</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节能环保支出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污染防治</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2110302</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水体</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1476.42</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3002.66</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318.41</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2684.26</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城乡社区管理事务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901.99</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298.01</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603.98</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240.53</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239.01</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1.53</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2120102</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599.81</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599.81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其他城乡社区管理事务支出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61.65</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59</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2.65</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168.08</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168.08</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168.08</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168.08</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污水处理费安排的支出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1794.41</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1794.41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污水处理设施建设和运营</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1735.41</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1735.41</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2121499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其他污水处理费安排的支出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59</w:t>
            </w:r>
          </w:p>
        </w:tc>
        <w:tc>
          <w:tcPr>
            <w:tcW w:w="1237"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59</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138.19</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20.40</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117.79</w:t>
            </w: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2129999</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138.19</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20.40</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117.79</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214</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交通运输支出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lastRenderedPageBreak/>
              <w:t>21401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公路水路运输</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2140101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12.82</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220</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自然资源海洋气象等支出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22001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自然资源事务</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2200101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rsidP="00EC2034">
            <w:pPr>
              <w:widowControl/>
              <w:ind w:leftChars="-120" w:left="-252" w:rightChars="-211" w:right="-443" w:firstLineChars="114" w:firstLine="251"/>
              <w:jc w:val="left"/>
              <w:rPr>
                <w:rFonts w:ascii="宋体" w:hAnsi="宋体" w:cs="Arial"/>
                <w:color w:val="000000"/>
                <w:kern w:val="0"/>
                <w:sz w:val="22"/>
              </w:rPr>
            </w:pPr>
            <w:r>
              <w:rPr>
                <w:rFonts w:ascii="宋体" w:hAnsi="宋体" w:cs="Arial" w:hint="eastAsia"/>
                <w:color w:val="000000"/>
                <w:kern w:val="0"/>
                <w:sz w:val="22"/>
              </w:rPr>
              <w:t>行政运行</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hAnsi="宋体" w:cs="宋体"/>
                <w:kern w:val="0"/>
                <w:sz w:val="24"/>
                <w:szCs w:val="24"/>
              </w:rPr>
            </w:pPr>
            <w:r>
              <w:rPr>
                <w:rFonts w:ascii="宋体" w:hAnsi="宋体" w:cs="宋体" w:hint="eastAsia"/>
                <w:kern w:val="0"/>
                <w:sz w:val="24"/>
                <w:szCs w:val="24"/>
              </w:rPr>
              <w:t>4.54</w:t>
            </w:r>
          </w:p>
        </w:tc>
        <w:tc>
          <w:tcPr>
            <w:tcW w:w="1682"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BF1D7C" w:rsidRDefault="00BF1D7C">
            <w:pPr>
              <w:widowControl/>
              <w:ind w:left="247" w:hangingChars="103" w:hanging="247"/>
              <w:jc w:val="right"/>
              <w:rPr>
                <w:rFonts w:ascii="宋体" w:hAnsi="宋体" w:cs="宋体"/>
                <w:kern w:val="0"/>
                <w:sz w:val="24"/>
                <w:szCs w:val="24"/>
              </w:rPr>
            </w:pPr>
          </w:p>
        </w:tc>
      </w:tr>
      <w:tr w:rsidR="00BF1D7C">
        <w:trPr>
          <w:trHeight w:val="596"/>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住房保障支出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10541.22　</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8537.01　</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2004.21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574"/>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保障性安居工程支出</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10541.22　</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8537.01　</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2004.21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2210101</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廉租住房</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60.49　</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32.51　</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27.98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50"/>
        </w:trPr>
        <w:tc>
          <w:tcPr>
            <w:tcW w:w="120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2210103</w:t>
            </w:r>
          </w:p>
        </w:tc>
        <w:tc>
          <w:tcPr>
            <w:tcW w:w="3118"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棚户区改造</w:t>
            </w:r>
          </w:p>
        </w:tc>
        <w:tc>
          <w:tcPr>
            <w:tcW w:w="1315"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8531.54　</w:t>
            </w:r>
          </w:p>
        </w:tc>
        <w:tc>
          <w:tcPr>
            <w:tcW w:w="1237"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8501.60　</w:t>
            </w:r>
          </w:p>
        </w:tc>
        <w:tc>
          <w:tcPr>
            <w:tcW w:w="1682"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29.94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BF1D7C" w:rsidRDefault="00A54150">
            <w:pPr>
              <w:widowControl/>
              <w:ind w:left="247" w:hangingChars="103" w:hanging="247"/>
              <w:jc w:val="right"/>
              <w:rPr>
                <w:rFonts w:ascii="宋体" w:cs="Times New Roman"/>
                <w:kern w:val="0"/>
                <w:sz w:val="24"/>
                <w:szCs w:val="24"/>
              </w:rPr>
            </w:pPr>
            <w:r>
              <w:rPr>
                <w:rFonts w:ascii="宋体" w:hAnsi="宋体" w:cs="宋体" w:hint="eastAsia"/>
                <w:kern w:val="0"/>
                <w:sz w:val="24"/>
                <w:szCs w:val="24"/>
              </w:rPr>
              <w:t xml:space="preserve">　</w:t>
            </w:r>
          </w:p>
        </w:tc>
      </w:tr>
      <w:tr w:rsidR="00BF1D7C">
        <w:trPr>
          <w:trHeight w:val="470"/>
        </w:trPr>
        <w:tc>
          <w:tcPr>
            <w:tcW w:w="1207" w:type="dxa"/>
            <w:gridSpan w:val="2"/>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2210105</w:t>
            </w:r>
          </w:p>
        </w:tc>
        <w:tc>
          <w:tcPr>
            <w:tcW w:w="3118"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农村危房改造</w:t>
            </w:r>
          </w:p>
        </w:tc>
        <w:tc>
          <w:tcPr>
            <w:tcW w:w="1315"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308.2</w:t>
            </w:r>
          </w:p>
        </w:tc>
        <w:tc>
          <w:tcPr>
            <w:tcW w:w="1237"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0.9</w:t>
            </w:r>
          </w:p>
        </w:tc>
        <w:tc>
          <w:tcPr>
            <w:tcW w:w="168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307.3</w:t>
            </w: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2914"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r>
      <w:tr w:rsidR="00BF1D7C">
        <w:trPr>
          <w:trHeight w:val="550"/>
        </w:trPr>
        <w:tc>
          <w:tcPr>
            <w:tcW w:w="1207" w:type="dxa"/>
            <w:gridSpan w:val="2"/>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2210107</w:t>
            </w:r>
          </w:p>
        </w:tc>
        <w:tc>
          <w:tcPr>
            <w:tcW w:w="3118"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保障性住房租金补贴</w:t>
            </w:r>
          </w:p>
        </w:tc>
        <w:tc>
          <w:tcPr>
            <w:tcW w:w="1315"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137.21</w:t>
            </w:r>
          </w:p>
        </w:tc>
        <w:tc>
          <w:tcPr>
            <w:tcW w:w="1237"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8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137.21</w:t>
            </w: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2914"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r>
      <w:tr w:rsidR="00BF1D7C">
        <w:trPr>
          <w:trHeight w:val="474"/>
        </w:trPr>
        <w:tc>
          <w:tcPr>
            <w:tcW w:w="1207" w:type="dxa"/>
            <w:gridSpan w:val="2"/>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2210108</w:t>
            </w:r>
          </w:p>
        </w:tc>
        <w:tc>
          <w:tcPr>
            <w:tcW w:w="3118"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老旧小区改造</w:t>
            </w:r>
          </w:p>
        </w:tc>
        <w:tc>
          <w:tcPr>
            <w:tcW w:w="1315"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1498.62</w:t>
            </w:r>
          </w:p>
        </w:tc>
        <w:tc>
          <w:tcPr>
            <w:tcW w:w="1237"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8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1498.62</w:t>
            </w: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2914"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r>
      <w:tr w:rsidR="00BF1D7C">
        <w:trPr>
          <w:trHeight w:val="505"/>
        </w:trPr>
        <w:tc>
          <w:tcPr>
            <w:tcW w:w="1207" w:type="dxa"/>
            <w:gridSpan w:val="2"/>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2210199</w:t>
            </w:r>
          </w:p>
        </w:tc>
        <w:tc>
          <w:tcPr>
            <w:tcW w:w="3118"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其他保障性安居工程支出</w:t>
            </w:r>
          </w:p>
        </w:tc>
        <w:tc>
          <w:tcPr>
            <w:tcW w:w="1315"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5.15</w:t>
            </w:r>
          </w:p>
        </w:tc>
        <w:tc>
          <w:tcPr>
            <w:tcW w:w="1237"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1.99</w:t>
            </w:r>
          </w:p>
        </w:tc>
        <w:tc>
          <w:tcPr>
            <w:tcW w:w="168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 xml:space="preserve">         3.16</w:t>
            </w: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1679"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c>
          <w:tcPr>
            <w:tcW w:w="2914" w:type="dxa"/>
            <w:tcBorders>
              <w:top w:val="single" w:sz="4" w:space="0" w:color="auto"/>
              <w:left w:val="single" w:sz="4" w:space="0" w:color="auto"/>
              <w:bottom w:val="single" w:sz="4" w:space="0" w:color="auto"/>
              <w:right w:val="single" w:sz="4" w:space="0" w:color="auto"/>
            </w:tcBorders>
            <w:vAlign w:val="center"/>
          </w:tcPr>
          <w:p w:rsidR="00BF1D7C" w:rsidRDefault="00BF1D7C">
            <w:pPr>
              <w:widowControl/>
              <w:jc w:val="left"/>
              <w:rPr>
                <w:rFonts w:ascii="宋体" w:hAnsi="宋体" w:cs="Arial"/>
                <w:color w:val="000000"/>
                <w:kern w:val="0"/>
                <w:sz w:val="22"/>
              </w:rPr>
            </w:pPr>
          </w:p>
        </w:tc>
      </w:tr>
      <w:tr w:rsidR="00BF1D7C">
        <w:trPr>
          <w:trHeight w:val="630"/>
        </w:trPr>
        <w:tc>
          <w:tcPr>
            <w:tcW w:w="14831" w:type="dxa"/>
            <w:gridSpan w:val="9"/>
            <w:tcBorders>
              <w:top w:val="single" w:sz="4" w:space="0" w:color="auto"/>
              <w:left w:val="nil"/>
              <w:bottom w:val="nil"/>
              <w:right w:val="nil"/>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r w:rsidR="00BF1D7C">
        <w:trPr>
          <w:trHeight w:val="630"/>
        </w:trPr>
        <w:tc>
          <w:tcPr>
            <w:tcW w:w="14831" w:type="dxa"/>
            <w:gridSpan w:val="9"/>
            <w:tcBorders>
              <w:top w:val="nil"/>
              <w:left w:val="nil"/>
              <w:bottom w:val="nil"/>
              <w:right w:val="nil"/>
            </w:tcBorders>
            <w:vAlign w:val="center"/>
          </w:tcPr>
          <w:p w:rsidR="00BF1D7C" w:rsidRDefault="00BF1D7C">
            <w:pPr>
              <w:widowControl/>
              <w:jc w:val="left"/>
              <w:rPr>
                <w:rFonts w:ascii="宋体" w:hAnsi="宋体" w:cs="Arial"/>
                <w:color w:val="000000"/>
                <w:kern w:val="0"/>
                <w:sz w:val="22"/>
              </w:rPr>
            </w:pPr>
          </w:p>
        </w:tc>
      </w:tr>
      <w:tr w:rsidR="00BF1D7C">
        <w:trPr>
          <w:trHeight w:val="630"/>
        </w:trPr>
        <w:tc>
          <w:tcPr>
            <w:tcW w:w="14831" w:type="dxa"/>
            <w:gridSpan w:val="9"/>
            <w:tcBorders>
              <w:top w:val="nil"/>
              <w:left w:val="nil"/>
              <w:bottom w:val="nil"/>
              <w:right w:val="nil"/>
            </w:tcBorders>
            <w:vAlign w:val="center"/>
          </w:tcPr>
          <w:p w:rsidR="00BF1D7C" w:rsidRDefault="00BF1D7C">
            <w:pPr>
              <w:widowControl/>
              <w:jc w:val="left"/>
              <w:rPr>
                <w:rFonts w:ascii="宋体" w:hAnsi="宋体" w:cs="Arial"/>
                <w:color w:val="000000"/>
                <w:kern w:val="0"/>
                <w:sz w:val="22"/>
              </w:rPr>
            </w:pPr>
          </w:p>
        </w:tc>
      </w:tr>
      <w:tr w:rsidR="00BF1D7C">
        <w:trPr>
          <w:trHeight w:val="630"/>
        </w:trPr>
        <w:tc>
          <w:tcPr>
            <w:tcW w:w="14831" w:type="dxa"/>
            <w:gridSpan w:val="9"/>
            <w:tcBorders>
              <w:top w:val="nil"/>
              <w:left w:val="nil"/>
              <w:bottom w:val="nil"/>
              <w:right w:val="nil"/>
            </w:tcBorders>
            <w:vAlign w:val="center"/>
          </w:tcPr>
          <w:p w:rsidR="00BF1D7C" w:rsidRDefault="00BF1D7C">
            <w:pPr>
              <w:widowControl/>
              <w:jc w:val="left"/>
              <w:rPr>
                <w:rFonts w:ascii="宋体" w:hAnsi="宋体" w:cs="Arial"/>
                <w:color w:val="000000"/>
                <w:kern w:val="0"/>
                <w:sz w:val="22"/>
              </w:rPr>
            </w:pPr>
          </w:p>
        </w:tc>
      </w:tr>
    </w:tbl>
    <w:p w:rsidR="00BF1D7C" w:rsidRDefault="00BF1D7C">
      <w:pPr>
        <w:widowControl/>
        <w:rPr>
          <w:rFonts w:ascii="Times New Roman" w:eastAsia="方正小标宋_GBK" w:hAnsi="Times New Roman" w:cs="Times New Roman"/>
          <w:color w:val="000000"/>
          <w:kern w:val="0"/>
          <w:sz w:val="36"/>
          <w:szCs w:val="36"/>
        </w:rPr>
      </w:pPr>
    </w:p>
    <w:tbl>
      <w:tblPr>
        <w:tblW w:w="15871" w:type="dxa"/>
        <w:tblInd w:w="-106" w:type="dxa"/>
        <w:tblLook w:val="04A0"/>
      </w:tblPr>
      <w:tblGrid>
        <w:gridCol w:w="3758"/>
        <w:gridCol w:w="436"/>
        <w:gridCol w:w="1265"/>
        <w:gridCol w:w="496"/>
        <w:gridCol w:w="2915"/>
        <w:gridCol w:w="632"/>
        <w:gridCol w:w="435"/>
        <w:gridCol w:w="1573"/>
        <w:gridCol w:w="1394"/>
        <w:gridCol w:w="1394"/>
        <w:gridCol w:w="1573"/>
      </w:tblGrid>
      <w:tr w:rsidR="00BF1D7C">
        <w:trPr>
          <w:trHeight w:val="285"/>
        </w:trPr>
        <w:tc>
          <w:tcPr>
            <w:tcW w:w="3758" w:type="dxa"/>
            <w:tcBorders>
              <w:top w:val="nil"/>
              <w:left w:val="nil"/>
              <w:bottom w:val="nil"/>
              <w:right w:val="nil"/>
            </w:tcBorders>
            <w:noWrap/>
            <w:vAlign w:val="center"/>
          </w:tcPr>
          <w:p w:rsidR="00BF1D7C" w:rsidRDefault="00BF1D7C">
            <w:pPr>
              <w:widowControl/>
              <w:jc w:val="left"/>
              <w:rPr>
                <w:rFonts w:ascii="黑体" w:eastAsia="黑体" w:hAnsi="黑体" w:cs="Times New Roman"/>
                <w:kern w:val="0"/>
                <w:sz w:val="24"/>
                <w:szCs w:val="24"/>
              </w:rPr>
            </w:pPr>
            <w:bookmarkStart w:id="0" w:name="RANGE_A1_I22"/>
            <w:bookmarkStart w:id="1" w:name="RANGE_A1_F16"/>
            <w:bookmarkEnd w:id="0"/>
          </w:p>
        </w:tc>
        <w:tc>
          <w:tcPr>
            <w:tcW w:w="436"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1761" w:type="dxa"/>
            <w:gridSpan w:val="2"/>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BF1D7C" w:rsidRDefault="00BF1D7C">
            <w:pPr>
              <w:widowControl/>
              <w:jc w:val="right"/>
              <w:rPr>
                <w:rFonts w:ascii="宋体" w:cs="Times New Roman"/>
                <w:kern w:val="0"/>
                <w:sz w:val="24"/>
                <w:szCs w:val="24"/>
              </w:rPr>
            </w:pPr>
          </w:p>
        </w:tc>
      </w:tr>
      <w:tr w:rsidR="00BF1D7C">
        <w:trPr>
          <w:trHeight w:val="360"/>
        </w:trPr>
        <w:tc>
          <w:tcPr>
            <w:tcW w:w="15871" w:type="dxa"/>
            <w:gridSpan w:val="11"/>
            <w:tcBorders>
              <w:top w:val="nil"/>
              <w:left w:val="nil"/>
              <w:bottom w:val="nil"/>
              <w:right w:val="nil"/>
            </w:tcBorders>
            <w:noWrap/>
            <w:vAlign w:val="center"/>
          </w:tcPr>
          <w:p w:rsidR="00BF1D7C" w:rsidRDefault="00A54150">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财政拨款收入支出决算总表</w:t>
            </w:r>
          </w:p>
        </w:tc>
      </w:tr>
      <w:tr w:rsidR="00BF1D7C">
        <w:trPr>
          <w:trHeight w:val="199"/>
        </w:trPr>
        <w:tc>
          <w:tcPr>
            <w:tcW w:w="3758"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6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BF1D7C">
        <w:trPr>
          <w:trHeight w:val="300"/>
        </w:trPr>
        <w:tc>
          <w:tcPr>
            <w:tcW w:w="3758" w:type="dxa"/>
            <w:tcBorders>
              <w:top w:val="nil"/>
              <w:left w:val="nil"/>
              <w:bottom w:val="nil"/>
              <w:right w:val="nil"/>
            </w:tcBorders>
            <w:shd w:val="clear" w:color="000000" w:fill="FFFFFF"/>
            <w:noWrap/>
            <w:vAlign w:val="center"/>
          </w:tcPr>
          <w:p w:rsidR="00BF1D7C" w:rsidRDefault="00A54150">
            <w:pPr>
              <w:widowControl/>
              <w:ind w:rightChars="16" w:right="34"/>
              <w:jc w:val="left"/>
              <w:rPr>
                <w:rFonts w:ascii="宋体" w:cs="Times New Roman"/>
                <w:color w:val="000000"/>
                <w:kern w:val="0"/>
                <w:sz w:val="20"/>
                <w:szCs w:val="20"/>
              </w:rPr>
            </w:pPr>
            <w:r>
              <w:rPr>
                <w:rFonts w:ascii="宋体" w:hAnsi="宋体" w:cs="宋体" w:hint="eastAsia"/>
                <w:color w:val="000000"/>
                <w:kern w:val="0"/>
                <w:sz w:val="20"/>
                <w:szCs w:val="20"/>
              </w:rPr>
              <w:t>部门：</w:t>
            </w:r>
            <w:r>
              <w:rPr>
                <w:rFonts w:ascii="宋体" w:hAnsi="宋体" w:cs="Arial" w:hint="eastAsia"/>
                <w:color w:val="000000"/>
                <w:kern w:val="0"/>
                <w:sz w:val="20"/>
                <w:szCs w:val="20"/>
              </w:rPr>
              <w:t>湘潭县住房和城乡建设局（人防办)</w:t>
            </w:r>
          </w:p>
        </w:tc>
        <w:tc>
          <w:tcPr>
            <w:tcW w:w="436"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6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BF1D7C">
        <w:trPr>
          <w:trHeight w:val="402"/>
        </w:trPr>
        <w:tc>
          <w:tcPr>
            <w:tcW w:w="545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支出</w:t>
            </w:r>
          </w:p>
        </w:tc>
      </w:tr>
      <w:tr w:rsidR="00BF1D7C">
        <w:trPr>
          <w:trHeight w:val="630"/>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行次</w:t>
            </w:r>
          </w:p>
        </w:tc>
        <w:tc>
          <w:tcPr>
            <w:tcW w:w="126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6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5</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1</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15473.05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37</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3118.23</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3118.23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2</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1794.41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38</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3</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39</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31.57</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31.57</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4</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40</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5</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41</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6</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42</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7</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七、文化旅游体育与传媒支出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43</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8</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八、社会保障和就业支出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44</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6.41</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6.41</w:t>
            </w: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9</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九、卫生健康支出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45</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10</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十、节能环保支出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46</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   1476.42</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   1476.42</w:t>
            </w: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11</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十一、城乡社区支出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47</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   3002.66</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1208.26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1794.41</w:t>
            </w: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12</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十二、农林水支出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48</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13</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十三、交通运输支出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49</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12.82</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12.82</w:t>
            </w: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14</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十四、资源勘探工业信息等支出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50</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15</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十五、商业服务业等支出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51</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16</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十六、金融支出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52</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17</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十七、援助其他地区支出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53</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18</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十八、自然资源海洋气象等支出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54</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4.54</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4.54</w:t>
            </w: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19</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十九、住房保障支出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55</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 10541.22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 xml:space="preserve"> 10541.22  </w:t>
            </w: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20</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二十、粮油物资储备支出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56</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21</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二十一、国有资本经营预算支出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57</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22</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二十二、灾害防治及应急管理支出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58</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23</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二十三、其他支出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59</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24</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二十四、债务还本支出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60</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25</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二十五、债务付息支出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61</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26</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hAnsi="宋体" w:cs="宋体"/>
                <w:kern w:val="0"/>
                <w:sz w:val="24"/>
                <w:szCs w:val="24"/>
              </w:rPr>
            </w:pPr>
            <w:r>
              <w:rPr>
                <w:rFonts w:ascii="宋体" w:hAnsi="宋体" w:cs="宋体" w:hint="eastAsia"/>
                <w:kern w:val="0"/>
                <w:sz w:val="24"/>
                <w:szCs w:val="24"/>
              </w:rPr>
              <w:t>二十六、抗疫特别国债安排的支出</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62</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27</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63</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18193.87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16399.46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1794.41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b/>
                <w:bCs/>
                <w:kern w:val="0"/>
                <w:sz w:val="22"/>
              </w:rPr>
            </w:pPr>
            <w:r>
              <w:rPr>
                <w:rFonts w:ascii="宋体" w:hAnsi="宋体" w:cs="宋体" w:hint="eastAsia"/>
                <w:b/>
                <w:bCs/>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28</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64</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BF1D7C">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hAnsi="宋体" w:cs="宋体"/>
                <w:kern w:val="0"/>
                <w:sz w:val="22"/>
                <w:szCs w:val="22"/>
              </w:rPr>
            </w:pPr>
            <w:r>
              <w:rPr>
                <w:rFonts w:ascii="宋体" w:hAnsi="宋体" w:cs="宋体" w:hint="eastAsia"/>
                <w:kern w:val="0"/>
                <w:sz w:val="22"/>
                <w:szCs w:val="22"/>
              </w:rPr>
              <w:t>29</w:t>
            </w:r>
          </w:p>
        </w:tc>
        <w:tc>
          <w:tcPr>
            <w:tcW w:w="1265" w:type="dxa"/>
            <w:tcBorders>
              <w:top w:val="nil"/>
              <w:left w:val="nil"/>
              <w:bottom w:val="single" w:sz="4" w:space="0" w:color="auto"/>
              <w:right w:val="single" w:sz="4" w:space="0" w:color="auto"/>
            </w:tcBorders>
            <w:noWrap/>
            <w:vAlign w:val="center"/>
          </w:tcPr>
          <w:p w:rsidR="00BF1D7C" w:rsidRDefault="00BF1D7C">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65</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30</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66</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31</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17267.46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67</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32</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926.41　</w:t>
            </w:r>
          </w:p>
        </w:tc>
        <w:tc>
          <w:tcPr>
            <w:tcW w:w="3411" w:type="dxa"/>
            <w:gridSpan w:val="2"/>
            <w:tcBorders>
              <w:top w:val="nil"/>
              <w:left w:val="nil"/>
              <w:bottom w:val="single" w:sz="4" w:space="0" w:color="auto"/>
              <w:right w:val="single" w:sz="4" w:space="0" w:color="auto"/>
            </w:tcBorders>
            <w:shd w:val="clear" w:color="000000" w:fill="FFFFFF"/>
            <w:noWrap/>
            <w:vAlign w:val="center"/>
          </w:tcPr>
          <w:p w:rsidR="00BF1D7C" w:rsidRDefault="00BF1D7C">
            <w:pPr>
              <w:widowControl/>
              <w:jc w:val="center"/>
              <w:rPr>
                <w:rFonts w:ascii="宋体" w:cs="Times New Roman"/>
                <w:b/>
                <w:bCs/>
                <w:kern w:val="0"/>
                <w:sz w:val="22"/>
              </w:rPr>
            </w:pPr>
          </w:p>
        </w:tc>
        <w:tc>
          <w:tcPr>
            <w:tcW w:w="1067" w:type="dxa"/>
            <w:gridSpan w:val="2"/>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68</w:t>
            </w:r>
          </w:p>
        </w:tc>
        <w:tc>
          <w:tcPr>
            <w:tcW w:w="1573" w:type="dxa"/>
            <w:tcBorders>
              <w:top w:val="nil"/>
              <w:left w:val="nil"/>
              <w:bottom w:val="single" w:sz="4" w:space="0" w:color="auto"/>
              <w:right w:val="single" w:sz="4" w:space="0" w:color="auto"/>
            </w:tcBorders>
            <w:shd w:val="clear" w:color="000000" w:fill="FFFFFF"/>
            <w:noWrap/>
            <w:vAlign w:val="center"/>
          </w:tcPr>
          <w:p w:rsidR="00BF1D7C" w:rsidRDefault="00BF1D7C">
            <w:pPr>
              <w:widowControl/>
              <w:jc w:val="center"/>
              <w:rPr>
                <w:rFonts w:ascii="宋体" w:cs="Times New Roman"/>
                <w:kern w:val="0"/>
                <w:sz w:val="22"/>
              </w:rPr>
            </w:pPr>
          </w:p>
        </w:tc>
        <w:tc>
          <w:tcPr>
            <w:tcW w:w="1394"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bCs/>
                <w:kern w:val="0"/>
                <w:sz w:val="22"/>
              </w:rPr>
            </w:pPr>
            <w:r>
              <w:rPr>
                <w:rFonts w:ascii="宋体" w:hAnsi="宋体"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b/>
                <w:bCs/>
                <w:kern w:val="0"/>
                <w:sz w:val="22"/>
              </w:rPr>
            </w:pPr>
            <w:r>
              <w:rPr>
                <w:rFonts w:ascii="宋体" w:hAnsi="宋体" w:cs="宋体" w:hint="eastAsia"/>
                <w:b/>
                <w:bCs/>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33</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926.41　</w:t>
            </w:r>
          </w:p>
        </w:tc>
        <w:tc>
          <w:tcPr>
            <w:tcW w:w="3411" w:type="dxa"/>
            <w:gridSpan w:val="2"/>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69</w:t>
            </w:r>
          </w:p>
        </w:tc>
        <w:tc>
          <w:tcPr>
            <w:tcW w:w="1573"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BF1D7C" w:rsidRDefault="00A54150">
            <w:pPr>
              <w:widowControl/>
              <w:jc w:val="left"/>
              <w:rPr>
                <w:rFonts w:ascii="宋体" w:cs="Times New Roman"/>
                <w:kern w:val="0"/>
                <w:sz w:val="22"/>
              </w:rPr>
            </w:pPr>
            <w:r>
              <w:rPr>
                <w:rFonts w:ascii="宋体" w:hAnsi="宋体" w:cs="宋体" w:hint="eastAsia"/>
                <w:kern w:val="0"/>
                <w:sz w:val="22"/>
                <w:szCs w:val="22"/>
              </w:rPr>
              <w:t xml:space="preserve">　</w:t>
            </w: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34</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BF1D7C">
            <w:pPr>
              <w:widowControl/>
              <w:jc w:val="left"/>
              <w:rPr>
                <w:rFonts w:ascii="宋体" w:cs="Times New Roman"/>
                <w:kern w:val="0"/>
                <w:sz w:val="22"/>
              </w:rPr>
            </w:pP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cs="Times New Roman" w:hint="eastAsia"/>
                <w:kern w:val="0"/>
                <w:sz w:val="22"/>
              </w:rPr>
              <w:t>70</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left"/>
              <w:rPr>
                <w:rFonts w:ascii="宋体" w:cs="Times New Roman"/>
                <w:kern w:val="0"/>
                <w:sz w:val="22"/>
              </w:rPr>
            </w:pPr>
          </w:p>
        </w:tc>
      </w:tr>
      <w:tr w:rsidR="00BF1D7C">
        <w:trPr>
          <w:trHeight w:val="402"/>
        </w:trPr>
        <w:tc>
          <w:tcPr>
            <w:tcW w:w="3758"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35</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BF1D7C" w:rsidRDefault="00BF1D7C">
            <w:pPr>
              <w:widowControl/>
              <w:jc w:val="left"/>
              <w:rPr>
                <w:rFonts w:ascii="宋体" w:cs="Times New Roman"/>
                <w:kern w:val="0"/>
                <w:sz w:val="22"/>
              </w:rPr>
            </w:pPr>
          </w:p>
        </w:tc>
        <w:tc>
          <w:tcPr>
            <w:tcW w:w="1067" w:type="dxa"/>
            <w:gridSpan w:val="2"/>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cs="Times New Roman" w:hint="eastAsia"/>
                <w:kern w:val="0"/>
                <w:sz w:val="22"/>
              </w:rPr>
              <w:t>71</w:t>
            </w:r>
          </w:p>
        </w:tc>
        <w:tc>
          <w:tcPr>
            <w:tcW w:w="1573"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394"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kern w:val="0"/>
                <w:sz w:val="22"/>
              </w:rPr>
            </w:pPr>
          </w:p>
        </w:tc>
        <w:tc>
          <w:tcPr>
            <w:tcW w:w="1573" w:type="dxa"/>
            <w:tcBorders>
              <w:top w:val="nil"/>
              <w:left w:val="nil"/>
              <w:bottom w:val="single" w:sz="4" w:space="0" w:color="auto"/>
              <w:right w:val="single" w:sz="4" w:space="0" w:color="auto"/>
            </w:tcBorders>
            <w:noWrap/>
            <w:vAlign w:val="center"/>
          </w:tcPr>
          <w:p w:rsidR="00BF1D7C" w:rsidRDefault="00BF1D7C">
            <w:pPr>
              <w:widowControl/>
              <w:jc w:val="left"/>
              <w:rPr>
                <w:rFonts w:ascii="宋体" w:cs="Times New Roman"/>
                <w:kern w:val="0"/>
                <w:sz w:val="22"/>
              </w:rPr>
            </w:pPr>
          </w:p>
        </w:tc>
      </w:tr>
      <w:tr w:rsidR="00BF1D7C">
        <w:trPr>
          <w:trHeight w:val="402"/>
        </w:trPr>
        <w:tc>
          <w:tcPr>
            <w:tcW w:w="3758" w:type="dxa"/>
            <w:tcBorders>
              <w:top w:val="nil"/>
              <w:left w:val="single" w:sz="4" w:space="0" w:color="auto"/>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36</w:t>
            </w:r>
          </w:p>
        </w:tc>
        <w:tc>
          <w:tcPr>
            <w:tcW w:w="1265" w:type="dxa"/>
            <w:tcBorders>
              <w:top w:val="nil"/>
              <w:left w:val="nil"/>
              <w:bottom w:val="single" w:sz="4" w:space="0" w:color="auto"/>
              <w:right w:val="single" w:sz="4" w:space="0" w:color="auto"/>
            </w:tcBorders>
            <w:noWrap/>
            <w:vAlign w:val="center"/>
          </w:tcPr>
          <w:p w:rsidR="00BF1D7C" w:rsidRDefault="00A54150">
            <w:pPr>
              <w:widowControl/>
              <w:jc w:val="right"/>
              <w:rPr>
                <w:rFonts w:ascii="宋体" w:cs="Times New Roman"/>
                <w:kern w:val="0"/>
                <w:sz w:val="22"/>
              </w:rPr>
            </w:pPr>
            <w:r>
              <w:rPr>
                <w:rFonts w:ascii="宋体" w:hAnsi="宋体" w:cs="宋体" w:hint="eastAsia"/>
                <w:kern w:val="0"/>
                <w:sz w:val="22"/>
                <w:szCs w:val="22"/>
              </w:rPr>
              <w:t xml:space="preserve">18193.87　</w:t>
            </w:r>
          </w:p>
        </w:tc>
        <w:tc>
          <w:tcPr>
            <w:tcW w:w="3411" w:type="dxa"/>
            <w:gridSpan w:val="2"/>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b/>
                <w:bCs/>
                <w:kern w:val="0"/>
                <w:sz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cs="Times New Roman" w:hint="eastAsia"/>
                <w:kern w:val="0"/>
                <w:sz w:val="22"/>
              </w:rPr>
              <w:t>72</w:t>
            </w:r>
          </w:p>
        </w:tc>
        <w:tc>
          <w:tcPr>
            <w:tcW w:w="1573"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18193.87　</w:t>
            </w:r>
          </w:p>
        </w:tc>
        <w:tc>
          <w:tcPr>
            <w:tcW w:w="1394" w:type="dxa"/>
            <w:tcBorders>
              <w:top w:val="nil"/>
              <w:left w:val="nil"/>
              <w:bottom w:val="single" w:sz="4" w:space="0" w:color="auto"/>
              <w:right w:val="single" w:sz="4" w:space="0" w:color="auto"/>
            </w:tcBorders>
            <w:shd w:val="clear" w:color="000000" w:fill="FFFFFF"/>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16399.46　</w:t>
            </w:r>
          </w:p>
        </w:tc>
        <w:tc>
          <w:tcPr>
            <w:tcW w:w="1394"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kern w:val="0"/>
                <w:sz w:val="22"/>
              </w:rPr>
            </w:pPr>
            <w:r>
              <w:rPr>
                <w:rFonts w:ascii="宋体" w:hAnsi="宋体" w:cs="宋体" w:hint="eastAsia"/>
                <w:kern w:val="0"/>
                <w:sz w:val="22"/>
                <w:szCs w:val="22"/>
              </w:rPr>
              <w:t xml:space="preserve">1794.41　</w:t>
            </w:r>
          </w:p>
        </w:tc>
        <w:tc>
          <w:tcPr>
            <w:tcW w:w="1573" w:type="dxa"/>
            <w:tcBorders>
              <w:top w:val="nil"/>
              <w:left w:val="nil"/>
              <w:bottom w:val="single" w:sz="4" w:space="0" w:color="auto"/>
              <w:right w:val="single" w:sz="4" w:space="0" w:color="auto"/>
            </w:tcBorders>
            <w:noWrap/>
            <w:vAlign w:val="center"/>
          </w:tcPr>
          <w:p w:rsidR="00BF1D7C" w:rsidRDefault="00BF1D7C">
            <w:pPr>
              <w:widowControl/>
              <w:jc w:val="left"/>
              <w:rPr>
                <w:rFonts w:ascii="宋体" w:cs="Times New Roman"/>
                <w:b/>
                <w:bCs/>
                <w:kern w:val="0"/>
                <w:sz w:val="22"/>
              </w:rPr>
            </w:pPr>
          </w:p>
        </w:tc>
      </w:tr>
      <w:tr w:rsidR="00BF1D7C">
        <w:trPr>
          <w:trHeight w:val="585"/>
        </w:trPr>
        <w:tc>
          <w:tcPr>
            <w:tcW w:w="15871" w:type="dxa"/>
            <w:gridSpan w:val="11"/>
            <w:tcBorders>
              <w:top w:val="nil"/>
              <w:left w:val="nil"/>
              <w:bottom w:val="nil"/>
              <w:right w:val="nil"/>
            </w:tcBorders>
            <w:vAlign w:val="center"/>
          </w:tcPr>
          <w:p w:rsidR="00BF1D7C" w:rsidRDefault="00A54150">
            <w:pPr>
              <w:widowControl/>
              <w:jc w:val="left"/>
              <w:rPr>
                <w:rFonts w:ascii="宋体" w:cs="Times New Roman"/>
                <w:kern w:val="0"/>
                <w:sz w:val="24"/>
                <w:szCs w:val="24"/>
              </w:rPr>
            </w:pPr>
            <w:r>
              <w:rPr>
                <w:rFonts w:ascii="宋体" w:hAnsi="宋体" w:cs="Arial" w:hint="eastAsia"/>
                <w:color w:val="000000"/>
                <w:kern w:val="0"/>
                <w:sz w:val="22"/>
              </w:rPr>
              <w:t>注：本表反映部门本年度一般公共预算财政拨款、政府性基金预算财政拨款和国有资本经营预算财政拨款的总收支和年末结转结余情况。</w:t>
            </w:r>
          </w:p>
        </w:tc>
      </w:tr>
    </w:tbl>
    <w:p w:rsidR="00BF1D7C" w:rsidRDefault="00BF1D7C">
      <w:pPr>
        <w:widowControl/>
        <w:jc w:val="center"/>
        <w:rPr>
          <w:rFonts w:ascii="Times New Roman" w:eastAsia="方正小标宋_GBK" w:hAnsi="Times New Roman" w:cs="Times New Roman"/>
          <w:kern w:val="0"/>
          <w:sz w:val="36"/>
          <w:szCs w:val="36"/>
        </w:rPr>
      </w:pPr>
    </w:p>
    <w:p w:rsidR="00BF1D7C" w:rsidRDefault="00A54150">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lastRenderedPageBreak/>
        <w:t>一般公共预算财政拨款支出决算表</w:t>
      </w:r>
      <w:bookmarkEnd w:id="1"/>
    </w:p>
    <w:p w:rsidR="00BF1D7C" w:rsidRDefault="00A54150" w:rsidP="00263CEF">
      <w:pPr>
        <w:widowControl/>
        <w:spacing w:beforeLines="50"/>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宋体" w:hAnsi="宋体" w:cs="Arial" w:hint="eastAsia"/>
          <w:color w:val="000000"/>
          <w:kern w:val="0"/>
          <w:sz w:val="20"/>
          <w:szCs w:val="20"/>
        </w:rPr>
        <w:t>湘潭县住房和城乡建设局（人防办)</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r>
        <w:rPr>
          <w:rFonts w:ascii="Times New Roman" w:eastAsia="仿宋_GB2312" w:hAnsi="Times New Roman" w:cs="Times New Roman"/>
          <w:color w:val="000000"/>
          <w:kern w:val="0"/>
        </w:rPr>
        <w:t xml:space="preserve">                                                                                                        </w:t>
      </w:r>
    </w:p>
    <w:p w:rsidR="00BF1D7C" w:rsidRDefault="00A54150">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3137" w:type="dxa"/>
        <w:jc w:val="center"/>
        <w:tblLook w:val="04A0"/>
      </w:tblPr>
      <w:tblGrid>
        <w:gridCol w:w="1702"/>
        <w:gridCol w:w="3529"/>
        <w:gridCol w:w="2711"/>
        <w:gridCol w:w="2694"/>
        <w:gridCol w:w="2501"/>
      </w:tblGrid>
      <w:tr w:rsidR="00BF1D7C">
        <w:trPr>
          <w:trHeight w:val="405"/>
          <w:jc w:val="center"/>
        </w:trPr>
        <w:tc>
          <w:tcPr>
            <w:tcW w:w="5231" w:type="dxa"/>
            <w:gridSpan w:val="2"/>
            <w:tcBorders>
              <w:top w:val="single" w:sz="8" w:space="0" w:color="auto"/>
              <w:left w:val="single" w:sz="8"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7906" w:type="dxa"/>
            <w:gridSpan w:val="3"/>
            <w:tcBorders>
              <w:top w:val="single" w:sz="8" w:space="0" w:color="auto"/>
              <w:left w:val="nil"/>
              <w:bottom w:val="single" w:sz="4" w:space="0" w:color="auto"/>
              <w:right w:val="single" w:sz="8" w:space="0" w:color="000000"/>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BF1D7C">
        <w:trPr>
          <w:trHeight w:val="495"/>
          <w:jc w:val="center"/>
        </w:trPr>
        <w:tc>
          <w:tcPr>
            <w:tcW w:w="1702" w:type="dxa"/>
            <w:vMerge w:val="restart"/>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9" w:type="dxa"/>
            <w:vMerge w:val="restart"/>
            <w:tcBorders>
              <w:top w:val="nil"/>
              <w:left w:val="single" w:sz="4"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711" w:type="dxa"/>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694" w:type="dxa"/>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2501" w:type="dxa"/>
            <w:vMerge w:val="restart"/>
            <w:tcBorders>
              <w:top w:val="nil"/>
              <w:left w:val="single" w:sz="4" w:space="0" w:color="auto"/>
              <w:bottom w:val="single" w:sz="4" w:space="0" w:color="000000"/>
              <w:right w:val="single" w:sz="8" w:space="0" w:color="auto"/>
            </w:tcBorders>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BF1D7C">
        <w:trPr>
          <w:trHeight w:val="360"/>
          <w:jc w:val="center"/>
        </w:trPr>
        <w:tc>
          <w:tcPr>
            <w:tcW w:w="1702" w:type="dxa"/>
            <w:vMerge/>
            <w:tcBorders>
              <w:top w:val="single" w:sz="4" w:space="0" w:color="auto"/>
              <w:left w:val="single" w:sz="8" w:space="0" w:color="auto"/>
              <w:bottom w:val="single" w:sz="4" w:space="0" w:color="auto"/>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3529" w:type="dxa"/>
            <w:vMerge/>
            <w:tcBorders>
              <w:top w:val="nil"/>
              <w:left w:val="single" w:sz="4" w:space="0" w:color="auto"/>
              <w:bottom w:val="single" w:sz="4" w:space="0" w:color="auto"/>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711"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694"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501" w:type="dxa"/>
            <w:vMerge/>
            <w:tcBorders>
              <w:top w:val="nil"/>
              <w:left w:val="single" w:sz="4" w:space="0" w:color="auto"/>
              <w:bottom w:val="single" w:sz="4" w:space="0" w:color="000000"/>
              <w:right w:val="single" w:sz="8" w:space="0" w:color="auto"/>
            </w:tcBorders>
            <w:vAlign w:val="center"/>
          </w:tcPr>
          <w:p w:rsidR="00BF1D7C" w:rsidRDefault="00BF1D7C">
            <w:pPr>
              <w:widowControl/>
              <w:jc w:val="left"/>
              <w:rPr>
                <w:rFonts w:ascii="Times New Roman" w:eastAsia="仿宋_GB2312" w:hAnsi="Times New Roman" w:cs="Times New Roman"/>
                <w:kern w:val="0"/>
              </w:rPr>
            </w:pPr>
          </w:p>
        </w:tc>
      </w:tr>
      <w:tr w:rsidR="00BF1D7C">
        <w:trPr>
          <w:trHeight w:val="450"/>
          <w:jc w:val="center"/>
        </w:trPr>
        <w:tc>
          <w:tcPr>
            <w:tcW w:w="1702" w:type="dxa"/>
            <w:vMerge/>
            <w:tcBorders>
              <w:top w:val="single" w:sz="4" w:space="0" w:color="auto"/>
              <w:left w:val="single" w:sz="8" w:space="0" w:color="auto"/>
              <w:bottom w:val="single" w:sz="4" w:space="0" w:color="auto"/>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3529" w:type="dxa"/>
            <w:vMerge/>
            <w:tcBorders>
              <w:top w:val="nil"/>
              <w:left w:val="single" w:sz="4" w:space="0" w:color="auto"/>
              <w:bottom w:val="single" w:sz="4" w:space="0" w:color="auto"/>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711"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694"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2501" w:type="dxa"/>
            <w:vMerge/>
            <w:tcBorders>
              <w:top w:val="nil"/>
              <w:left w:val="single" w:sz="4" w:space="0" w:color="auto"/>
              <w:bottom w:val="single" w:sz="4" w:space="0" w:color="000000"/>
              <w:right w:val="single" w:sz="8" w:space="0" w:color="auto"/>
            </w:tcBorders>
            <w:vAlign w:val="center"/>
          </w:tcPr>
          <w:p w:rsidR="00BF1D7C" w:rsidRDefault="00BF1D7C">
            <w:pPr>
              <w:widowControl/>
              <w:jc w:val="left"/>
              <w:rPr>
                <w:rFonts w:ascii="Times New Roman" w:eastAsia="仿宋_GB2312" w:hAnsi="Times New Roman" w:cs="Times New Roman"/>
                <w:kern w:val="0"/>
              </w:rPr>
            </w:pPr>
          </w:p>
        </w:tc>
      </w:tr>
      <w:tr w:rsidR="00BF1D7C">
        <w:trPr>
          <w:trHeight w:val="450"/>
          <w:jc w:val="center"/>
        </w:trPr>
        <w:tc>
          <w:tcPr>
            <w:tcW w:w="5231"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BF1D7C">
        <w:trPr>
          <w:trHeight w:val="450"/>
          <w:jc w:val="center"/>
        </w:trPr>
        <w:tc>
          <w:tcPr>
            <w:tcW w:w="5231"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16399.46</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10939.66</w:t>
            </w:r>
            <w:r>
              <w:rPr>
                <w:rFonts w:ascii="Times New Roman" w:eastAsia="仿宋_GB2312" w:hAnsi="Times New Roman" w:cs="仿宋_GB2312" w:hint="eastAsia"/>
                <w:kern w:val="0"/>
              </w:rPr>
              <w:t xml:space="preserve">　</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5459.79</w:t>
            </w:r>
            <w:r>
              <w:rPr>
                <w:rFonts w:ascii="Times New Roman" w:eastAsia="仿宋_GB2312" w:hAnsi="Times New Roman" w:cs="仿宋_GB2312" w:hint="eastAsia"/>
                <w:kern w:val="0"/>
              </w:rPr>
              <w:t xml:space="preserve">　</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ind w:rightChars="283" w:right="594"/>
              <w:jc w:val="left"/>
              <w:rPr>
                <w:rFonts w:ascii="宋体" w:hAnsi="宋体" w:cs="Arial"/>
                <w:color w:val="000000"/>
                <w:kern w:val="0"/>
                <w:sz w:val="22"/>
              </w:rPr>
            </w:pPr>
            <w:r>
              <w:rPr>
                <w:rFonts w:ascii="宋体" w:hAnsi="宋体" w:cs="Arial" w:hint="eastAsia"/>
                <w:color w:val="000000"/>
                <w:kern w:val="0"/>
                <w:sz w:val="22"/>
              </w:rPr>
              <w:t>201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3118.23</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2057.32</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1060.91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人大事务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1737.05</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1731.56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5.48</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1737.05</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1731.56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5.48</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政府办公厅（室）及相关机构事务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390.77</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190.36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200.41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390.36</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190.36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200.00</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2010302</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0.41</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0.41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w:t>
            </w:r>
            <w:r>
              <w:rPr>
                <w:rFonts w:ascii="宋体" w:hAnsi="宋体" w:cs="Arial"/>
                <w:color w:val="000000"/>
                <w:kern w:val="0"/>
                <w:sz w:val="22"/>
              </w:rPr>
              <w:tab/>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宣传事务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14.40</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14.40</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2013399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其他宣传事务支出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14.40</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14.40</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市场监督管理事务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42.09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0.47</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41.62</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2013802</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42.09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0.47</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41.62</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933.92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134.92</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799.01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lastRenderedPageBreak/>
              <w:t>2019999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933.92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134.92</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799.01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31.57</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28.41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20306</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国防动员</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31.57</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28.41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2030603</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人民防空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31.57</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3.16</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28.41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财政对其他社会保险基金的补助</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2082799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其他财政对社会保险基金的补助</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6.41</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节能环保支出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污染防治</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2110302</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水体</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1476.42</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1208.26</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318.41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889.85</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城乡社区管理事务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901.99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298.01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603.98</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240.53</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239.01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1.53</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2120102</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一般行政管理事务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599.81</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599.81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2120199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其他城乡社区管理事务支出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61.65</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59.00</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2.65</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168.08</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168.08</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2120501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城乡社区环境卫生</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168.08</w:t>
            </w:r>
          </w:p>
        </w:tc>
        <w:tc>
          <w:tcPr>
            <w:tcW w:w="2694" w:type="dxa"/>
            <w:tcBorders>
              <w:top w:val="nil"/>
              <w:left w:val="nil"/>
              <w:bottom w:val="single" w:sz="4" w:space="0" w:color="auto"/>
              <w:right w:val="single" w:sz="4" w:space="0" w:color="auto"/>
            </w:tcBorders>
            <w:vAlign w:val="center"/>
          </w:tcPr>
          <w:p w:rsidR="00BF1D7C" w:rsidRDefault="00BF1D7C">
            <w:pPr>
              <w:widowControl/>
              <w:jc w:val="center"/>
              <w:rPr>
                <w:rFonts w:ascii="Times New Roman" w:eastAsia="仿宋_GB2312" w:hAnsi="Times New Roman" w:cs="仿宋_GB2312"/>
                <w:kern w:val="0"/>
              </w:rPr>
            </w:pP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168.08</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138.19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20.40</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117.79</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2129999</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其他城乡社区支出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138.19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20.40</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117.79</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214</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交通运输支出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21401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公路水路运输</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2140101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行政运行</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12.82</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lastRenderedPageBreak/>
              <w:t>220</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自然资源海洋气象等支出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22001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自然资源事务</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仿宋_GB2312"/>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2200101</w:t>
            </w:r>
          </w:p>
        </w:tc>
        <w:tc>
          <w:tcPr>
            <w:tcW w:w="3529" w:type="dxa"/>
            <w:tcBorders>
              <w:top w:val="nil"/>
              <w:left w:val="nil"/>
              <w:bottom w:val="single" w:sz="4" w:space="0" w:color="auto"/>
              <w:right w:val="single" w:sz="4" w:space="0" w:color="auto"/>
            </w:tcBorders>
            <w:vAlign w:val="center"/>
          </w:tcPr>
          <w:p w:rsidR="00BF1D7C" w:rsidRDefault="00A54150" w:rsidP="00EC2034">
            <w:pPr>
              <w:widowControl/>
              <w:ind w:leftChars="-120" w:left="-252" w:rightChars="-211" w:right="-443" w:firstLineChars="114" w:firstLine="251"/>
              <w:jc w:val="left"/>
              <w:rPr>
                <w:rFonts w:ascii="宋体" w:hAnsi="宋体" w:cs="Arial"/>
                <w:color w:val="000000"/>
                <w:kern w:val="0"/>
                <w:sz w:val="22"/>
              </w:rPr>
            </w:pPr>
            <w:r>
              <w:rPr>
                <w:rFonts w:ascii="宋体" w:hAnsi="宋体" w:cs="Arial" w:hint="eastAsia"/>
                <w:color w:val="000000"/>
                <w:kern w:val="0"/>
                <w:sz w:val="22"/>
              </w:rPr>
              <w:t>行政运行</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4.54</w:t>
            </w:r>
          </w:p>
        </w:tc>
        <w:tc>
          <w:tcPr>
            <w:tcW w:w="2501" w:type="dxa"/>
            <w:tcBorders>
              <w:top w:val="nil"/>
              <w:left w:val="nil"/>
              <w:bottom w:val="single" w:sz="4" w:space="0" w:color="auto"/>
              <w:right w:val="single" w:sz="8" w:space="0" w:color="auto"/>
            </w:tcBorders>
            <w:vAlign w:val="center"/>
          </w:tcPr>
          <w:p w:rsidR="00BF1D7C" w:rsidRDefault="00BF1D7C">
            <w:pPr>
              <w:widowControl/>
              <w:jc w:val="center"/>
              <w:rPr>
                <w:rFonts w:ascii="Times New Roman" w:eastAsia="仿宋_GB2312" w:hAnsi="Times New Roman" w:cs="Times New Roman"/>
                <w:kern w:val="0"/>
              </w:rPr>
            </w:pP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住房保障支出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10541.22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8537.01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2004.21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保障性安居工程支出</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10541.22</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8537.01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2004.21</w:t>
            </w:r>
          </w:p>
        </w:tc>
      </w:tr>
      <w:tr w:rsidR="00BF1D7C">
        <w:trPr>
          <w:trHeight w:val="450"/>
          <w:jc w:val="center"/>
        </w:trPr>
        <w:tc>
          <w:tcPr>
            <w:tcW w:w="1702" w:type="dxa"/>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2210101</w:t>
            </w:r>
          </w:p>
        </w:tc>
        <w:tc>
          <w:tcPr>
            <w:tcW w:w="3529" w:type="dxa"/>
            <w:tcBorders>
              <w:top w:val="nil"/>
              <w:left w:val="nil"/>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廉租住房</w:t>
            </w:r>
          </w:p>
        </w:tc>
        <w:tc>
          <w:tcPr>
            <w:tcW w:w="2711"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60.49</w:t>
            </w:r>
          </w:p>
        </w:tc>
        <w:tc>
          <w:tcPr>
            <w:tcW w:w="2694"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32.51</w:t>
            </w:r>
          </w:p>
        </w:tc>
        <w:tc>
          <w:tcPr>
            <w:tcW w:w="2501"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27.98</w:t>
            </w:r>
          </w:p>
        </w:tc>
      </w:tr>
      <w:tr w:rsidR="00BF1D7C">
        <w:trPr>
          <w:trHeight w:val="450"/>
          <w:jc w:val="center"/>
        </w:trPr>
        <w:tc>
          <w:tcPr>
            <w:tcW w:w="1702" w:type="dxa"/>
            <w:tcBorders>
              <w:top w:val="single" w:sz="4" w:space="0" w:color="auto"/>
              <w:left w:val="single" w:sz="4" w:space="0" w:color="auto"/>
              <w:bottom w:val="single" w:sz="8"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2210103</w:t>
            </w:r>
          </w:p>
        </w:tc>
        <w:tc>
          <w:tcPr>
            <w:tcW w:w="3529" w:type="dxa"/>
            <w:tcBorders>
              <w:top w:val="nil"/>
              <w:left w:val="nil"/>
              <w:bottom w:val="single" w:sz="8"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棚户区改造</w:t>
            </w:r>
          </w:p>
        </w:tc>
        <w:tc>
          <w:tcPr>
            <w:tcW w:w="2711" w:type="dxa"/>
            <w:tcBorders>
              <w:top w:val="nil"/>
              <w:left w:val="nil"/>
              <w:bottom w:val="single" w:sz="8"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8531.54</w:t>
            </w:r>
          </w:p>
        </w:tc>
        <w:tc>
          <w:tcPr>
            <w:tcW w:w="2694" w:type="dxa"/>
            <w:tcBorders>
              <w:top w:val="nil"/>
              <w:left w:val="nil"/>
              <w:bottom w:val="single" w:sz="8"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8501.60</w:t>
            </w:r>
          </w:p>
        </w:tc>
        <w:tc>
          <w:tcPr>
            <w:tcW w:w="2501" w:type="dxa"/>
            <w:tcBorders>
              <w:top w:val="nil"/>
              <w:left w:val="nil"/>
              <w:bottom w:val="single" w:sz="8"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29.94</w:t>
            </w:r>
          </w:p>
        </w:tc>
      </w:tr>
      <w:tr w:rsidR="00BF1D7C">
        <w:trPr>
          <w:trHeight w:val="450"/>
          <w:jc w:val="center"/>
        </w:trPr>
        <w:tc>
          <w:tcPr>
            <w:tcW w:w="1702" w:type="dxa"/>
            <w:tcBorders>
              <w:top w:val="nil"/>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2210105</w:t>
            </w:r>
          </w:p>
        </w:tc>
        <w:tc>
          <w:tcPr>
            <w:tcW w:w="3529" w:type="dxa"/>
            <w:tcBorders>
              <w:top w:val="nil"/>
              <w:left w:val="single" w:sz="4" w:space="0" w:color="auto"/>
              <w:bottom w:val="single" w:sz="4" w:space="0" w:color="auto"/>
              <w:right w:val="nil"/>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农村危房改造</w:t>
            </w:r>
          </w:p>
        </w:tc>
        <w:tc>
          <w:tcPr>
            <w:tcW w:w="2711" w:type="dxa"/>
            <w:tcBorders>
              <w:top w:val="nil"/>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308.20</w:t>
            </w:r>
          </w:p>
        </w:tc>
        <w:tc>
          <w:tcPr>
            <w:tcW w:w="2694" w:type="dxa"/>
            <w:tcBorders>
              <w:top w:val="nil"/>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0.90</w:t>
            </w:r>
          </w:p>
        </w:tc>
        <w:tc>
          <w:tcPr>
            <w:tcW w:w="2501" w:type="dxa"/>
            <w:tcBorders>
              <w:top w:val="nil"/>
              <w:left w:val="single" w:sz="4" w:space="0" w:color="auto"/>
              <w:bottom w:val="single" w:sz="4" w:space="0" w:color="auto"/>
              <w:right w:val="single" w:sz="4" w:space="0" w:color="auto"/>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307.30</w:t>
            </w:r>
          </w:p>
        </w:tc>
      </w:tr>
      <w:tr w:rsidR="00BF1D7C">
        <w:trPr>
          <w:trHeight w:val="450"/>
          <w:jc w:val="center"/>
        </w:trPr>
        <w:tc>
          <w:tcPr>
            <w:tcW w:w="170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2210107</w:t>
            </w:r>
          </w:p>
        </w:tc>
        <w:tc>
          <w:tcPr>
            <w:tcW w:w="3529" w:type="dxa"/>
            <w:tcBorders>
              <w:top w:val="single" w:sz="4" w:space="0" w:color="auto"/>
              <w:left w:val="single" w:sz="4" w:space="0" w:color="auto"/>
              <w:bottom w:val="single" w:sz="4" w:space="0" w:color="auto"/>
              <w:right w:val="nil"/>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保障性住房租金补贴</w:t>
            </w:r>
          </w:p>
        </w:tc>
        <w:tc>
          <w:tcPr>
            <w:tcW w:w="2711" w:type="dxa"/>
            <w:tcBorders>
              <w:top w:val="single" w:sz="4" w:space="0" w:color="auto"/>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137.21</w:t>
            </w:r>
          </w:p>
        </w:tc>
        <w:tc>
          <w:tcPr>
            <w:tcW w:w="2694" w:type="dxa"/>
            <w:tcBorders>
              <w:top w:val="single" w:sz="4" w:space="0" w:color="auto"/>
              <w:left w:val="single" w:sz="4" w:space="0" w:color="auto"/>
              <w:bottom w:val="single" w:sz="4" w:space="0" w:color="auto"/>
              <w:right w:val="nil"/>
            </w:tcBorders>
            <w:vAlign w:val="center"/>
          </w:tcPr>
          <w:p w:rsidR="00BF1D7C" w:rsidRDefault="00BF1D7C">
            <w:pPr>
              <w:widowControl/>
              <w:jc w:val="center"/>
              <w:rPr>
                <w:rFonts w:ascii="宋体" w:hAnsi="宋体" w:cs="Arial"/>
                <w:color w:val="000000"/>
                <w:kern w:val="0"/>
                <w:sz w:val="22"/>
              </w:rPr>
            </w:pPr>
          </w:p>
        </w:tc>
        <w:tc>
          <w:tcPr>
            <w:tcW w:w="2501"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137.21</w:t>
            </w:r>
          </w:p>
        </w:tc>
      </w:tr>
      <w:tr w:rsidR="00BF1D7C">
        <w:trPr>
          <w:trHeight w:val="596"/>
          <w:jc w:val="center"/>
        </w:trPr>
        <w:tc>
          <w:tcPr>
            <w:tcW w:w="170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2210108</w:t>
            </w:r>
          </w:p>
        </w:tc>
        <w:tc>
          <w:tcPr>
            <w:tcW w:w="3529" w:type="dxa"/>
            <w:tcBorders>
              <w:top w:val="single" w:sz="4" w:space="0" w:color="auto"/>
              <w:left w:val="single" w:sz="4" w:space="0" w:color="auto"/>
              <w:bottom w:val="single" w:sz="4" w:space="0" w:color="auto"/>
              <w:right w:val="nil"/>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老旧小区改造</w:t>
            </w:r>
          </w:p>
        </w:tc>
        <w:tc>
          <w:tcPr>
            <w:tcW w:w="2711" w:type="dxa"/>
            <w:tcBorders>
              <w:top w:val="single" w:sz="4" w:space="0" w:color="auto"/>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1498.62</w:t>
            </w:r>
          </w:p>
        </w:tc>
        <w:tc>
          <w:tcPr>
            <w:tcW w:w="2694" w:type="dxa"/>
            <w:tcBorders>
              <w:top w:val="single" w:sz="4" w:space="0" w:color="auto"/>
              <w:left w:val="single" w:sz="4" w:space="0" w:color="auto"/>
              <w:bottom w:val="single" w:sz="4" w:space="0" w:color="auto"/>
              <w:right w:val="nil"/>
            </w:tcBorders>
            <w:vAlign w:val="center"/>
          </w:tcPr>
          <w:p w:rsidR="00BF1D7C" w:rsidRDefault="00BF1D7C">
            <w:pPr>
              <w:widowControl/>
              <w:jc w:val="center"/>
              <w:rPr>
                <w:rFonts w:ascii="宋体" w:hAnsi="宋体" w:cs="Arial"/>
                <w:color w:val="000000"/>
                <w:kern w:val="0"/>
                <w:sz w:val="22"/>
              </w:rPr>
            </w:pPr>
          </w:p>
        </w:tc>
        <w:tc>
          <w:tcPr>
            <w:tcW w:w="2501"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1498.62</w:t>
            </w:r>
          </w:p>
        </w:tc>
      </w:tr>
      <w:tr w:rsidR="00BF1D7C">
        <w:trPr>
          <w:trHeight w:val="564"/>
          <w:jc w:val="center"/>
        </w:trPr>
        <w:tc>
          <w:tcPr>
            <w:tcW w:w="1702"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left"/>
              <w:rPr>
                <w:rFonts w:ascii="宋体" w:hAnsi="宋体" w:cs="Arial"/>
                <w:color w:val="000000"/>
                <w:kern w:val="0"/>
                <w:sz w:val="22"/>
              </w:rPr>
            </w:pPr>
            <w:r>
              <w:rPr>
                <w:rFonts w:ascii="宋体" w:hAnsi="宋体" w:cs="Arial"/>
                <w:color w:val="000000"/>
                <w:kern w:val="0"/>
                <w:sz w:val="22"/>
              </w:rPr>
              <w:t>2210199</w:t>
            </w:r>
          </w:p>
        </w:tc>
        <w:tc>
          <w:tcPr>
            <w:tcW w:w="3529" w:type="dxa"/>
            <w:tcBorders>
              <w:top w:val="single" w:sz="4" w:space="0" w:color="auto"/>
              <w:left w:val="single" w:sz="4" w:space="0" w:color="auto"/>
              <w:bottom w:val="single" w:sz="4" w:space="0" w:color="auto"/>
              <w:right w:val="nil"/>
            </w:tcBorders>
            <w:vAlign w:val="center"/>
          </w:tcPr>
          <w:p w:rsidR="00BF1D7C" w:rsidRDefault="00A54150">
            <w:pPr>
              <w:widowControl/>
              <w:jc w:val="left"/>
              <w:rPr>
                <w:rFonts w:ascii="宋体" w:hAnsi="宋体" w:cs="Arial"/>
                <w:color w:val="000000"/>
                <w:kern w:val="0"/>
                <w:sz w:val="22"/>
              </w:rPr>
            </w:pPr>
            <w:r>
              <w:rPr>
                <w:rFonts w:ascii="宋体" w:hAnsi="宋体" w:cs="Arial" w:hint="eastAsia"/>
                <w:color w:val="000000"/>
                <w:kern w:val="0"/>
                <w:sz w:val="22"/>
              </w:rPr>
              <w:t>其他保障性安居工程支出</w:t>
            </w:r>
          </w:p>
        </w:tc>
        <w:tc>
          <w:tcPr>
            <w:tcW w:w="2711" w:type="dxa"/>
            <w:tcBorders>
              <w:top w:val="single" w:sz="4" w:space="0" w:color="auto"/>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5.15</w:t>
            </w:r>
          </w:p>
        </w:tc>
        <w:tc>
          <w:tcPr>
            <w:tcW w:w="2694" w:type="dxa"/>
            <w:tcBorders>
              <w:top w:val="single" w:sz="4" w:space="0" w:color="auto"/>
              <w:left w:val="single" w:sz="4" w:space="0" w:color="auto"/>
              <w:bottom w:val="single" w:sz="4" w:space="0" w:color="auto"/>
              <w:right w:val="nil"/>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1.99</w:t>
            </w:r>
          </w:p>
        </w:tc>
        <w:tc>
          <w:tcPr>
            <w:tcW w:w="2501"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center"/>
              <w:rPr>
                <w:rFonts w:ascii="宋体" w:hAnsi="宋体" w:cs="Arial"/>
                <w:color w:val="000000"/>
                <w:kern w:val="0"/>
                <w:sz w:val="22"/>
              </w:rPr>
            </w:pPr>
            <w:r>
              <w:rPr>
                <w:rFonts w:ascii="宋体" w:hAnsi="宋体" w:cs="Arial" w:hint="eastAsia"/>
                <w:color w:val="000000"/>
                <w:kern w:val="0"/>
                <w:sz w:val="22"/>
              </w:rPr>
              <w:t>3.16</w:t>
            </w:r>
          </w:p>
        </w:tc>
      </w:tr>
    </w:tbl>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Times New Roman" w:hint="eastAsia"/>
          <w:kern w:val="0"/>
        </w:rPr>
        <w:t xml:space="preserve">        </w:t>
      </w:r>
      <w:r>
        <w:rPr>
          <w:rFonts w:ascii="Times New Roman" w:eastAsia="仿宋_GB2312" w:hAnsi="Times New Roman" w:cs="仿宋_GB2312" w:hint="eastAsia"/>
          <w:kern w:val="0"/>
        </w:rPr>
        <w:t>注：本表反映部门本年度一般公共预算财政拨款支出情况。</w:t>
      </w: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p w:rsidR="00BF1D7C" w:rsidRDefault="00BF1D7C">
      <w:pPr>
        <w:widowControl/>
        <w:jc w:val="left"/>
        <w:rPr>
          <w:rFonts w:ascii="Times New Roman" w:eastAsia="仿宋_GB2312" w:hAnsi="Times New Roman" w:cs="Times New Roman"/>
          <w:kern w:val="0"/>
        </w:rPr>
      </w:pPr>
    </w:p>
    <w:tbl>
      <w:tblPr>
        <w:tblW w:w="0" w:type="auto"/>
        <w:tblInd w:w="-106" w:type="dxa"/>
        <w:tblLook w:val="04A0"/>
      </w:tblPr>
      <w:tblGrid>
        <w:gridCol w:w="1065"/>
        <w:gridCol w:w="2835"/>
        <w:gridCol w:w="951"/>
        <w:gridCol w:w="1538"/>
        <w:gridCol w:w="2106"/>
        <w:gridCol w:w="951"/>
        <w:gridCol w:w="1327"/>
        <w:gridCol w:w="3996"/>
        <w:gridCol w:w="951"/>
      </w:tblGrid>
      <w:tr w:rsidR="00BF1D7C">
        <w:trPr>
          <w:trHeight w:val="844"/>
        </w:trPr>
        <w:tc>
          <w:tcPr>
            <w:tcW w:w="15437" w:type="dxa"/>
            <w:gridSpan w:val="9"/>
            <w:tcBorders>
              <w:top w:val="nil"/>
              <w:left w:val="nil"/>
              <w:bottom w:val="nil"/>
              <w:right w:val="nil"/>
            </w:tcBorders>
            <w:noWrap/>
            <w:vAlign w:val="center"/>
          </w:tcPr>
          <w:p w:rsidR="00BF1D7C" w:rsidRDefault="00A54150">
            <w:pPr>
              <w:widowControl/>
              <w:jc w:val="center"/>
              <w:rPr>
                <w:rFonts w:ascii="华文中宋" w:eastAsia="华文中宋" w:hAnsi="华文中宋" w:cs="Times New Roman"/>
                <w:color w:val="000000"/>
                <w:kern w:val="0"/>
                <w:sz w:val="32"/>
                <w:szCs w:val="32"/>
              </w:rPr>
            </w:pPr>
            <w:bookmarkStart w:id="2" w:name="RANGE_A1_I34"/>
            <w:r>
              <w:rPr>
                <w:rFonts w:ascii="华文中宋" w:eastAsia="华文中宋" w:hAnsi="华文中宋" w:cs="华文中宋" w:hint="eastAsia"/>
                <w:color w:val="000000"/>
                <w:kern w:val="0"/>
                <w:sz w:val="32"/>
                <w:szCs w:val="32"/>
              </w:rPr>
              <w:t>一般公共预算财政拨款基本支出决算表</w:t>
            </w:r>
            <w:bookmarkEnd w:id="2"/>
          </w:p>
          <w:p w:rsidR="00BF1D7C" w:rsidRDefault="00A54150">
            <w:pPr>
              <w:widowControl/>
              <w:wordWrap w:val="0"/>
              <w:jc w:val="right"/>
              <w:rPr>
                <w:rFonts w:ascii="华文中宋" w:eastAsia="华文中宋" w:hAnsi="华文中宋"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宋体" w:hAnsi="宋体" w:cs="Arial" w:hint="eastAsia"/>
                <w:color w:val="000000"/>
                <w:kern w:val="0"/>
                <w:sz w:val="20"/>
                <w:szCs w:val="20"/>
              </w:rPr>
              <w:t>湘潭县住房和城乡建设局（人防办)</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c>
      </w:tr>
      <w:tr w:rsidR="00BF1D7C">
        <w:trPr>
          <w:trHeight w:val="113"/>
        </w:trPr>
        <w:tc>
          <w:tcPr>
            <w:tcW w:w="1065" w:type="dxa"/>
            <w:tcBorders>
              <w:top w:val="single" w:sz="4" w:space="0" w:color="auto"/>
              <w:left w:val="single" w:sz="4" w:space="0" w:color="auto"/>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2835" w:type="dxa"/>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决算数</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经济分类科目编码</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决算数</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经济分类科目编码</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决算数</w:t>
            </w: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工资福利支出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1784.88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商品和服务支出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8998.31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债务利息及费用支出</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30101</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基本工资</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329.77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办公费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35.59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国内债务付息</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30102</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津贴补贴</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76.40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印刷费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12.73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国外债务付息</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30103</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奖金</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333.90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咨询费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4.80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资本性支出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12.37</w:t>
            </w: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30106</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伙食补助费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77.13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手续费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房屋建筑物购建</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30107</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绩效工资</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305.00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水费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1.43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办公设备购置</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9.75</w:t>
            </w: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30108</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sz w:val="18"/>
                <w:szCs w:val="18"/>
              </w:rPr>
              <w:t>机关事业单位基本养老保险缴费 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218.30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电费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8.83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专用设备购置</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1.56</w:t>
            </w: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30109</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职业年金缴费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75.60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邮电费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11.79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基础设施建设</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30110</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职工基本医疗保险缴费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88.17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取暖费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大型修缮</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30111</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公务员医疗补助缴费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8.16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物业管理费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信息网络及软件购置更新</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30112</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其他社会保障缴费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12.87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差旅费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7.94</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物资储备</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30113</w:t>
            </w:r>
          </w:p>
        </w:tc>
        <w:tc>
          <w:tcPr>
            <w:tcW w:w="2835" w:type="dxa"/>
            <w:tcBorders>
              <w:top w:val="nil"/>
              <w:left w:val="nil"/>
              <w:bottom w:val="single" w:sz="4" w:space="0" w:color="auto"/>
              <w:right w:val="single" w:sz="4" w:space="0" w:color="auto"/>
            </w:tcBorders>
            <w:noWrap/>
            <w:vAlign w:val="center"/>
          </w:tcPr>
          <w:p w:rsidR="00BF1D7C" w:rsidRDefault="00A54150">
            <w:pPr>
              <w:widowControl/>
              <w:ind w:rightChars="83" w:right="174"/>
              <w:jc w:val="center"/>
              <w:rPr>
                <w:rFonts w:ascii="宋体" w:cs="Times New Roman"/>
                <w:color w:val="000000"/>
                <w:kern w:val="0"/>
              </w:rPr>
            </w:pPr>
            <w:r>
              <w:rPr>
                <w:rFonts w:ascii="宋体" w:hAnsi="宋体" w:cs="宋体" w:hint="eastAsia"/>
                <w:color w:val="000000"/>
                <w:kern w:val="0"/>
              </w:rPr>
              <w:t>住房公积金</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259.56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因公出国（境）费用</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土地补偿</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30114</w:t>
            </w:r>
          </w:p>
        </w:tc>
        <w:tc>
          <w:tcPr>
            <w:tcW w:w="2835" w:type="dxa"/>
            <w:tcBorders>
              <w:top w:val="nil"/>
              <w:left w:val="nil"/>
              <w:bottom w:val="single" w:sz="4" w:space="0" w:color="auto"/>
              <w:right w:val="single" w:sz="4" w:space="0" w:color="auto"/>
            </w:tcBorders>
            <w:noWrap/>
            <w:vAlign w:val="center"/>
          </w:tcPr>
          <w:p w:rsidR="00BF1D7C" w:rsidRDefault="00A54150">
            <w:pPr>
              <w:widowControl/>
              <w:ind w:rightChars="-119" w:right="-250"/>
              <w:jc w:val="center"/>
              <w:rPr>
                <w:rFonts w:ascii="宋体" w:cs="Times New Roman"/>
                <w:color w:val="000000"/>
                <w:kern w:val="0"/>
              </w:rPr>
            </w:pPr>
            <w:r>
              <w:rPr>
                <w:rFonts w:ascii="宋体" w:hAnsi="宋体" w:cs="宋体" w:hint="eastAsia"/>
                <w:color w:val="000000"/>
                <w:kern w:val="0"/>
              </w:rPr>
              <w:t>医疗费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维修（护）费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7.56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安置补助</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30199</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其他工资福利支出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0.03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租赁费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地上附着物和青苗补偿</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对个人和家庭的补助</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144.10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会议费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0.07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拆迁补偿</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30301</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离休费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培训费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12.29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公务用车购置</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30302</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退休费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公务接待费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3.60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其他交通工具购置</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30303</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退职（役）费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专用材料费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1.46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文物和陈列品购置</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30304</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抚恤金</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0.70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被装购置费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无形资产购置</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30305</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生活补助</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95.34</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专用燃料费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其他资本性支出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1.05</w:t>
            </w: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30306</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救济费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劳务费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53.28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399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其他支出</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30307</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医疗费补助</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10.93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委托业务费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8564.80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赠与</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30308</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助学金</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工会经费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84.61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国家赔偿费用支出</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30309</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奖励金</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3.60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福利费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20.76</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对民间非营利组织和群众性自治组织补贴</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30310</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个人农业生产补贴</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公务用车运行维护费</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17.30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其他支出</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lastRenderedPageBreak/>
              <w:t>30311</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代缴社会保险费</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其他交通费用</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13.03</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30399</w:t>
            </w:r>
          </w:p>
        </w:tc>
        <w:tc>
          <w:tcPr>
            <w:tcW w:w="2835" w:type="dxa"/>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其他对个人和家庭的补助</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33.53</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税金及附加费用</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0.02</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1065" w:type="dxa"/>
            <w:tcBorders>
              <w:top w:val="nil"/>
              <w:left w:val="single" w:sz="4" w:space="0" w:color="auto"/>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2835" w:type="dxa"/>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其他商品和服务支出</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136.41</w:t>
            </w: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c>
          <w:tcPr>
            <w:tcW w:w="0" w:type="auto"/>
            <w:tcBorders>
              <w:top w:val="nil"/>
              <w:left w:val="nil"/>
              <w:bottom w:val="single" w:sz="4" w:space="0" w:color="auto"/>
              <w:right w:val="single" w:sz="4" w:space="0" w:color="auto"/>
            </w:tcBorders>
            <w:noWrap/>
            <w:vAlign w:val="center"/>
          </w:tcPr>
          <w:p w:rsidR="00BF1D7C" w:rsidRDefault="00BF1D7C">
            <w:pPr>
              <w:widowControl/>
              <w:jc w:val="center"/>
              <w:rPr>
                <w:rFonts w:ascii="宋体" w:cs="Times New Roman"/>
                <w:color w:val="000000"/>
                <w:kern w:val="0"/>
              </w:rPr>
            </w:pPr>
          </w:p>
        </w:tc>
      </w:tr>
      <w:tr w:rsidR="00BF1D7C">
        <w:trPr>
          <w:trHeight w:hRule="exact" w:val="284"/>
        </w:trPr>
        <w:tc>
          <w:tcPr>
            <w:tcW w:w="3900" w:type="dxa"/>
            <w:gridSpan w:val="2"/>
            <w:tcBorders>
              <w:top w:val="single" w:sz="4" w:space="0" w:color="auto"/>
              <w:left w:val="single" w:sz="4" w:space="0" w:color="auto"/>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人员经费合计</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1928.99</w:t>
            </w:r>
          </w:p>
        </w:tc>
        <w:tc>
          <w:tcPr>
            <w:tcW w:w="0" w:type="auto"/>
            <w:gridSpan w:val="5"/>
            <w:tcBorders>
              <w:top w:val="single" w:sz="4" w:space="0" w:color="auto"/>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公用经费合计</w:t>
            </w:r>
          </w:p>
        </w:tc>
        <w:tc>
          <w:tcPr>
            <w:tcW w:w="0" w:type="auto"/>
            <w:tcBorders>
              <w:top w:val="nil"/>
              <w:left w:val="nil"/>
              <w:bottom w:val="single" w:sz="4" w:space="0" w:color="auto"/>
              <w:right w:val="single" w:sz="4" w:space="0" w:color="auto"/>
            </w:tcBorders>
            <w:noWrap/>
            <w:vAlign w:val="center"/>
          </w:tcPr>
          <w:p w:rsidR="00BF1D7C" w:rsidRDefault="00A54150">
            <w:pPr>
              <w:widowControl/>
              <w:jc w:val="center"/>
              <w:rPr>
                <w:rFonts w:ascii="宋体" w:cs="Times New Roman"/>
                <w:color w:val="000000"/>
                <w:kern w:val="0"/>
              </w:rPr>
            </w:pPr>
            <w:r>
              <w:rPr>
                <w:rFonts w:ascii="宋体" w:hAnsi="宋体" w:cs="宋体" w:hint="eastAsia"/>
                <w:color w:val="000000"/>
                <w:kern w:val="0"/>
              </w:rPr>
              <w:t>9010.68</w:t>
            </w:r>
          </w:p>
        </w:tc>
      </w:tr>
      <w:tr w:rsidR="00BF1D7C">
        <w:trPr>
          <w:trHeight w:hRule="exact" w:val="284"/>
        </w:trPr>
        <w:tc>
          <w:tcPr>
            <w:tcW w:w="15437" w:type="dxa"/>
            <w:gridSpan w:val="9"/>
            <w:tcBorders>
              <w:top w:val="nil"/>
              <w:left w:val="nil"/>
              <w:bottom w:val="nil"/>
              <w:right w:val="nil"/>
            </w:tcBorders>
            <w:noWrap/>
            <w:vAlign w:val="center"/>
          </w:tcPr>
          <w:p w:rsidR="00BF1D7C" w:rsidRDefault="00A54150">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bl>
    <w:p w:rsidR="00BF1D7C" w:rsidRDefault="00A54150">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方正小标宋_GBK" w:hint="eastAsia"/>
          <w:color w:val="000000"/>
          <w:kern w:val="0"/>
          <w:sz w:val="36"/>
          <w:szCs w:val="36"/>
        </w:rPr>
        <w:t>一般公共预算财政拨款“三公”经费支出决算表</w:t>
      </w:r>
    </w:p>
    <w:p w:rsidR="00BF1D7C" w:rsidRDefault="00A54150">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Arial" w:hint="eastAsia"/>
          <w:color w:val="000000"/>
          <w:kern w:val="0"/>
          <w:sz w:val="20"/>
          <w:szCs w:val="20"/>
        </w:rPr>
        <w:t>湘潭县住房和城乡建设局（人防办)</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Times New Roman"/>
          <w:color w:val="000000"/>
          <w:kern w:val="0"/>
        </w:rPr>
        <w:t xml:space="preserve">                                                                                                                            </w:t>
      </w:r>
    </w:p>
    <w:p w:rsidR="00BF1D7C" w:rsidRDefault="00A54150">
      <w:pPr>
        <w:widowControl/>
        <w:ind w:right="42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BF1D7C">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BF1D7C">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BF1D7C">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BF1D7C" w:rsidRDefault="00BF1D7C">
            <w:pPr>
              <w:widowControl/>
              <w:jc w:val="left"/>
              <w:rPr>
                <w:rFonts w:ascii="Times New Roman" w:eastAsia="仿宋_GB2312" w:hAnsi="Times New Roman" w:cs="Times New Roman"/>
                <w:kern w:val="0"/>
              </w:rPr>
            </w:pPr>
          </w:p>
        </w:tc>
      </w:tr>
      <w:tr w:rsidR="00BF1D7C">
        <w:trPr>
          <w:trHeight w:val="397"/>
          <w:jc w:val="center"/>
        </w:trPr>
        <w:tc>
          <w:tcPr>
            <w:tcW w:w="1220" w:type="dxa"/>
            <w:tcBorders>
              <w:top w:val="nil"/>
              <w:left w:val="single" w:sz="8" w:space="0" w:color="auto"/>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BF1D7C">
        <w:trPr>
          <w:trHeight w:val="397"/>
          <w:jc w:val="center"/>
        </w:trPr>
        <w:tc>
          <w:tcPr>
            <w:tcW w:w="1220" w:type="dxa"/>
            <w:tcBorders>
              <w:top w:val="nil"/>
              <w:left w:val="single" w:sz="8" w:space="0" w:color="auto"/>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41.20</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28.80</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28.80</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12.40</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20.91</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17.31</w:t>
            </w:r>
          </w:p>
        </w:tc>
        <w:tc>
          <w:tcPr>
            <w:tcW w:w="1220" w:type="dxa"/>
            <w:tcBorders>
              <w:top w:val="nil"/>
              <w:left w:val="nil"/>
              <w:bottom w:val="single" w:sz="8" w:space="0" w:color="auto"/>
              <w:right w:val="single" w:sz="4"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nil"/>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17.31</w:t>
            </w:r>
          </w:p>
        </w:tc>
        <w:tc>
          <w:tcPr>
            <w:tcW w:w="1220" w:type="dxa"/>
            <w:tcBorders>
              <w:top w:val="nil"/>
              <w:left w:val="single" w:sz="4" w:space="0" w:color="auto"/>
              <w:bottom w:val="single" w:sz="8" w:space="0" w:color="auto"/>
              <w:right w:val="single" w:sz="8" w:space="0" w:color="auto"/>
            </w:tcBorders>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3.60</w:t>
            </w:r>
          </w:p>
        </w:tc>
      </w:tr>
    </w:tbl>
    <w:p w:rsidR="00BF1D7C" w:rsidRDefault="00A54150">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BF1D7C" w:rsidRDefault="00BF1D7C">
      <w:pPr>
        <w:autoSpaceDE w:val="0"/>
        <w:autoSpaceDN w:val="0"/>
        <w:adjustRightInd w:val="0"/>
        <w:ind w:leftChars="150" w:left="315"/>
        <w:jc w:val="left"/>
        <w:rPr>
          <w:rFonts w:ascii="宋体" w:cs="Times New Roman"/>
          <w:kern w:val="0"/>
          <w:sz w:val="24"/>
          <w:szCs w:val="24"/>
        </w:rPr>
      </w:pPr>
    </w:p>
    <w:p w:rsidR="00BF1D7C" w:rsidRDefault="00A54150">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BF1D7C" w:rsidRDefault="00A54150">
      <w:pPr>
        <w:widowControl/>
        <w:wordWrap w:val="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r>
        <w:rPr>
          <w:rFonts w:ascii="Times New Roman" w:eastAsia="仿宋_GB2312" w:hAnsi="Times New Roman" w:cs="仿宋_GB2312" w:hint="eastAsia"/>
          <w:color w:val="000000"/>
          <w:kern w:val="0"/>
        </w:rPr>
        <w:t>部门：</w:t>
      </w:r>
      <w:r>
        <w:rPr>
          <w:rFonts w:ascii="宋体" w:hAnsi="宋体" w:cs="Arial" w:hint="eastAsia"/>
          <w:color w:val="000000"/>
          <w:kern w:val="0"/>
          <w:sz w:val="20"/>
          <w:szCs w:val="20"/>
        </w:rPr>
        <w:t>湘潭县住房和城乡建设局（人防办)</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BF1D7C" w:rsidRDefault="00A54150">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7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620"/>
        <w:gridCol w:w="2000"/>
        <w:gridCol w:w="2000"/>
        <w:gridCol w:w="2000"/>
        <w:gridCol w:w="2000"/>
        <w:gridCol w:w="2000"/>
        <w:gridCol w:w="2000"/>
      </w:tblGrid>
      <w:tr w:rsidR="00BF1D7C">
        <w:trPr>
          <w:trHeight w:val="454"/>
          <w:jc w:val="center"/>
        </w:trPr>
        <w:tc>
          <w:tcPr>
            <w:tcW w:w="2740" w:type="dxa"/>
            <w:gridSpan w:val="2"/>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BF1D7C">
        <w:trPr>
          <w:trHeight w:val="454"/>
          <w:jc w:val="center"/>
        </w:trPr>
        <w:tc>
          <w:tcPr>
            <w:tcW w:w="112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62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rsidR="00BF1D7C" w:rsidRDefault="00BF1D7C">
            <w:pPr>
              <w:widowControl/>
              <w:jc w:val="left"/>
              <w:rPr>
                <w:rFonts w:ascii="Times New Roman" w:eastAsia="仿宋_GB2312" w:hAnsi="Times New Roman" w:cs="Times New Roman"/>
                <w:b/>
                <w:bCs/>
                <w:kern w:val="0"/>
              </w:rPr>
            </w:pPr>
          </w:p>
        </w:tc>
        <w:tc>
          <w:tcPr>
            <w:tcW w:w="2000" w:type="dxa"/>
            <w:vMerge/>
            <w:vAlign w:val="center"/>
          </w:tcPr>
          <w:p w:rsidR="00BF1D7C" w:rsidRDefault="00BF1D7C">
            <w:pPr>
              <w:widowControl/>
              <w:jc w:val="left"/>
              <w:rPr>
                <w:rFonts w:ascii="Times New Roman" w:eastAsia="仿宋_GB2312" w:hAnsi="Times New Roman" w:cs="Times New Roman"/>
                <w:b/>
                <w:bCs/>
                <w:kern w:val="0"/>
              </w:rPr>
            </w:pP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r>
              <w:rPr>
                <w:rFonts w:ascii="Times New Roman" w:eastAsia="仿宋_GB2312" w:hAnsi="Times New Roman" w:cs="Times New Roman"/>
                <w:b/>
                <w:bCs/>
                <w:kern w:val="0"/>
              </w:rPr>
              <w:t xml:space="preserve">  </w:t>
            </w:r>
          </w:p>
        </w:tc>
        <w:tc>
          <w:tcPr>
            <w:tcW w:w="2000" w:type="dxa"/>
            <w:vMerge w:val="restart"/>
            <w:vAlign w:val="center"/>
          </w:tcPr>
          <w:p w:rsidR="00BF1D7C" w:rsidRDefault="00A54150">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rsidR="00BF1D7C" w:rsidRDefault="00BF1D7C">
            <w:pPr>
              <w:widowControl/>
              <w:jc w:val="left"/>
              <w:rPr>
                <w:rFonts w:ascii="Times New Roman" w:eastAsia="仿宋_GB2312" w:hAnsi="Times New Roman" w:cs="Times New Roman"/>
                <w:b/>
                <w:bCs/>
                <w:kern w:val="0"/>
              </w:rPr>
            </w:pPr>
          </w:p>
        </w:tc>
      </w:tr>
      <w:tr w:rsidR="00BF1D7C">
        <w:trPr>
          <w:trHeight w:val="454"/>
          <w:jc w:val="center"/>
        </w:trPr>
        <w:tc>
          <w:tcPr>
            <w:tcW w:w="1120" w:type="dxa"/>
            <w:vMerge/>
            <w:vAlign w:val="center"/>
          </w:tcPr>
          <w:p w:rsidR="00BF1D7C" w:rsidRDefault="00BF1D7C">
            <w:pPr>
              <w:widowControl/>
              <w:jc w:val="left"/>
              <w:rPr>
                <w:rFonts w:ascii="Times New Roman" w:eastAsia="仿宋_GB2312" w:hAnsi="Times New Roman" w:cs="Times New Roman"/>
                <w:kern w:val="0"/>
              </w:rPr>
            </w:pPr>
          </w:p>
        </w:tc>
        <w:tc>
          <w:tcPr>
            <w:tcW w:w="162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r>
      <w:tr w:rsidR="00BF1D7C">
        <w:trPr>
          <w:trHeight w:val="454"/>
          <w:jc w:val="center"/>
        </w:trPr>
        <w:tc>
          <w:tcPr>
            <w:tcW w:w="1120" w:type="dxa"/>
            <w:vMerge/>
            <w:vAlign w:val="center"/>
          </w:tcPr>
          <w:p w:rsidR="00BF1D7C" w:rsidRDefault="00BF1D7C">
            <w:pPr>
              <w:widowControl/>
              <w:jc w:val="left"/>
              <w:rPr>
                <w:rFonts w:ascii="Times New Roman" w:eastAsia="仿宋_GB2312" w:hAnsi="Times New Roman" w:cs="Times New Roman"/>
                <w:kern w:val="0"/>
              </w:rPr>
            </w:pPr>
          </w:p>
        </w:tc>
        <w:tc>
          <w:tcPr>
            <w:tcW w:w="162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c>
          <w:tcPr>
            <w:tcW w:w="2000" w:type="dxa"/>
            <w:vMerge/>
            <w:vAlign w:val="center"/>
          </w:tcPr>
          <w:p w:rsidR="00BF1D7C" w:rsidRDefault="00BF1D7C">
            <w:pPr>
              <w:widowControl/>
              <w:jc w:val="left"/>
              <w:rPr>
                <w:rFonts w:ascii="Times New Roman" w:eastAsia="仿宋_GB2312" w:hAnsi="Times New Roman" w:cs="Times New Roman"/>
                <w:kern w:val="0"/>
              </w:rPr>
            </w:pPr>
          </w:p>
        </w:tc>
      </w:tr>
      <w:tr w:rsidR="00BF1D7C">
        <w:trPr>
          <w:trHeight w:val="454"/>
          <w:jc w:val="center"/>
        </w:trPr>
        <w:tc>
          <w:tcPr>
            <w:tcW w:w="2740" w:type="dxa"/>
            <w:gridSpan w:val="2"/>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BF1D7C">
        <w:trPr>
          <w:trHeight w:val="454"/>
          <w:jc w:val="center"/>
        </w:trPr>
        <w:tc>
          <w:tcPr>
            <w:tcW w:w="2740" w:type="dxa"/>
            <w:gridSpan w:val="2"/>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r>
              <w:rPr>
                <w:rFonts w:ascii="Times New Roman" w:eastAsia="仿宋_GB2312" w:hAnsi="Times New Roman" w:cs="仿宋_GB2312" w:hint="eastAsia"/>
                <w:kern w:val="0"/>
              </w:rPr>
              <w:t xml:space="preserve">　</w:t>
            </w:r>
          </w:p>
        </w:tc>
        <w:tc>
          <w:tcPr>
            <w:tcW w:w="2000" w:type="dxa"/>
            <w:vAlign w:val="center"/>
          </w:tcPr>
          <w:p w:rsidR="00BF1D7C" w:rsidRDefault="00BF1D7C">
            <w:pPr>
              <w:widowControl/>
              <w:jc w:val="center"/>
              <w:rPr>
                <w:rFonts w:ascii="Times New Roman" w:eastAsia="仿宋_GB2312" w:hAnsi="Times New Roman" w:cs="Times New Roman"/>
                <w:kern w:val="0"/>
              </w:rPr>
            </w:pP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kern w:val="0"/>
              </w:rPr>
              <w:t>212</w:t>
            </w:r>
            <w:r>
              <w:rPr>
                <w:rFonts w:ascii="Times New Roman" w:eastAsia="仿宋_GB2312" w:hAnsi="Times New Roman" w:cs="仿宋_GB2312"/>
                <w:kern w:val="0"/>
              </w:rPr>
              <w:tab/>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城乡社区支出</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kern w:val="0"/>
              </w:rPr>
              <w:t>21214</w:t>
            </w:r>
            <w:r>
              <w:rPr>
                <w:rFonts w:ascii="Times New Roman" w:eastAsia="仿宋_GB2312" w:hAnsi="Times New Roman" w:cs="仿宋_GB2312"/>
                <w:kern w:val="0"/>
              </w:rPr>
              <w:tab/>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污水处理费安排的支出</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1794.41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kern w:val="0"/>
              </w:rPr>
              <w:t>2121401</w:t>
            </w:r>
            <w:r>
              <w:rPr>
                <w:rFonts w:ascii="Times New Roman" w:eastAsia="仿宋_GB2312" w:hAnsi="Times New Roman" w:cs="仿宋_GB2312"/>
                <w:kern w:val="0"/>
              </w:rPr>
              <w:tab/>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污水处理设施建设和运营</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1735.41</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1735.41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1735.41</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kern w:val="0"/>
              </w:rPr>
              <w:t>2121499</w:t>
            </w:r>
            <w:r>
              <w:rPr>
                <w:rFonts w:ascii="Times New Roman" w:eastAsia="仿宋_GB2312" w:hAnsi="Times New Roman" w:cs="仿宋_GB2312"/>
                <w:kern w:val="0"/>
              </w:rPr>
              <w:tab/>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其他污水处理</w:t>
            </w:r>
            <w:r>
              <w:rPr>
                <w:rFonts w:ascii="Times New Roman" w:eastAsia="仿宋_GB2312" w:hAnsi="Times New Roman" w:cs="仿宋_GB2312" w:hint="eastAsia"/>
                <w:kern w:val="0"/>
              </w:rPr>
              <w:lastRenderedPageBreak/>
              <w:t>费安排的支出</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lastRenderedPageBreak/>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59.00</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59.00</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59.00</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lastRenderedPageBreak/>
              <w:t xml:space="preserve">　</w:t>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BF1D7C">
        <w:trPr>
          <w:trHeight w:val="454"/>
          <w:jc w:val="center"/>
        </w:trPr>
        <w:tc>
          <w:tcPr>
            <w:tcW w:w="1120" w:type="dxa"/>
            <w:vAlign w:val="center"/>
          </w:tcPr>
          <w:p w:rsidR="00BF1D7C" w:rsidRDefault="00A54150">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62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BF1D7C" w:rsidRDefault="00A54150">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BF1D7C" w:rsidRDefault="00A54150">
      <w:pPr>
        <w:widowControl/>
        <w:jc w:val="left"/>
        <w:rPr>
          <w:rFonts w:ascii="黑体" w:eastAsia="黑体" w:hAnsi="黑体" w:cs="Times New Roman"/>
        </w:rPr>
      </w:pPr>
      <w:r>
        <w:rPr>
          <w:rFonts w:ascii="黑体" w:eastAsia="黑体" w:hAnsi="黑体" w:cs="Times New Roman"/>
        </w:rPr>
        <w:br w:type="page"/>
      </w:r>
    </w:p>
    <w:tbl>
      <w:tblPr>
        <w:tblW w:w="14190" w:type="dxa"/>
        <w:tblInd w:w="-106" w:type="dxa"/>
        <w:tblLook w:val="04A0"/>
      </w:tblPr>
      <w:tblGrid>
        <w:gridCol w:w="1060"/>
        <w:gridCol w:w="560"/>
        <w:gridCol w:w="3215"/>
        <w:gridCol w:w="1225"/>
        <w:gridCol w:w="1326"/>
        <w:gridCol w:w="1294"/>
        <w:gridCol w:w="1683"/>
        <w:gridCol w:w="3827"/>
      </w:tblGrid>
      <w:tr w:rsidR="00BF1D7C">
        <w:trPr>
          <w:trHeight w:val="720"/>
        </w:trPr>
        <w:tc>
          <w:tcPr>
            <w:tcW w:w="14190" w:type="dxa"/>
            <w:gridSpan w:val="8"/>
            <w:tcBorders>
              <w:top w:val="nil"/>
              <w:left w:val="nil"/>
              <w:bottom w:val="nil"/>
              <w:right w:val="nil"/>
            </w:tcBorders>
            <w:shd w:val="clear" w:color="000000" w:fill="FFFFFF"/>
            <w:vAlign w:val="center"/>
          </w:tcPr>
          <w:p w:rsidR="00BF1D7C" w:rsidRDefault="00A54150">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国有资本经营预算财政拨款支出决算表</w:t>
            </w:r>
          </w:p>
        </w:tc>
      </w:tr>
      <w:tr w:rsidR="00BF1D7C">
        <w:trPr>
          <w:trHeight w:val="285"/>
        </w:trPr>
        <w:tc>
          <w:tcPr>
            <w:tcW w:w="1060" w:type="dxa"/>
            <w:tcBorders>
              <w:top w:val="nil"/>
              <w:left w:val="nil"/>
              <w:bottom w:val="nil"/>
              <w:right w:val="nil"/>
            </w:tcBorders>
            <w:shd w:val="clear" w:color="000000" w:fill="FFFFFF"/>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tcBorders>
              <w:top w:val="nil"/>
              <w:left w:val="nil"/>
              <w:bottom w:val="nil"/>
              <w:right w:val="nil"/>
            </w:tcBorders>
            <w:shd w:val="clear" w:color="000000" w:fill="FFFFFF"/>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BF1D7C">
        <w:trPr>
          <w:trHeight w:val="285"/>
        </w:trPr>
        <w:tc>
          <w:tcPr>
            <w:tcW w:w="1060" w:type="dxa"/>
            <w:tcBorders>
              <w:top w:val="nil"/>
              <w:left w:val="nil"/>
              <w:bottom w:val="nil"/>
              <w:right w:val="nil"/>
            </w:tcBorders>
            <w:shd w:val="clear" w:color="000000" w:fill="FFFFFF"/>
            <w:noWrap/>
            <w:vAlign w:val="center"/>
          </w:tcPr>
          <w:p w:rsidR="00BF1D7C" w:rsidRDefault="00A54150">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tcBorders>
              <w:top w:val="nil"/>
              <w:left w:val="nil"/>
              <w:bottom w:val="nil"/>
              <w:right w:val="nil"/>
            </w:tcBorders>
            <w:shd w:val="clear" w:color="000000" w:fill="FFFFFF"/>
            <w:vAlign w:val="center"/>
          </w:tcPr>
          <w:p w:rsidR="00BF1D7C" w:rsidRDefault="00A54150">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BF1D7C" w:rsidRDefault="00A54150">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BF1D7C">
        <w:trPr>
          <w:trHeight w:val="402"/>
        </w:trPr>
        <w:tc>
          <w:tcPr>
            <w:tcW w:w="4835" w:type="dxa"/>
            <w:gridSpan w:val="3"/>
            <w:tcBorders>
              <w:top w:val="single" w:sz="8"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本年支出</w:t>
            </w:r>
          </w:p>
        </w:tc>
      </w:tr>
      <w:tr w:rsidR="00BF1D7C">
        <w:trPr>
          <w:trHeight w:val="402"/>
        </w:trPr>
        <w:tc>
          <w:tcPr>
            <w:tcW w:w="1620" w:type="dxa"/>
            <w:gridSpan w:val="2"/>
            <w:vMerge w:val="restart"/>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3215" w:type="dxa"/>
            <w:vMerge w:val="restart"/>
            <w:tcBorders>
              <w:top w:val="nil"/>
              <w:left w:val="single" w:sz="4"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项目支出</w:t>
            </w:r>
          </w:p>
        </w:tc>
      </w:tr>
      <w:tr w:rsidR="00BF1D7C">
        <w:trPr>
          <w:trHeight w:val="402"/>
        </w:trPr>
        <w:tc>
          <w:tcPr>
            <w:tcW w:w="1620" w:type="dxa"/>
            <w:gridSpan w:val="2"/>
            <w:vMerge/>
            <w:tcBorders>
              <w:top w:val="single" w:sz="4" w:space="0" w:color="auto"/>
              <w:left w:val="single" w:sz="8" w:space="0" w:color="auto"/>
              <w:bottom w:val="single" w:sz="4" w:space="0" w:color="auto"/>
              <w:right w:val="single" w:sz="4" w:space="0" w:color="auto"/>
            </w:tcBorders>
            <w:vAlign w:val="center"/>
          </w:tcPr>
          <w:p w:rsidR="00BF1D7C" w:rsidRDefault="00BF1D7C">
            <w:pPr>
              <w:widowControl/>
              <w:jc w:val="left"/>
              <w:rPr>
                <w:rFonts w:ascii="宋体" w:cs="Times New Roman"/>
                <w:kern w:val="0"/>
                <w:sz w:val="24"/>
                <w:szCs w:val="24"/>
              </w:rPr>
            </w:pPr>
          </w:p>
        </w:tc>
        <w:tc>
          <w:tcPr>
            <w:tcW w:w="3215" w:type="dxa"/>
            <w:vMerge/>
            <w:tcBorders>
              <w:top w:val="nil"/>
              <w:left w:val="single" w:sz="4" w:space="0" w:color="auto"/>
              <w:bottom w:val="single" w:sz="4" w:space="0" w:color="auto"/>
              <w:right w:val="single" w:sz="4" w:space="0" w:color="auto"/>
            </w:tcBorders>
            <w:vAlign w:val="center"/>
          </w:tcPr>
          <w:p w:rsidR="00BF1D7C" w:rsidRDefault="00BF1D7C">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r>
      <w:tr w:rsidR="00BF1D7C">
        <w:trPr>
          <w:trHeight w:val="402"/>
        </w:trPr>
        <w:tc>
          <w:tcPr>
            <w:tcW w:w="1620" w:type="dxa"/>
            <w:gridSpan w:val="2"/>
            <w:vMerge/>
            <w:tcBorders>
              <w:top w:val="single" w:sz="4" w:space="0" w:color="auto"/>
              <w:left w:val="single" w:sz="8" w:space="0" w:color="auto"/>
              <w:bottom w:val="single" w:sz="4" w:space="0" w:color="auto"/>
              <w:right w:val="single" w:sz="4" w:space="0" w:color="auto"/>
            </w:tcBorders>
            <w:vAlign w:val="center"/>
          </w:tcPr>
          <w:p w:rsidR="00BF1D7C" w:rsidRDefault="00BF1D7C">
            <w:pPr>
              <w:widowControl/>
              <w:jc w:val="left"/>
              <w:rPr>
                <w:rFonts w:ascii="宋体" w:cs="Times New Roman"/>
                <w:kern w:val="0"/>
                <w:sz w:val="24"/>
                <w:szCs w:val="24"/>
              </w:rPr>
            </w:pPr>
          </w:p>
        </w:tc>
        <w:tc>
          <w:tcPr>
            <w:tcW w:w="3215" w:type="dxa"/>
            <w:vMerge/>
            <w:tcBorders>
              <w:top w:val="nil"/>
              <w:left w:val="single" w:sz="4" w:space="0" w:color="auto"/>
              <w:bottom w:val="single" w:sz="4" w:space="0" w:color="auto"/>
              <w:right w:val="single" w:sz="4" w:space="0" w:color="auto"/>
            </w:tcBorders>
            <w:vAlign w:val="center"/>
          </w:tcPr>
          <w:p w:rsidR="00BF1D7C" w:rsidRDefault="00BF1D7C">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BF1D7C" w:rsidRDefault="00BF1D7C">
            <w:pPr>
              <w:widowControl/>
              <w:jc w:val="left"/>
              <w:rPr>
                <w:rFonts w:ascii="宋体" w:cs="Times New Roman"/>
                <w:kern w:val="0"/>
                <w:sz w:val="24"/>
                <w:szCs w:val="24"/>
              </w:rPr>
            </w:pPr>
          </w:p>
        </w:tc>
      </w:tr>
      <w:tr w:rsidR="00BF1D7C">
        <w:trPr>
          <w:trHeight w:val="402"/>
        </w:trPr>
        <w:tc>
          <w:tcPr>
            <w:tcW w:w="4835" w:type="dxa"/>
            <w:gridSpan w:val="3"/>
            <w:tcBorders>
              <w:top w:val="single" w:sz="4" w:space="0" w:color="auto"/>
              <w:left w:val="single" w:sz="8" w:space="0" w:color="auto"/>
              <w:bottom w:val="single" w:sz="4" w:space="0" w:color="auto"/>
              <w:right w:val="single" w:sz="4" w:space="0" w:color="000000"/>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kern w:val="0"/>
                <w:sz w:val="24"/>
                <w:szCs w:val="24"/>
              </w:rPr>
              <w:t>3</w:t>
            </w:r>
          </w:p>
        </w:tc>
      </w:tr>
      <w:tr w:rsidR="00BF1D7C">
        <w:trPr>
          <w:trHeight w:val="402"/>
        </w:trPr>
        <w:tc>
          <w:tcPr>
            <w:tcW w:w="4835" w:type="dxa"/>
            <w:gridSpan w:val="3"/>
            <w:tcBorders>
              <w:top w:val="nil"/>
              <w:left w:val="single" w:sz="8" w:space="0" w:color="auto"/>
              <w:bottom w:val="single" w:sz="4" w:space="0" w:color="auto"/>
              <w:right w:val="single" w:sz="4" w:space="0" w:color="000000"/>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BF1D7C" w:rsidRDefault="00A54150">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tcBorders>
              <w:top w:val="nil"/>
              <w:left w:val="nil"/>
              <w:bottom w:val="single" w:sz="8"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BF1D7C">
        <w:trPr>
          <w:trHeight w:val="720"/>
        </w:trPr>
        <w:tc>
          <w:tcPr>
            <w:tcW w:w="14190" w:type="dxa"/>
            <w:gridSpan w:val="8"/>
            <w:tcBorders>
              <w:top w:val="single" w:sz="8" w:space="0" w:color="auto"/>
              <w:left w:val="nil"/>
              <w:bottom w:val="nil"/>
              <w:right w:val="nil"/>
            </w:tcBorders>
            <w:vAlign w:val="center"/>
          </w:tcPr>
          <w:p w:rsidR="00BF1D7C" w:rsidRDefault="00A54150">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BF1D7C" w:rsidRDefault="00BF1D7C">
      <w:pPr>
        <w:pStyle w:val="Default"/>
        <w:rPr>
          <w:rFonts w:cs="Times New Roman"/>
          <w:sz w:val="72"/>
          <w:szCs w:val="72"/>
        </w:rPr>
        <w:sectPr w:rsidR="00BF1D7C">
          <w:pgSz w:w="16838" w:h="11906" w:orient="landscape"/>
          <w:pgMar w:top="720" w:right="720" w:bottom="720" w:left="720" w:header="851" w:footer="992" w:gutter="0"/>
          <w:cols w:space="425"/>
          <w:docGrid w:type="lines" w:linePitch="312"/>
        </w:sectPr>
      </w:pPr>
    </w:p>
    <w:p w:rsidR="00BF1D7C" w:rsidRDefault="00BF1D7C">
      <w:pPr>
        <w:pStyle w:val="Default"/>
        <w:ind w:firstLineChars="350" w:firstLine="2520"/>
        <w:rPr>
          <w:rFonts w:cs="Times New Roman"/>
          <w:sz w:val="72"/>
          <w:szCs w:val="72"/>
        </w:rPr>
      </w:pPr>
    </w:p>
    <w:p w:rsidR="00BF1D7C" w:rsidRDefault="00BF1D7C">
      <w:pPr>
        <w:pStyle w:val="Default"/>
        <w:ind w:firstLineChars="350" w:firstLine="2520"/>
        <w:rPr>
          <w:rFonts w:cs="Times New Roman"/>
          <w:sz w:val="72"/>
          <w:szCs w:val="72"/>
        </w:rPr>
      </w:pPr>
    </w:p>
    <w:p w:rsidR="00BF1D7C" w:rsidRDefault="00BF1D7C">
      <w:pPr>
        <w:pStyle w:val="Default"/>
        <w:ind w:firstLineChars="350" w:firstLine="2520"/>
        <w:rPr>
          <w:rFonts w:cs="Times New Roman"/>
          <w:sz w:val="72"/>
          <w:szCs w:val="72"/>
        </w:rPr>
      </w:pPr>
    </w:p>
    <w:p w:rsidR="00BF1D7C" w:rsidRDefault="00BF1D7C">
      <w:pPr>
        <w:pStyle w:val="Default"/>
        <w:ind w:firstLineChars="350" w:firstLine="2520"/>
        <w:rPr>
          <w:rFonts w:cs="Times New Roman"/>
          <w:sz w:val="72"/>
          <w:szCs w:val="72"/>
        </w:rPr>
      </w:pPr>
    </w:p>
    <w:p w:rsidR="00BF1D7C" w:rsidRDefault="00BF1D7C">
      <w:pPr>
        <w:pStyle w:val="Default"/>
        <w:ind w:firstLineChars="350" w:firstLine="2520"/>
        <w:rPr>
          <w:rFonts w:ascii="宋体" w:eastAsia="宋体" w:hAnsi="宋体" w:cs="Times New Roman"/>
          <w:sz w:val="72"/>
          <w:szCs w:val="72"/>
        </w:rPr>
      </w:pPr>
    </w:p>
    <w:p w:rsidR="00BF1D7C" w:rsidRDefault="00A54150">
      <w:pPr>
        <w:pStyle w:val="Default"/>
        <w:ind w:firstLineChars="450" w:firstLine="3240"/>
        <w:rPr>
          <w:rFonts w:ascii="宋体" w:eastAsia="宋体" w:hAnsi="宋体" w:cs="Times New Roman"/>
          <w:sz w:val="72"/>
          <w:szCs w:val="72"/>
        </w:rPr>
      </w:pPr>
      <w:r>
        <w:rPr>
          <w:rFonts w:ascii="宋体" w:eastAsia="宋体" w:hAnsi="宋体" w:cs="宋体" w:hint="eastAsia"/>
          <w:sz w:val="72"/>
          <w:szCs w:val="72"/>
        </w:rPr>
        <w:t>第三部分</w:t>
      </w:r>
    </w:p>
    <w:p w:rsidR="00BF1D7C" w:rsidRDefault="00BF1D7C">
      <w:pPr>
        <w:pStyle w:val="Default"/>
        <w:jc w:val="center"/>
        <w:rPr>
          <w:rFonts w:ascii="宋体" w:eastAsia="宋体" w:hAnsi="宋体" w:cs="Times New Roman"/>
          <w:sz w:val="72"/>
          <w:szCs w:val="72"/>
        </w:rPr>
      </w:pPr>
    </w:p>
    <w:p w:rsidR="00BF1D7C" w:rsidRDefault="00A54150">
      <w:pPr>
        <w:pStyle w:val="Default"/>
        <w:jc w:val="center"/>
        <w:rPr>
          <w:rFonts w:ascii="宋体" w:eastAsia="宋体" w:hAnsi="宋体" w:cs="Times New Roman"/>
          <w:sz w:val="72"/>
          <w:szCs w:val="72"/>
        </w:rPr>
      </w:pPr>
      <w:r>
        <w:rPr>
          <w:rFonts w:ascii="宋体" w:eastAsia="宋体" w:hAnsi="宋体" w:cs="宋体"/>
          <w:sz w:val="72"/>
          <w:szCs w:val="72"/>
        </w:rPr>
        <w:t>2021</w:t>
      </w:r>
      <w:r>
        <w:rPr>
          <w:rFonts w:ascii="宋体" w:eastAsia="宋体" w:hAnsi="宋体" w:cs="宋体" w:hint="eastAsia"/>
          <w:sz w:val="72"/>
          <w:szCs w:val="72"/>
        </w:rPr>
        <w:t>年度部门决算情况说明</w:t>
      </w:r>
    </w:p>
    <w:p w:rsidR="00BF1D7C" w:rsidRDefault="00BF1D7C">
      <w:pPr>
        <w:widowControl/>
        <w:jc w:val="left"/>
        <w:rPr>
          <w:rFonts w:cs="Times New Roman"/>
          <w:sz w:val="70"/>
          <w:szCs w:val="70"/>
        </w:rPr>
        <w:sectPr w:rsidR="00BF1D7C">
          <w:pgSz w:w="11906" w:h="16838"/>
          <w:pgMar w:top="720" w:right="720" w:bottom="720" w:left="720" w:header="851" w:footer="992" w:gutter="0"/>
          <w:cols w:space="425"/>
          <w:docGrid w:type="linesAndChars" w:linePitch="312"/>
        </w:sectPr>
      </w:pPr>
    </w:p>
    <w:p w:rsidR="00BF1D7C" w:rsidRDefault="00A54150">
      <w:pPr>
        <w:pStyle w:val="Default"/>
        <w:rPr>
          <w:rFonts w:hAnsi="黑体" w:cs="Times New Roman"/>
          <w:b/>
          <w:bCs/>
          <w:sz w:val="32"/>
          <w:szCs w:val="32"/>
        </w:rPr>
      </w:pPr>
      <w:r>
        <w:rPr>
          <w:rFonts w:hAnsi="黑体" w:hint="eastAsia"/>
          <w:b/>
          <w:bCs/>
          <w:sz w:val="32"/>
          <w:szCs w:val="32"/>
        </w:rPr>
        <w:lastRenderedPageBreak/>
        <w:t>一、收入支出决算总体情况说明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年度收、支总计18193.87万元。与上年相比，增加6007.08万元，增长49.29</w:t>
      </w:r>
      <w:r>
        <w:rPr>
          <w:rFonts w:ascii="宋体" w:eastAsia="宋体" w:hAnsi="宋体" w:cs="宋体"/>
          <w:sz w:val="32"/>
          <w:szCs w:val="32"/>
        </w:rPr>
        <w:t>%</w:t>
      </w:r>
      <w:r>
        <w:rPr>
          <w:rFonts w:ascii="宋体" w:eastAsia="宋体" w:hAnsi="宋体" w:cs="宋体" w:hint="eastAsia"/>
          <w:sz w:val="32"/>
          <w:szCs w:val="32"/>
        </w:rPr>
        <w:t>，主要是因为保障性安居工程（棚户区改造）支出增加。</w:t>
      </w:r>
    </w:p>
    <w:p w:rsidR="00BF1D7C" w:rsidRDefault="00A54150">
      <w:pPr>
        <w:pStyle w:val="Default"/>
        <w:rPr>
          <w:rFonts w:hAnsi="黑体" w:cs="Times New Roman"/>
          <w:b/>
          <w:bCs/>
          <w:sz w:val="32"/>
          <w:szCs w:val="32"/>
        </w:rPr>
      </w:pPr>
      <w:r>
        <w:rPr>
          <w:rFonts w:hAnsi="黑体" w:hint="eastAsia"/>
          <w:b/>
          <w:bCs/>
          <w:sz w:val="32"/>
          <w:szCs w:val="32"/>
        </w:rPr>
        <w:t>二、收入决算情况说明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本年收入合计17267.46万元，其中：财政拨款收入15473.05万元，占89.61</w:t>
      </w:r>
      <w:r>
        <w:rPr>
          <w:rFonts w:ascii="宋体" w:eastAsia="宋体" w:hAnsi="宋体" w:cs="宋体"/>
          <w:sz w:val="32"/>
          <w:szCs w:val="32"/>
        </w:rPr>
        <w:t>%</w:t>
      </w:r>
      <w:r>
        <w:rPr>
          <w:rFonts w:ascii="宋体" w:eastAsia="宋体" w:hAnsi="宋体" w:cs="宋体" w:hint="eastAsia"/>
          <w:sz w:val="32"/>
          <w:szCs w:val="32"/>
        </w:rPr>
        <w:t>；</w:t>
      </w:r>
      <w:r>
        <w:rPr>
          <w:rFonts w:asciiTheme="minorEastAsia" w:eastAsiaTheme="minorEastAsia" w:hAnsiTheme="minorEastAsia" w:hint="eastAsia"/>
          <w:sz w:val="32"/>
          <w:szCs w:val="32"/>
        </w:rPr>
        <w:t>政府性基金预算财政拨款收入1794.41万元，占10.39%；</w:t>
      </w:r>
      <w:r>
        <w:rPr>
          <w:rFonts w:ascii="宋体" w:eastAsia="宋体" w:hAnsi="宋体" w:cs="宋体" w:hint="eastAsia"/>
          <w:sz w:val="32"/>
          <w:szCs w:val="32"/>
        </w:rPr>
        <w:t>上级补助收入0万元，占0</w:t>
      </w:r>
      <w:r>
        <w:rPr>
          <w:rFonts w:ascii="宋体" w:eastAsia="宋体" w:hAnsi="宋体" w:cs="宋体"/>
          <w:sz w:val="32"/>
          <w:szCs w:val="32"/>
        </w:rPr>
        <w:t>%</w:t>
      </w:r>
      <w:r>
        <w:rPr>
          <w:rFonts w:ascii="宋体" w:eastAsia="宋体" w:hAnsi="宋体" w:cs="宋体" w:hint="eastAsia"/>
          <w:sz w:val="32"/>
          <w:szCs w:val="32"/>
        </w:rPr>
        <w:t>；事业收入0万元，占0</w:t>
      </w:r>
      <w:r>
        <w:rPr>
          <w:rFonts w:ascii="宋体" w:eastAsia="宋体" w:hAnsi="宋体" w:cs="宋体"/>
          <w:sz w:val="32"/>
          <w:szCs w:val="32"/>
        </w:rPr>
        <w:t>%</w:t>
      </w:r>
      <w:r>
        <w:rPr>
          <w:rFonts w:ascii="宋体" w:eastAsia="宋体" w:hAnsi="宋体" w:cs="宋体" w:hint="eastAsia"/>
          <w:sz w:val="32"/>
          <w:szCs w:val="32"/>
        </w:rPr>
        <w:t>；经营收入0万元，占0</w:t>
      </w:r>
      <w:r>
        <w:rPr>
          <w:rFonts w:ascii="宋体" w:eastAsia="宋体" w:hAnsi="宋体" w:cs="宋体"/>
          <w:sz w:val="32"/>
          <w:szCs w:val="32"/>
        </w:rPr>
        <w:t>%</w:t>
      </w:r>
      <w:r>
        <w:rPr>
          <w:rFonts w:ascii="宋体" w:eastAsia="宋体" w:hAnsi="宋体" w:cs="宋体" w:hint="eastAsia"/>
          <w:sz w:val="32"/>
          <w:szCs w:val="32"/>
        </w:rPr>
        <w:t>；附属单位上缴收入0万元，占0</w:t>
      </w:r>
      <w:r>
        <w:rPr>
          <w:rFonts w:ascii="宋体" w:eastAsia="宋体" w:hAnsi="宋体" w:cs="宋体"/>
          <w:sz w:val="32"/>
          <w:szCs w:val="32"/>
        </w:rPr>
        <w:t>%</w:t>
      </w:r>
      <w:r>
        <w:rPr>
          <w:rFonts w:ascii="宋体" w:eastAsia="宋体" w:hAnsi="宋体" w:cs="宋体" w:hint="eastAsia"/>
          <w:sz w:val="32"/>
          <w:szCs w:val="32"/>
        </w:rPr>
        <w:t>；其他收入0万元，占0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rPr>
          <w:rFonts w:hAnsi="黑体" w:cs="Times New Roman"/>
          <w:b/>
          <w:bCs/>
          <w:sz w:val="32"/>
          <w:szCs w:val="32"/>
        </w:rPr>
      </w:pPr>
      <w:r>
        <w:rPr>
          <w:rFonts w:hAnsi="黑体" w:hint="eastAsia"/>
          <w:b/>
          <w:bCs/>
          <w:sz w:val="32"/>
          <w:szCs w:val="32"/>
        </w:rPr>
        <w:t>三、支出决算情况说明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本年支出合计18193.87万元，其中：基本支出10939.66万元，占60.13</w:t>
      </w:r>
      <w:r>
        <w:rPr>
          <w:rFonts w:ascii="宋体" w:eastAsia="宋体" w:hAnsi="宋体" w:cs="宋体"/>
          <w:sz w:val="32"/>
          <w:szCs w:val="32"/>
        </w:rPr>
        <w:t>%</w:t>
      </w:r>
      <w:r>
        <w:rPr>
          <w:rFonts w:ascii="宋体" w:eastAsia="宋体" w:hAnsi="宋体" w:cs="宋体" w:hint="eastAsia"/>
          <w:sz w:val="32"/>
          <w:szCs w:val="32"/>
        </w:rPr>
        <w:t>；项目支出7254.20万元，占39.87</w:t>
      </w:r>
      <w:r>
        <w:rPr>
          <w:rFonts w:ascii="宋体" w:eastAsia="宋体" w:hAnsi="宋体" w:cs="宋体"/>
          <w:sz w:val="32"/>
          <w:szCs w:val="32"/>
        </w:rPr>
        <w:t>%</w:t>
      </w:r>
      <w:r>
        <w:rPr>
          <w:rFonts w:ascii="宋体" w:eastAsia="宋体" w:hAnsi="宋体" w:cs="宋体" w:hint="eastAsia"/>
          <w:sz w:val="32"/>
          <w:szCs w:val="32"/>
        </w:rPr>
        <w:t>；上缴上级支出0万元，占0</w:t>
      </w:r>
      <w:r>
        <w:rPr>
          <w:rFonts w:ascii="宋体" w:eastAsia="宋体" w:hAnsi="宋体" w:cs="宋体"/>
          <w:sz w:val="32"/>
          <w:szCs w:val="32"/>
        </w:rPr>
        <w:t>%</w:t>
      </w:r>
      <w:r>
        <w:rPr>
          <w:rFonts w:ascii="宋体" w:eastAsia="宋体" w:hAnsi="宋体" w:cs="宋体" w:hint="eastAsia"/>
          <w:sz w:val="32"/>
          <w:szCs w:val="32"/>
        </w:rPr>
        <w:t>；经营支出0万元，占0</w:t>
      </w:r>
      <w:r>
        <w:rPr>
          <w:rFonts w:ascii="宋体" w:eastAsia="宋体" w:hAnsi="宋体" w:cs="宋体"/>
          <w:sz w:val="32"/>
          <w:szCs w:val="32"/>
        </w:rPr>
        <w:t>%</w:t>
      </w:r>
      <w:r>
        <w:rPr>
          <w:rFonts w:ascii="宋体" w:eastAsia="宋体" w:hAnsi="宋体" w:cs="宋体" w:hint="eastAsia"/>
          <w:sz w:val="32"/>
          <w:szCs w:val="32"/>
        </w:rPr>
        <w:t>；对附属单位补助支出0万元，占0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rPr>
          <w:rFonts w:hAnsi="黑体" w:cs="Times New Roman"/>
          <w:b/>
          <w:bCs/>
          <w:sz w:val="32"/>
          <w:szCs w:val="32"/>
        </w:rPr>
      </w:pPr>
      <w:r>
        <w:rPr>
          <w:rFonts w:hAnsi="黑体" w:hint="eastAsia"/>
          <w:b/>
          <w:bCs/>
          <w:sz w:val="32"/>
          <w:szCs w:val="32"/>
        </w:rPr>
        <w:t>四、财政拨款收入支出决算总体情况说明</w:t>
      </w:r>
    </w:p>
    <w:p w:rsidR="00BF1D7C" w:rsidRDefault="00A54150">
      <w:pPr>
        <w:pStyle w:val="Default"/>
        <w:rPr>
          <w:rFonts w:ascii="宋体" w:eastAsia="宋体" w:hAnsi="宋体" w:cs="Times New Roman"/>
          <w:sz w:val="32"/>
          <w:szCs w:val="32"/>
        </w:rPr>
      </w:pPr>
      <w:r>
        <w:rPr>
          <w:rFonts w:ascii="宋体" w:eastAsia="宋体" w:hAnsi="宋体" w:cs="宋体"/>
          <w:sz w:val="32"/>
          <w:szCs w:val="32"/>
        </w:rPr>
        <w:t xml:space="preserve">    2021</w:t>
      </w:r>
      <w:r>
        <w:rPr>
          <w:rFonts w:ascii="宋体" w:eastAsia="宋体" w:hAnsi="宋体" w:cs="宋体" w:hint="eastAsia"/>
          <w:sz w:val="32"/>
          <w:szCs w:val="32"/>
        </w:rPr>
        <w:t>年度财政拨款收、支总计18193.87万元，与上年相比，增加6007.08万元</w:t>
      </w:r>
      <w:r>
        <w:rPr>
          <w:rFonts w:ascii="宋体" w:eastAsia="宋体" w:hAnsi="宋体" w:cs="宋体"/>
          <w:sz w:val="32"/>
          <w:szCs w:val="32"/>
        </w:rPr>
        <w:t>,</w:t>
      </w:r>
      <w:r>
        <w:rPr>
          <w:rFonts w:ascii="宋体" w:eastAsia="宋体" w:hAnsi="宋体" w:cs="宋体" w:hint="eastAsia"/>
          <w:sz w:val="32"/>
          <w:szCs w:val="32"/>
        </w:rPr>
        <w:t>增长49.29</w:t>
      </w:r>
      <w:r>
        <w:rPr>
          <w:rFonts w:ascii="宋体" w:eastAsia="宋体" w:hAnsi="宋体" w:cs="宋体"/>
          <w:sz w:val="32"/>
          <w:szCs w:val="32"/>
        </w:rPr>
        <w:t>%</w:t>
      </w:r>
      <w:r>
        <w:rPr>
          <w:rFonts w:ascii="宋体" w:eastAsia="宋体" w:hAnsi="宋体" w:cs="宋体" w:hint="eastAsia"/>
          <w:sz w:val="32"/>
          <w:szCs w:val="32"/>
        </w:rPr>
        <w:t>，主要是因为保障性安居工程（棚户区改造）支出增加。</w:t>
      </w:r>
    </w:p>
    <w:p w:rsidR="00BF1D7C" w:rsidRDefault="00A54150">
      <w:pPr>
        <w:pStyle w:val="Default"/>
        <w:rPr>
          <w:rFonts w:hAnsi="黑体" w:cs="Times New Roman"/>
          <w:b/>
          <w:bCs/>
          <w:sz w:val="32"/>
          <w:szCs w:val="32"/>
        </w:rPr>
      </w:pPr>
      <w:r>
        <w:rPr>
          <w:rFonts w:hAnsi="黑体" w:hint="eastAsia"/>
          <w:b/>
          <w:bCs/>
          <w:sz w:val="32"/>
          <w:szCs w:val="32"/>
        </w:rPr>
        <w:t>五、一般公共预算财政拨款支出决算情况说明</w:t>
      </w:r>
    </w:p>
    <w:p w:rsidR="00BF1D7C" w:rsidRDefault="00A54150" w:rsidP="00EC2034">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sz w:val="32"/>
          <w:szCs w:val="32"/>
        </w:rPr>
        <w:t>2021</w:t>
      </w:r>
      <w:r>
        <w:rPr>
          <w:rFonts w:ascii="宋体" w:eastAsia="宋体" w:hAnsi="宋体" w:cs="宋体" w:hint="eastAsia"/>
          <w:sz w:val="32"/>
          <w:szCs w:val="32"/>
        </w:rPr>
        <w:t>年度财政拨款支出16399.46万元，占本年支出合</w:t>
      </w:r>
      <w:r>
        <w:rPr>
          <w:rFonts w:ascii="宋体" w:eastAsia="宋体" w:hAnsi="宋体" w:cs="宋体" w:hint="eastAsia"/>
          <w:sz w:val="32"/>
          <w:szCs w:val="32"/>
        </w:rPr>
        <w:lastRenderedPageBreak/>
        <w:t>计的90.14</w:t>
      </w:r>
      <w:r>
        <w:rPr>
          <w:rFonts w:ascii="宋体" w:eastAsia="宋体" w:hAnsi="宋体" w:cs="宋体"/>
          <w:sz w:val="32"/>
          <w:szCs w:val="32"/>
        </w:rPr>
        <w:t>%</w:t>
      </w:r>
      <w:r>
        <w:rPr>
          <w:rFonts w:ascii="宋体" w:eastAsia="宋体" w:hAnsi="宋体" w:cs="宋体" w:hint="eastAsia"/>
          <w:sz w:val="32"/>
          <w:szCs w:val="32"/>
        </w:rPr>
        <w:t>，与上年相比，财政拨款支出增加5427.42万元，增长49.47</w:t>
      </w:r>
      <w:r>
        <w:rPr>
          <w:rFonts w:ascii="宋体" w:eastAsia="宋体" w:hAnsi="宋体" w:cs="宋体"/>
          <w:sz w:val="32"/>
          <w:szCs w:val="32"/>
        </w:rPr>
        <w:t>%</w:t>
      </w:r>
      <w:r>
        <w:rPr>
          <w:rFonts w:ascii="宋体" w:eastAsia="宋体" w:hAnsi="宋体" w:cs="宋体" w:hint="eastAsia"/>
          <w:sz w:val="32"/>
          <w:szCs w:val="32"/>
        </w:rPr>
        <w:t>，主要是因为保障性安居工程（棚户区改造）支出增加。</w:t>
      </w:r>
    </w:p>
    <w:p w:rsidR="00BF1D7C" w:rsidRDefault="00A54150" w:rsidP="00EC2034">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BF1D7C" w:rsidRDefault="00A54150">
      <w:pPr>
        <w:pStyle w:val="Default"/>
        <w:ind w:firstLineChars="200" w:firstLine="640"/>
        <w:rPr>
          <w:rFonts w:asciiTheme="minorEastAsia" w:eastAsiaTheme="minorEastAsia" w:hAnsiTheme="minorEastAsia"/>
          <w:sz w:val="32"/>
          <w:szCs w:val="32"/>
        </w:rPr>
      </w:pPr>
      <w:r>
        <w:rPr>
          <w:rFonts w:ascii="宋体" w:eastAsia="宋体" w:hAnsi="宋体" w:cs="宋体"/>
          <w:sz w:val="32"/>
          <w:szCs w:val="32"/>
        </w:rPr>
        <w:t>2021</w:t>
      </w:r>
      <w:r>
        <w:rPr>
          <w:rFonts w:ascii="宋体" w:eastAsia="宋体" w:hAnsi="宋体" w:cs="宋体" w:hint="eastAsia"/>
          <w:sz w:val="32"/>
          <w:szCs w:val="32"/>
        </w:rPr>
        <w:t>年度财政拨款支出18193.87万元，主要用于以下方面：一般公共服务（类）支出3118.23万元，占17.14</w:t>
      </w:r>
      <w:r>
        <w:rPr>
          <w:rFonts w:ascii="宋体" w:eastAsia="宋体" w:hAnsi="宋体" w:cs="宋体"/>
          <w:sz w:val="32"/>
          <w:szCs w:val="32"/>
        </w:rPr>
        <w:t>%</w:t>
      </w:r>
      <w:r>
        <w:rPr>
          <w:rFonts w:ascii="宋体" w:eastAsia="宋体" w:hAnsi="宋体" w:cs="宋体" w:hint="eastAsia"/>
          <w:sz w:val="32"/>
          <w:szCs w:val="32"/>
        </w:rPr>
        <w:t>；教育（类）支出0万元，占0</w:t>
      </w:r>
      <w:r>
        <w:rPr>
          <w:rFonts w:ascii="宋体" w:eastAsia="宋体" w:hAnsi="宋体" w:cs="宋体"/>
          <w:sz w:val="32"/>
          <w:szCs w:val="32"/>
        </w:rPr>
        <w:t>%;</w:t>
      </w:r>
      <w:r>
        <w:rPr>
          <w:rFonts w:asciiTheme="minorEastAsia" w:eastAsiaTheme="minorEastAsia" w:hAnsiTheme="minorEastAsia" w:hint="eastAsia"/>
          <w:sz w:val="32"/>
          <w:szCs w:val="32"/>
        </w:rPr>
        <w:t>国防</w:t>
      </w:r>
      <w:r>
        <w:rPr>
          <w:rFonts w:asciiTheme="minorEastAsia" w:eastAsiaTheme="minorEastAsia" w:hAnsiTheme="minorEastAsia"/>
          <w:sz w:val="32"/>
          <w:szCs w:val="32"/>
        </w:rPr>
        <w:t>支出</w:t>
      </w:r>
      <w:r>
        <w:rPr>
          <w:rFonts w:asciiTheme="minorEastAsia" w:eastAsiaTheme="minorEastAsia" w:hAnsiTheme="minorEastAsia" w:hint="eastAsia"/>
          <w:sz w:val="32"/>
          <w:szCs w:val="32"/>
        </w:rPr>
        <w:t>31.57万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0.17%；社会保障和就业支出6.41万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0.04%；</w:t>
      </w:r>
      <w:r>
        <w:rPr>
          <w:rFonts w:asciiTheme="minorEastAsia" w:eastAsiaTheme="minorEastAsia" w:hAnsiTheme="minorEastAsia"/>
          <w:sz w:val="32"/>
          <w:szCs w:val="32"/>
        </w:rPr>
        <w:t>节能环保支出</w:t>
      </w:r>
      <w:r>
        <w:rPr>
          <w:rFonts w:asciiTheme="minorEastAsia" w:eastAsiaTheme="minorEastAsia" w:hAnsiTheme="minorEastAsia" w:hint="eastAsia"/>
          <w:sz w:val="32"/>
          <w:szCs w:val="32"/>
        </w:rPr>
        <w:t>1476.42万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8.12%；</w:t>
      </w:r>
      <w:r>
        <w:rPr>
          <w:rFonts w:asciiTheme="minorEastAsia" w:eastAsiaTheme="minorEastAsia" w:hAnsiTheme="minorEastAsia"/>
          <w:sz w:val="32"/>
          <w:szCs w:val="32"/>
        </w:rPr>
        <w:t>城乡社区支出</w:t>
      </w:r>
      <w:r>
        <w:rPr>
          <w:rFonts w:asciiTheme="minorEastAsia" w:eastAsiaTheme="minorEastAsia" w:hAnsiTheme="minorEastAsia" w:hint="eastAsia"/>
          <w:sz w:val="32"/>
          <w:szCs w:val="32"/>
        </w:rPr>
        <w:t>3002.66万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16.50%；交通运输支出12.82万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0.07%；自然资源海洋气象等支出4.54万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0.02%；</w:t>
      </w:r>
      <w:r>
        <w:rPr>
          <w:rFonts w:asciiTheme="minorEastAsia" w:eastAsiaTheme="minorEastAsia" w:hAnsiTheme="minorEastAsia"/>
          <w:sz w:val="32"/>
          <w:szCs w:val="32"/>
        </w:rPr>
        <w:t>住房保障支出</w:t>
      </w:r>
      <w:r>
        <w:rPr>
          <w:rFonts w:asciiTheme="minorEastAsia" w:eastAsiaTheme="minorEastAsia" w:hAnsiTheme="minorEastAsia" w:hint="eastAsia"/>
          <w:sz w:val="32"/>
          <w:szCs w:val="32"/>
        </w:rPr>
        <w:t>10541.22万</w:t>
      </w:r>
      <w:r>
        <w:rPr>
          <w:rFonts w:asciiTheme="minorEastAsia" w:eastAsiaTheme="minorEastAsia" w:hAnsiTheme="minorEastAsia"/>
          <w:sz w:val="32"/>
          <w:szCs w:val="32"/>
        </w:rPr>
        <w:t>元，占</w:t>
      </w:r>
      <w:r>
        <w:rPr>
          <w:rFonts w:asciiTheme="minorEastAsia" w:eastAsiaTheme="minorEastAsia" w:hAnsiTheme="minorEastAsia" w:hint="eastAsia"/>
          <w:sz w:val="32"/>
          <w:szCs w:val="32"/>
        </w:rPr>
        <w:t>57.94%；</w:t>
      </w:r>
    </w:p>
    <w:p w:rsidR="00BF1D7C" w:rsidRDefault="00A54150" w:rsidP="00EC2034">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2021年度财政拨款支出年初预算数为18193.87万元，支出决算数为18193.87万元，完成年初预算的100%，其中：</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、一般公共服务支出——人大</w:t>
      </w:r>
      <w:r>
        <w:rPr>
          <w:rFonts w:ascii="宋体" w:eastAsia="宋体" w:hAnsi="宋体" w:cs="宋体"/>
          <w:sz w:val="32"/>
          <w:szCs w:val="32"/>
        </w:rPr>
        <w:t>事务</w:t>
      </w:r>
      <w:r>
        <w:rPr>
          <w:rFonts w:ascii="宋体" w:eastAsia="宋体" w:hAnsi="宋体" w:cs="宋体" w:hint="eastAsia"/>
          <w:sz w:val="32"/>
          <w:szCs w:val="32"/>
        </w:rPr>
        <w:t>——行政运行。</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年初预算为1737.05万元，支出决算为1737.05万元，完成年初预算的100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sz w:val="32"/>
          <w:szCs w:val="32"/>
        </w:rPr>
        <w:t>2</w:t>
      </w:r>
      <w:r>
        <w:rPr>
          <w:rFonts w:ascii="宋体" w:eastAsia="宋体" w:hAnsi="宋体" w:cs="宋体" w:hint="eastAsia"/>
          <w:sz w:val="32"/>
          <w:szCs w:val="32"/>
        </w:rPr>
        <w:t>、一般公共服务支出——政府办公厅（室）及相关机构事务——行政运行。</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年初预算为390.77万元，支出决算为390.77万元，完成年初预算的100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3、一般公共服务支出——政府办公厅（室）及相关机构事务——一般行政管理事务。</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年初预算为0.41万元，支出决算为0.41万元，完成年初预算的100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00" w:firstLine="640"/>
        <w:rPr>
          <w:rFonts w:ascii="宋体" w:eastAsia="宋体" w:hAnsi="宋体" w:cs="宋体"/>
          <w:sz w:val="32"/>
          <w:szCs w:val="32"/>
        </w:rPr>
      </w:pPr>
      <w:r>
        <w:rPr>
          <w:rFonts w:ascii="宋体" w:eastAsia="宋体" w:hAnsi="宋体" w:cs="宋体" w:hint="eastAsia"/>
          <w:sz w:val="32"/>
          <w:szCs w:val="32"/>
        </w:rPr>
        <w:t>4、一般公共服务支出——宣传事务——其他宣传事务支出。</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年初预算为14.40万元，支出决算为14.40万元，完成年初预算的100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5、一般公共服务支出——市场监督管理事务—— 一般行政管理事务支出。</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年初预算为42.09万元，支出决算为42.09万元，完成年初预算的100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6、一般公共服务支出——其他一般公共服务支出——其他一般公共服务支出。</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年初预算为933.92万元，支出决算为933.92万元，完成年初预算的100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1"/>
        <w:ind w:leftChars="200" w:left="580" w:hangingChars="50" w:hanging="160"/>
        <w:rPr>
          <w:rFonts w:ascii="宋体" w:eastAsia="宋体" w:hAnsi="宋体" w:cs="宋体"/>
          <w:color w:val="000000"/>
          <w:kern w:val="0"/>
          <w:sz w:val="32"/>
          <w:szCs w:val="32"/>
        </w:rPr>
      </w:pPr>
      <w:r>
        <w:rPr>
          <w:rFonts w:asciiTheme="minorEastAsia" w:eastAsiaTheme="minorEastAsia" w:hAnsiTheme="minorEastAsia" w:hint="eastAsia"/>
          <w:sz w:val="32"/>
          <w:szCs w:val="32"/>
        </w:rPr>
        <w:t xml:space="preserve">  7</w:t>
      </w:r>
      <w:r>
        <w:rPr>
          <w:rFonts w:ascii="宋体" w:eastAsia="宋体" w:hAnsi="宋体" w:cs="宋体" w:hint="eastAsia"/>
          <w:color w:val="000000"/>
          <w:kern w:val="0"/>
          <w:sz w:val="32"/>
          <w:szCs w:val="32"/>
        </w:rPr>
        <w:t>、国防支出——国防动员——人民防空。</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年初预算为31.57万元，支出决算为31.57万元，完成年初预算的100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1"/>
        <w:ind w:leftChars="200" w:left="580" w:hangingChars="50" w:hanging="160"/>
        <w:rPr>
          <w:rFonts w:ascii="宋体" w:eastAsia="宋体" w:hAnsi="宋体" w:cs="宋体"/>
          <w:color w:val="000000"/>
          <w:kern w:val="0"/>
          <w:sz w:val="32"/>
          <w:szCs w:val="32"/>
        </w:rPr>
      </w:pPr>
      <w:r>
        <w:rPr>
          <w:rFonts w:ascii="宋体" w:eastAsia="宋体" w:hAnsi="宋体" w:cs="宋体" w:hint="eastAsia"/>
          <w:color w:val="000000"/>
          <w:kern w:val="0"/>
          <w:sz w:val="32"/>
          <w:szCs w:val="32"/>
        </w:rPr>
        <w:t xml:space="preserve">  8、社会保障和就业支出——财政对其他社会保险基金 的补助——  其他财政对社会保险基金的补。</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年初预算为6.41万元，支出决算为6.41万元，完成年</w:t>
      </w:r>
      <w:r>
        <w:rPr>
          <w:rFonts w:ascii="宋体" w:eastAsia="宋体" w:hAnsi="宋体" w:cs="宋体" w:hint="eastAsia"/>
          <w:sz w:val="32"/>
          <w:szCs w:val="32"/>
        </w:rPr>
        <w:lastRenderedPageBreak/>
        <w:t>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1"/>
        <w:ind w:leftChars="200" w:left="580" w:hangingChars="50" w:hanging="160"/>
        <w:rPr>
          <w:rFonts w:ascii="宋体" w:eastAsia="宋体" w:hAnsi="宋体" w:cs="宋体"/>
          <w:color w:val="000000"/>
          <w:kern w:val="0"/>
          <w:sz w:val="32"/>
          <w:szCs w:val="32"/>
        </w:rPr>
      </w:pPr>
      <w:r>
        <w:rPr>
          <w:rFonts w:ascii="宋体" w:eastAsia="宋体" w:hAnsi="宋体" w:cs="宋体" w:hint="eastAsia"/>
          <w:color w:val="000000"/>
          <w:kern w:val="0"/>
          <w:sz w:val="32"/>
          <w:szCs w:val="32"/>
        </w:rPr>
        <w:t xml:space="preserve"> 9、节能环保支出——污染防治——水体。</w:t>
      </w:r>
    </w:p>
    <w:p w:rsidR="00BF1D7C" w:rsidRDefault="00A54150">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年初预算为1476.42万元，支出决算为1476.42万元，完成年初预算的100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10、城乡社区支出——城乡社区管理事务——行政运行。</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年初预算为240.53万元，支出决算为240.53万元，完成年初预算的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11、城乡社区支出——城乡社区管理事务——一般行政管理事务。</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年初预算为599.81万元，支出决算为599.81万元，完成年初预算的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12、城乡社区支出——城乡社区管理事务——其他城乡社区管理事务支出。</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年初预算为61.65万元，支出决算为61.65万元，完成年初预算的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13、城乡社区支出——城乡社区环境卫生——城乡社区环境卫生。</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年初预算为168.08万元，支出决算为168.08万元，完成年初预算的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14、城乡社区支出——污水处理费安排的支出——污水处理设施建设和运营。</w:t>
      </w:r>
    </w:p>
    <w:p w:rsidR="00BF1D7C" w:rsidRDefault="00A54150">
      <w:pPr>
        <w:pStyle w:val="1"/>
        <w:ind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年初预算为1735.41万元，支出决算为1735.41万元，</w:t>
      </w:r>
      <w:r>
        <w:rPr>
          <w:rFonts w:asciiTheme="minorEastAsia" w:eastAsiaTheme="minorEastAsia" w:hAnsiTheme="minorEastAsia" w:hint="eastAsia"/>
          <w:sz w:val="32"/>
          <w:szCs w:val="32"/>
        </w:rPr>
        <w:lastRenderedPageBreak/>
        <w:t>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15、城乡社区支出——污水处理费安排的支出——其他污水处理费安排的支出。</w:t>
      </w:r>
    </w:p>
    <w:p w:rsidR="00BF1D7C" w:rsidRDefault="00A54150">
      <w:pPr>
        <w:pStyle w:val="1"/>
        <w:tabs>
          <w:tab w:val="left" w:pos="421"/>
        </w:tabs>
        <w:ind w:firstLine="640"/>
        <w:rPr>
          <w:rFonts w:asciiTheme="minorEastAsia" w:eastAsiaTheme="minorEastAsia" w:hAnsiTheme="minorEastAsia" w:cs="黑体"/>
          <w:color w:val="000000"/>
          <w:kern w:val="0"/>
          <w:sz w:val="32"/>
          <w:szCs w:val="32"/>
          <w:highlight w:val="yellow"/>
        </w:rPr>
      </w:pPr>
      <w:r>
        <w:rPr>
          <w:rFonts w:asciiTheme="minorEastAsia" w:eastAsiaTheme="minorEastAsia" w:hAnsiTheme="minorEastAsia" w:hint="eastAsia"/>
          <w:sz w:val="32"/>
          <w:szCs w:val="32"/>
        </w:rPr>
        <w:t>年初预算为59万元，支出决算为59万元，完成年初预算的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16、城乡社区支出——其他城乡社区支出——其他城乡社区支出。</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年初预算为138.19万元，支出决算为138.19万元，完成年初预算的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17、交通运输支出——公路水路运输——行政运行。</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年初预算为12.82万元，支出决算为12.82万元，完成年初预算的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18、自然资源海洋气象等支出——自然资源事务—— 行政运行。</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年初预算为4.54万元，支出决算为4.54万元，完成年初预算的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19、住房保障支出——保障性安居工程支出——廉租住房。</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年初预算为60.49万元，支出决算为60.49万元，完成年初预算的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20、住房保障支出——保障性安居工程支出——棚户区改造。</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lastRenderedPageBreak/>
        <w:t>年初预算为8531.54万元，支出决算为8531.54万元，完成年初预算的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21、住房保障支出——保障性安居工程支出——农村危房改造。</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年初预算为308.20万元，支出决算为308.20万元，完成年初预算的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22、住房保障支出——保障性安居工程支出——保障性住房租金补贴。</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年初预算为137.21万元，支出决算为137.21万元，完成年初预算的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23、住房保障支出——保障性安居工程支出——老旧小区改造。</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年初预算为1498.62万元，支出决算为1498.62万元，完成年初预算的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1"/>
        <w:ind w:firstLine="640"/>
        <w:rPr>
          <w:rFonts w:asciiTheme="minorEastAsia" w:eastAsiaTheme="minorEastAsia" w:hAnsiTheme="minorEastAsia" w:cs="黑体"/>
          <w:color w:val="000000"/>
          <w:kern w:val="0"/>
          <w:sz w:val="32"/>
          <w:szCs w:val="32"/>
        </w:rPr>
      </w:pPr>
      <w:r>
        <w:rPr>
          <w:rFonts w:asciiTheme="minorEastAsia" w:eastAsiaTheme="minorEastAsia" w:hAnsiTheme="minorEastAsia" w:cs="黑体" w:hint="eastAsia"/>
          <w:color w:val="000000"/>
          <w:kern w:val="0"/>
          <w:sz w:val="32"/>
          <w:szCs w:val="32"/>
        </w:rPr>
        <w:t>24、住房保障支出——保障性安居工程支出——其他保障性安居工程支出。</w:t>
      </w:r>
    </w:p>
    <w:p w:rsidR="00BF1D7C" w:rsidRDefault="00A54150">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年初预算为5.15万元，支出决算为5.15万元，完成年初预算的</w:t>
      </w:r>
      <w:r>
        <w:rPr>
          <w:rFonts w:asciiTheme="minorEastAsia" w:eastAsiaTheme="minorEastAsia" w:hAnsiTheme="minorEastAsia"/>
          <w:sz w:val="32"/>
          <w:szCs w:val="32"/>
        </w:rPr>
        <w:t>100</w:t>
      </w:r>
      <w:r>
        <w:rPr>
          <w:rFonts w:asciiTheme="minorEastAsia" w:eastAsiaTheme="minorEastAsia" w:hAnsiTheme="minorEastAsia" w:hint="eastAsia"/>
          <w:sz w:val="32"/>
          <w:szCs w:val="32"/>
        </w:rPr>
        <w:t>%。</w:t>
      </w:r>
    </w:p>
    <w:p w:rsidR="00BF1D7C" w:rsidRDefault="00A54150">
      <w:pPr>
        <w:pStyle w:val="Default"/>
        <w:rPr>
          <w:rFonts w:hAnsi="黑体" w:cs="Times New Roman"/>
          <w:b/>
          <w:bCs/>
          <w:sz w:val="32"/>
          <w:szCs w:val="32"/>
        </w:rPr>
      </w:pPr>
      <w:r>
        <w:rPr>
          <w:rFonts w:hAnsi="黑体" w:hint="eastAsia"/>
          <w:b/>
          <w:bCs/>
          <w:sz w:val="32"/>
          <w:szCs w:val="32"/>
        </w:rPr>
        <w:t>六、一般公共预算财政拨款基本支出决算情况说明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年度财政拨款基本支出10939.66万元，其中：人员经费1928.99万元，占基本支出的17.63</w:t>
      </w:r>
      <w:r>
        <w:rPr>
          <w:rFonts w:ascii="宋体" w:eastAsia="宋体" w:hAnsi="宋体" w:cs="宋体"/>
          <w:sz w:val="32"/>
          <w:szCs w:val="32"/>
        </w:rPr>
        <w:t>%,</w:t>
      </w:r>
      <w:r>
        <w:rPr>
          <w:rFonts w:ascii="宋体" w:eastAsia="宋体" w:hAnsi="宋体" w:cs="宋体" w:hint="eastAsia"/>
          <w:sz w:val="32"/>
          <w:szCs w:val="32"/>
        </w:rPr>
        <w:t>主要包括基本工资、津贴补贴、奖金、伙食补助费、</w:t>
      </w:r>
      <w:r>
        <w:rPr>
          <w:rFonts w:asciiTheme="minorEastAsia" w:eastAsiaTheme="minorEastAsia" w:hAnsiTheme="minorEastAsia" w:hint="eastAsia"/>
          <w:sz w:val="32"/>
          <w:szCs w:val="32"/>
        </w:rPr>
        <w:t>绩效工资、机关事业单位基</w:t>
      </w:r>
      <w:r>
        <w:rPr>
          <w:rFonts w:asciiTheme="minorEastAsia" w:eastAsiaTheme="minorEastAsia" w:hAnsiTheme="minorEastAsia" w:hint="eastAsia"/>
          <w:sz w:val="32"/>
          <w:szCs w:val="32"/>
        </w:rPr>
        <w:lastRenderedPageBreak/>
        <w:t>本养老保险缴费、职业年金缴费、职工基本医疗保险缴费、公务员医疗补助缴费、其他社会保障缴费、住房公积金、医疗费、其他工资福利支出、对个人和家庭的补助、抚恤金、生活补助、救济费、助学金、奖励金、其他对个人和家庭的补助；</w:t>
      </w:r>
      <w:r>
        <w:rPr>
          <w:rFonts w:ascii="宋体" w:eastAsia="宋体" w:hAnsi="宋体" w:cs="宋体" w:hint="eastAsia"/>
          <w:sz w:val="32"/>
          <w:szCs w:val="32"/>
        </w:rPr>
        <w:t>公用经费9010.68万元，占基本支出的82.37</w:t>
      </w:r>
      <w:r>
        <w:rPr>
          <w:rFonts w:ascii="宋体" w:eastAsia="宋体" w:hAnsi="宋体" w:cs="宋体"/>
          <w:sz w:val="32"/>
          <w:szCs w:val="32"/>
        </w:rPr>
        <w:t>%</w:t>
      </w:r>
      <w:r>
        <w:rPr>
          <w:rFonts w:ascii="宋体" w:eastAsia="宋体" w:hAnsi="宋体" w:cs="宋体" w:hint="eastAsia"/>
          <w:sz w:val="32"/>
          <w:szCs w:val="32"/>
        </w:rPr>
        <w:t>，主要包括办公费、印刷费、咨询费、手续费、</w:t>
      </w:r>
      <w:r>
        <w:rPr>
          <w:rFonts w:asciiTheme="minorEastAsia" w:eastAsiaTheme="minorEastAsia" w:hAnsiTheme="minorEastAsia" w:hint="eastAsia"/>
          <w:sz w:val="32"/>
          <w:szCs w:val="32"/>
        </w:rPr>
        <w:t>水费、电费、邮电费、物业管理费、差旅费、维修（护）费、租赁费、会议费、培训费、公务接待费、专用材料费、劳务费、委托业务费、工会经费、福利费、公务用车运行维护费、其他交通费用、税金及附加费用、其他商品和服务支出、专用设备购置、信息网络及软件购置更新、对民间非营利组织和群众性自治组织补贴</w:t>
      </w:r>
      <w:r>
        <w:rPr>
          <w:rFonts w:ascii="宋体" w:eastAsia="宋体" w:hAnsi="宋体" w:cs="宋体" w:hint="eastAsia"/>
          <w:sz w:val="32"/>
          <w:szCs w:val="32"/>
        </w:rPr>
        <w:t>。</w:t>
      </w:r>
    </w:p>
    <w:p w:rsidR="00BF1D7C" w:rsidRDefault="00A54150">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BF1D7C" w:rsidRDefault="00A54150">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“三公”经费财政拨款支出预算为41.20万元，支出决算为20.91万元，完成预算的50.75</w:t>
      </w:r>
      <w:r>
        <w:rPr>
          <w:rFonts w:ascii="宋体" w:eastAsia="宋体" w:hAnsi="宋体" w:cs="宋体"/>
          <w:sz w:val="32"/>
          <w:szCs w:val="32"/>
        </w:rPr>
        <w:t>%</w:t>
      </w:r>
      <w:r>
        <w:rPr>
          <w:rFonts w:ascii="宋体" w:eastAsia="宋体" w:hAnsi="宋体" w:cs="宋体" w:hint="eastAsia"/>
          <w:sz w:val="32"/>
          <w:szCs w:val="32"/>
        </w:rPr>
        <w:t>，其中：</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因公出国（境）费支出预算为0万元，支出决算为0万元，完成预算的0</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公务接待费支出预算为12.40万元，支出决算为3.60万元，完成预算的29.03</w:t>
      </w:r>
      <w:r>
        <w:rPr>
          <w:rFonts w:ascii="宋体" w:eastAsia="宋体" w:hAnsi="宋体" w:cs="宋体"/>
          <w:sz w:val="32"/>
          <w:szCs w:val="32"/>
        </w:rPr>
        <w:t>%</w:t>
      </w:r>
      <w:r>
        <w:rPr>
          <w:rFonts w:ascii="宋体" w:eastAsia="宋体" w:hAnsi="宋体" w:cs="宋体" w:hint="eastAsia"/>
          <w:sz w:val="32"/>
          <w:szCs w:val="32"/>
        </w:rPr>
        <w:t>，决算数小于预算数的主要原因是厉行节约，与上年相比增加0.82万元，增长29.49</w:t>
      </w:r>
      <w:r>
        <w:rPr>
          <w:rFonts w:ascii="宋体" w:eastAsia="宋体" w:hAnsi="宋体" w:cs="宋体"/>
          <w:sz w:val="32"/>
          <w:szCs w:val="32"/>
        </w:rPr>
        <w:t>%,</w:t>
      </w:r>
      <w:r>
        <w:rPr>
          <w:rFonts w:ascii="宋体" w:eastAsia="宋体" w:hAnsi="宋体" w:cs="宋体" w:hint="eastAsia"/>
          <w:sz w:val="32"/>
          <w:szCs w:val="32"/>
        </w:rPr>
        <w:t>增长的主要原因是</w:t>
      </w:r>
      <w:r>
        <w:rPr>
          <w:rFonts w:asciiTheme="minorEastAsia" w:eastAsiaTheme="minorEastAsia" w:hAnsiTheme="minorEastAsia" w:hint="eastAsia"/>
          <w:sz w:val="32"/>
          <w:szCs w:val="32"/>
        </w:rPr>
        <w:t>一</w:t>
      </w:r>
      <w:r>
        <w:rPr>
          <w:rFonts w:asciiTheme="minorEastAsia" w:eastAsiaTheme="minorEastAsia" w:hAnsiTheme="minorEastAsia"/>
          <w:sz w:val="32"/>
          <w:szCs w:val="32"/>
        </w:rPr>
        <w:t>般</w:t>
      </w:r>
      <w:r>
        <w:rPr>
          <w:rFonts w:asciiTheme="minorEastAsia" w:eastAsiaTheme="minorEastAsia" w:hAnsiTheme="minorEastAsia" w:hint="eastAsia"/>
          <w:sz w:val="32"/>
          <w:szCs w:val="32"/>
        </w:rPr>
        <w:t>公务接待及</w:t>
      </w:r>
      <w:r>
        <w:rPr>
          <w:rFonts w:asciiTheme="minorEastAsia" w:eastAsiaTheme="minorEastAsia" w:hAnsiTheme="minorEastAsia"/>
          <w:sz w:val="32"/>
          <w:szCs w:val="32"/>
        </w:rPr>
        <w:t>调研接待增加</w:t>
      </w:r>
      <w:r>
        <w:rPr>
          <w:rFonts w:ascii="宋体" w:eastAsia="宋体" w:hAnsi="宋体" w:cs="宋体" w:hint="eastAsia"/>
          <w:sz w:val="32"/>
          <w:szCs w:val="32"/>
        </w:rPr>
        <w:t>。</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lastRenderedPageBreak/>
        <w:t>公务用车购置费及运行维护费支出预算为28.80万元，支出决算为17.31万元，完成预算的60.10</w:t>
      </w:r>
      <w:r>
        <w:rPr>
          <w:rFonts w:ascii="宋体" w:eastAsia="宋体" w:hAnsi="宋体" w:cs="宋体"/>
          <w:sz w:val="32"/>
          <w:szCs w:val="32"/>
        </w:rPr>
        <w:t>%</w:t>
      </w:r>
      <w:r>
        <w:rPr>
          <w:rFonts w:ascii="宋体" w:eastAsia="宋体" w:hAnsi="宋体" w:cs="宋体" w:hint="eastAsia"/>
          <w:sz w:val="32"/>
          <w:szCs w:val="32"/>
        </w:rPr>
        <w:t>，决算数小于预算数的主要原因是厉行节约，与上年相比增加15.31万元，增长</w:t>
      </w:r>
      <w:r>
        <w:rPr>
          <w:rFonts w:ascii="宋体" w:eastAsia="宋体" w:hAnsi="宋体" w:cs="宋体"/>
          <w:sz w:val="32"/>
          <w:szCs w:val="32"/>
        </w:rPr>
        <w:t>%,</w:t>
      </w:r>
      <w:r w:rsidR="00263CEF">
        <w:rPr>
          <w:rFonts w:ascii="宋体" w:eastAsia="宋体" w:hAnsi="宋体" w:cs="宋体" w:hint="eastAsia"/>
          <w:sz w:val="32"/>
          <w:szCs w:val="32"/>
        </w:rPr>
        <w:t>增长的主要原因是上年部</w:t>
      </w:r>
      <w:r w:rsidR="00263CEF" w:rsidRPr="00263CEF">
        <w:rPr>
          <w:rFonts w:ascii="宋体" w:eastAsia="宋体" w:hAnsi="宋体" w:cs="宋体" w:hint="eastAsia"/>
          <w:sz w:val="32"/>
          <w:szCs w:val="32"/>
        </w:rPr>
        <w:t>分</w:t>
      </w:r>
      <w:r>
        <w:rPr>
          <w:rFonts w:ascii="宋体" w:eastAsia="宋体" w:hAnsi="宋体" w:cs="宋体" w:hint="eastAsia"/>
          <w:sz w:val="32"/>
          <w:szCs w:val="32"/>
        </w:rPr>
        <w:t>支出</w:t>
      </w:r>
      <w:r w:rsidR="00263CEF" w:rsidRPr="00263CEF">
        <w:rPr>
          <w:rFonts w:ascii="宋体" w:eastAsia="宋体" w:hAnsi="宋体" w:cs="宋体" w:hint="eastAsia"/>
          <w:sz w:val="32"/>
          <w:szCs w:val="32"/>
        </w:rPr>
        <w:t>账</w:t>
      </w:r>
      <w:r>
        <w:rPr>
          <w:rFonts w:ascii="宋体" w:eastAsia="宋体" w:hAnsi="宋体" w:cs="宋体" w:hint="eastAsia"/>
          <w:sz w:val="32"/>
          <w:szCs w:val="32"/>
        </w:rPr>
        <w:t>务上计入专用燃料费科目。</w:t>
      </w:r>
    </w:p>
    <w:p w:rsidR="00BF1D7C" w:rsidRDefault="00A54150">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年度“三公”经费财政拨款支出决算中，公务接待费支出决算3.6万元，占17.22</w:t>
      </w:r>
      <w:r>
        <w:rPr>
          <w:rFonts w:ascii="宋体" w:eastAsia="宋体" w:hAnsi="宋体" w:cs="宋体"/>
          <w:sz w:val="32"/>
          <w:szCs w:val="32"/>
        </w:rPr>
        <w:t>%,</w:t>
      </w:r>
      <w:r>
        <w:rPr>
          <w:rFonts w:ascii="宋体" w:eastAsia="宋体" w:hAnsi="宋体" w:cs="宋体" w:hint="eastAsia"/>
          <w:sz w:val="32"/>
          <w:szCs w:val="32"/>
        </w:rPr>
        <w:t>因公出国（境）费支出决算0万元，占0</w:t>
      </w:r>
      <w:r>
        <w:rPr>
          <w:rFonts w:ascii="宋体" w:eastAsia="宋体" w:hAnsi="宋体" w:cs="宋体"/>
          <w:sz w:val="32"/>
          <w:szCs w:val="32"/>
        </w:rPr>
        <w:t>%,</w:t>
      </w:r>
      <w:r>
        <w:rPr>
          <w:rFonts w:ascii="宋体" w:eastAsia="宋体" w:hAnsi="宋体" w:cs="宋体" w:hint="eastAsia"/>
          <w:sz w:val="32"/>
          <w:szCs w:val="32"/>
        </w:rPr>
        <w:t>公务用车购置费及运行维护费支出决算17.31万元，占82.79</w:t>
      </w:r>
      <w:r>
        <w:rPr>
          <w:rFonts w:ascii="宋体" w:eastAsia="宋体" w:hAnsi="宋体" w:cs="宋体"/>
          <w:sz w:val="32"/>
          <w:szCs w:val="32"/>
        </w:rPr>
        <w:t>%</w:t>
      </w:r>
      <w:r>
        <w:rPr>
          <w:rFonts w:ascii="宋体" w:eastAsia="宋体" w:hAnsi="宋体" w:cs="宋体" w:hint="eastAsia"/>
          <w:sz w:val="32"/>
          <w:szCs w:val="32"/>
        </w:rPr>
        <w:t>。其中：</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、因公出国（境）费支出决算为0万元，全年安排因公出国（境）团组0个，累计0人次。</w:t>
      </w:r>
    </w:p>
    <w:p w:rsidR="00BF1D7C" w:rsidRDefault="00A54150">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、公务接待费支出决算为3.6万元，全年共接待来访团组82个、来宾1021人次，主要是</w:t>
      </w:r>
      <w:r>
        <w:rPr>
          <w:rFonts w:asciiTheme="minorEastAsia" w:eastAsiaTheme="minorEastAsia" w:hAnsiTheme="minorEastAsia" w:hint="eastAsia"/>
          <w:sz w:val="32"/>
          <w:szCs w:val="32"/>
        </w:rPr>
        <w:t>业务</w:t>
      </w:r>
      <w:r>
        <w:rPr>
          <w:rFonts w:asciiTheme="minorEastAsia" w:eastAsiaTheme="minorEastAsia" w:hAnsiTheme="minorEastAsia"/>
          <w:sz w:val="32"/>
          <w:szCs w:val="32"/>
        </w:rPr>
        <w:t>联系发生的</w:t>
      </w:r>
      <w:r>
        <w:rPr>
          <w:rFonts w:asciiTheme="minorEastAsia" w:eastAsiaTheme="minorEastAsia" w:hAnsiTheme="minorEastAsia" w:hint="eastAsia"/>
          <w:sz w:val="32"/>
          <w:szCs w:val="32"/>
        </w:rPr>
        <w:t>一般</w:t>
      </w:r>
      <w:r>
        <w:rPr>
          <w:rFonts w:asciiTheme="minorEastAsia" w:eastAsiaTheme="minorEastAsia" w:hAnsiTheme="minorEastAsia"/>
          <w:sz w:val="32"/>
          <w:szCs w:val="32"/>
        </w:rPr>
        <w:t>公务接待</w:t>
      </w:r>
      <w:r>
        <w:rPr>
          <w:rFonts w:asciiTheme="minorEastAsia" w:eastAsiaTheme="minorEastAsia" w:hAnsiTheme="minorEastAsia" w:hint="eastAsia"/>
          <w:sz w:val="32"/>
          <w:szCs w:val="32"/>
        </w:rPr>
        <w:t>及</w:t>
      </w:r>
      <w:r>
        <w:rPr>
          <w:rFonts w:asciiTheme="minorEastAsia" w:eastAsiaTheme="minorEastAsia" w:hAnsiTheme="minorEastAsia"/>
          <w:sz w:val="32"/>
          <w:szCs w:val="32"/>
        </w:rPr>
        <w:t>上级单位调研</w:t>
      </w:r>
      <w:r>
        <w:rPr>
          <w:rFonts w:asciiTheme="minorEastAsia" w:eastAsiaTheme="minorEastAsia" w:hAnsiTheme="minorEastAsia" w:hint="eastAsia"/>
          <w:sz w:val="32"/>
          <w:szCs w:val="32"/>
        </w:rPr>
        <w:t>发生的接待支出</w:t>
      </w:r>
      <w:r>
        <w:rPr>
          <w:rFonts w:ascii="宋体" w:eastAsia="宋体" w:hAnsi="宋体" w:cs="宋体" w:hint="eastAsia"/>
          <w:sz w:val="32"/>
          <w:szCs w:val="32"/>
        </w:rPr>
        <w:t>。</w:t>
      </w:r>
    </w:p>
    <w:p w:rsidR="00BF1D7C" w:rsidRDefault="00A54150">
      <w:pPr>
        <w:ind w:firstLineChars="250" w:firstLine="80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、公务用车购置费及运行维护费支出决算为17.31万元，其中：公务用车购置费0万元</w:t>
      </w:r>
      <w:r>
        <w:rPr>
          <w:rFonts w:ascii="宋体" w:hAnsi="宋体" w:cs="宋体" w:hint="eastAsia"/>
          <w:color w:val="000000"/>
          <w:sz w:val="32"/>
          <w:szCs w:val="32"/>
        </w:rPr>
        <w:t>。</w:t>
      </w:r>
      <w:r>
        <w:rPr>
          <w:rFonts w:ascii="宋体" w:hAnsi="宋体" w:cs="宋体" w:hint="eastAsia"/>
          <w:sz w:val="32"/>
          <w:szCs w:val="32"/>
        </w:rPr>
        <w:t>公务用车运行维护费17.31万元，主要是</w:t>
      </w:r>
      <w:r>
        <w:rPr>
          <w:rFonts w:asciiTheme="minorEastAsia" w:hAnsiTheme="minorEastAsia" w:hint="eastAsia"/>
          <w:sz w:val="32"/>
          <w:szCs w:val="32"/>
        </w:rPr>
        <w:t>油费、配件及维修</w:t>
      </w:r>
      <w:r>
        <w:rPr>
          <w:rFonts w:ascii="宋体" w:hAnsi="宋体" w:cs="宋体" w:hint="eastAsia"/>
          <w:sz w:val="32"/>
          <w:szCs w:val="32"/>
        </w:rPr>
        <w:t>支出，截止</w:t>
      </w:r>
      <w:r>
        <w:rPr>
          <w:rFonts w:ascii="宋体" w:hAnsi="宋体" w:cs="宋体"/>
          <w:sz w:val="32"/>
          <w:szCs w:val="32"/>
        </w:rPr>
        <w:t>2021</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日，我单位开支财政拨款的公务用车保有量为4辆。</w:t>
      </w:r>
    </w:p>
    <w:p w:rsidR="00BF1D7C" w:rsidRDefault="00A54150">
      <w:pPr>
        <w:pStyle w:val="Default"/>
        <w:rPr>
          <w:rFonts w:hAnsi="黑体" w:cs="Times New Roman"/>
          <w:b/>
          <w:bCs/>
          <w:sz w:val="32"/>
          <w:szCs w:val="32"/>
        </w:rPr>
      </w:pPr>
      <w:r>
        <w:rPr>
          <w:rFonts w:hAnsi="黑体" w:hint="eastAsia"/>
          <w:b/>
          <w:bCs/>
          <w:sz w:val="32"/>
          <w:szCs w:val="32"/>
        </w:rPr>
        <w:t>八、政府性基金预算收入支出决算情况</w:t>
      </w:r>
    </w:p>
    <w:p w:rsidR="00BF1D7C" w:rsidRDefault="00A54150">
      <w:pPr>
        <w:pStyle w:val="Default"/>
        <w:rPr>
          <w:rFonts w:ascii="宋体" w:eastAsia="宋体" w:hAnsi="宋体" w:cs="Times New Roman"/>
          <w:i/>
          <w:iCs/>
          <w:color w:val="FF0000"/>
          <w:sz w:val="32"/>
          <w:szCs w:val="32"/>
        </w:rPr>
      </w:pPr>
      <w:r>
        <w:rPr>
          <w:rFonts w:ascii="宋体" w:eastAsia="宋体" w:hAnsi="宋体" w:cs="宋体"/>
          <w:sz w:val="32"/>
          <w:szCs w:val="32"/>
        </w:rPr>
        <w:t xml:space="preserve">     2021</w:t>
      </w:r>
      <w:r>
        <w:rPr>
          <w:rFonts w:ascii="宋体" w:eastAsia="宋体" w:hAnsi="宋体" w:cs="宋体" w:hint="eastAsia"/>
          <w:sz w:val="32"/>
          <w:szCs w:val="32"/>
        </w:rPr>
        <w:t>年度政府性基金预算财政拨款收入1794.41万元；年初结转和结余0万元；支出1794.41万元，其中基本支出0</w:t>
      </w:r>
      <w:r>
        <w:rPr>
          <w:rFonts w:ascii="宋体" w:eastAsia="宋体" w:hAnsi="宋体" w:cs="宋体" w:hint="eastAsia"/>
          <w:sz w:val="32"/>
          <w:szCs w:val="32"/>
        </w:rPr>
        <w:lastRenderedPageBreak/>
        <w:t>万元，项目支出1794.41万元；年末结转和结余0万元。</w:t>
      </w:r>
    </w:p>
    <w:p w:rsidR="00BF1D7C" w:rsidRDefault="00A54150">
      <w:pPr>
        <w:pStyle w:val="Default"/>
        <w:rPr>
          <w:rFonts w:hAnsi="黑体" w:cs="Times New Roman"/>
          <w:b/>
          <w:bCs/>
          <w:sz w:val="32"/>
          <w:szCs w:val="32"/>
        </w:rPr>
      </w:pPr>
      <w:r>
        <w:rPr>
          <w:rFonts w:hAnsi="黑体" w:hint="eastAsia"/>
          <w:b/>
          <w:bCs/>
          <w:sz w:val="32"/>
          <w:szCs w:val="32"/>
        </w:rPr>
        <w:t>九、关于机关运行经费支出说明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2021</w:t>
      </w:r>
      <w:r>
        <w:rPr>
          <w:rFonts w:ascii="宋体" w:eastAsia="宋体" w:hAnsi="宋体" w:cs="宋体" w:hint="eastAsia"/>
          <w:sz w:val="32"/>
          <w:szCs w:val="32"/>
        </w:rPr>
        <w:t>年度机关运行经费支出9010.68万元，比上年决算数增加8498.93</w:t>
      </w:r>
      <w:r>
        <w:rPr>
          <w:rFonts w:ascii="宋体" w:eastAsia="宋体" w:hAnsi="宋体" w:cs="宋体"/>
          <w:sz w:val="32"/>
          <w:szCs w:val="32"/>
        </w:rPr>
        <w:t xml:space="preserve"> </w:t>
      </w:r>
      <w:r>
        <w:rPr>
          <w:rFonts w:ascii="宋体" w:eastAsia="宋体" w:hAnsi="宋体" w:cs="宋体" w:hint="eastAsia"/>
          <w:sz w:val="32"/>
          <w:szCs w:val="32"/>
        </w:rPr>
        <w:t>万元，增长1660.76</w:t>
      </w:r>
      <w:r>
        <w:rPr>
          <w:rFonts w:ascii="宋体" w:eastAsia="宋体" w:hAnsi="宋体" w:cs="宋体"/>
          <w:sz w:val="32"/>
          <w:szCs w:val="32"/>
        </w:rPr>
        <w:t>%</w:t>
      </w:r>
      <w:r>
        <w:rPr>
          <w:rFonts w:ascii="宋体" w:eastAsia="宋体" w:hAnsi="宋体" w:cs="宋体" w:hint="eastAsia"/>
          <w:sz w:val="32"/>
          <w:szCs w:val="32"/>
        </w:rPr>
        <w:t>。主要原因是：增加支付保障性安居工程（棚户区改造）8500万元。</w:t>
      </w:r>
    </w:p>
    <w:p w:rsidR="00BF1D7C" w:rsidRDefault="00A54150">
      <w:pPr>
        <w:pStyle w:val="Default"/>
        <w:rPr>
          <w:rFonts w:hAnsi="黑体" w:cs="Times New Roman"/>
          <w:b/>
          <w:bCs/>
          <w:sz w:val="32"/>
          <w:szCs w:val="32"/>
        </w:rPr>
      </w:pPr>
      <w:r>
        <w:rPr>
          <w:rFonts w:hAnsi="黑体" w:hint="eastAsia"/>
          <w:b/>
          <w:bCs/>
          <w:sz w:val="32"/>
          <w:szCs w:val="32"/>
        </w:rPr>
        <w:t>十、一般性支出情况</w:t>
      </w:r>
    </w:p>
    <w:p w:rsidR="00BF1D7C" w:rsidRDefault="00A54150">
      <w:pPr>
        <w:pStyle w:val="Default"/>
        <w:ind w:firstLineChars="200" w:firstLine="640"/>
        <w:rPr>
          <w:rFonts w:asciiTheme="minorEastAsia" w:eastAsiaTheme="minorEastAsia" w:hAnsiTheme="minorEastAsia"/>
          <w:sz w:val="32"/>
          <w:szCs w:val="32"/>
        </w:rPr>
      </w:pPr>
      <w:r>
        <w:rPr>
          <w:rFonts w:ascii="宋体" w:eastAsia="宋体" w:hAnsi="宋体" w:cs="宋体"/>
          <w:sz w:val="32"/>
          <w:szCs w:val="32"/>
        </w:rPr>
        <w:t>2021</w:t>
      </w:r>
      <w:r>
        <w:rPr>
          <w:rFonts w:ascii="宋体" w:eastAsia="宋体" w:hAnsi="宋体" w:cs="宋体" w:hint="eastAsia"/>
          <w:sz w:val="32"/>
          <w:szCs w:val="32"/>
        </w:rPr>
        <w:t>年本部门开支会议费3.36万元，用于召开燃气培训及安全生产会议，人数350人，内容为燃气培训及安全生产会议；开支培训费13.01万元，用于开展专业人员业务培训，人数38人，培训费内容为</w:t>
      </w:r>
      <w:r>
        <w:rPr>
          <w:rFonts w:asciiTheme="minorEastAsia" w:eastAsiaTheme="minorEastAsia" w:hAnsiTheme="minorEastAsia" w:hint="eastAsia"/>
          <w:sz w:val="32"/>
          <w:szCs w:val="32"/>
        </w:rPr>
        <w:t>专业技术人员继续教育培训及质安总站岗位培训</w:t>
      </w:r>
      <w:r>
        <w:rPr>
          <w:rFonts w:ascii="宋体" w:eastAsia="宋体" w:hAnsi="宋体" w:cs="宋体" w:hint="eastAsia"/>
          <w:sz w:val="32"/>
          <w:szCs w:val="32"/>
        </w:rPr>
        <w:t>，开支1.75万元；</w:t>
      </w:r>
      <w:r>
        <w:rPr>
          <w:rFonts w:asciiTheme="minorEastAsia" w:eastAsiaTheme="minorEastAsia" w:hAnsiTheme="minorEastAsia" w:hint="eastAsia"/>
          <w:sz w:val="32"/>
          <w:szCs w:val="32"/>
        </w:rPr>
        <w:t>科干班、青干班培训，人数2人，开支0.51万元；全国建设工程消防审查验收管理工作培训，人数6人，开支3.58万元；人防“天盾”突击队及第二期指挥通信系统训练，开支0.73</w:t>
      </w:r>
      <w:r w:rsidR="00EC2034">
        <w:rPr>
          <w:rFonts w:asciiTheme="minorEastAsia" w:eastAsiaTheme="minorEastAsia" w:hAnsiTheme="minorEastAsia" w:hint="eastAsia"/>
          <w:sz w:val="32"/>
          <w:szCs w:val="32"/>
        </w:rPr>
        <w:t>万元；政协委员延安开展“不忘</w:t>
      </w:r>
      <w:r w:rsidR="00263CEF">
        <w:rPr>
          <w:rFonts w:asciiTheme="minorEastAsia" w:eastAsiaTheme="minorEastAsia" w:hAnsiTheme="minorEastAsia" w:hint="eastAsia"/>
          <w:sz w:val="32"/>
          <w:szCs w:val="32"/>
        </w:rPr>
        <w:t>初心、</w:t>
      </w:r>
      <w:r>
        <w:rPr>
          <w:rFonts w:asciiTheme="minorEastAsia" w:eastAsiaTheme="minorEastAsia" w:hAnsiTheme="minorEastAsia" w:hint="eastAsia"/>
          <w:sz w:val="32"/>
          <w:szCs w:val="32"/>
        </w:rPr>
        <w:t>牢记使命”主题教育培训，开支1.8万元；其他培训等开支4.64万元。</w:t>
      </w:r>
    </w:p>
    <w:p w:rsidR="00BF1D7C" w:rsidRDefault="00A54150">
      <w:pPr>
        <w:pStyle w:val="Default"/>
        <w:rPr>
          <w:rFonts w:hAnsi="黑体" w:cs="Times New Roman"/>
          <w:b/>
          <w:bCs/>
          <w:sz w:val="32"/>
          <w:szCs w:val="32"/>
        </w:rPr>
      </w:pPr>
      <w:r>
        <w:rPr>
          <w:rFonts w:hAnsi="黑体" w:hint="eastAsia"/>
          <w:b/>
          <w:bCs/>
          <w:sz w:val="32"/>
          <w:szCs w:val="32"/>
        </w:rPr>
        <w:t>十一、关于政府采购支出说明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2021</w:t>
      </w:r>
      <w:r>
        <w:rPr>
          <w:rFonts w:ascii="宋体" w:eastAsia="宋体" w:hAnsi="宋体" w:cs="宋体" w:hint="eastAsia"/>
          <w:sz w:val="32"/>
          <w:szCs w:val="32"/>
        </w:rPr>
        <w:t>年度政府采购支出总额3157.39万元，其中：政府采购货物支出127.78万元、政府采购工程支出2478.05万元、政府采购服务支出551.55万元。授予中小企业合同金额1335.77万元，占政府采购支出总额的42.31</w:t>
      </w:r>
      <w:r>
        <w:rPr>
          <w:rFonts w:ascii="宋体" w:eastAsia="宋体" w:hAnsi="宋体" w:cs="宋体"/>
          <w:sz w:val="32"/>
          <w:szCs w:val="32"/>
        </w:rPr>
        <w:t>%</w:t>
      </w:r>
      <w:r>
        <w:rPr>
          <w:rFonts w:ascii="宋体" w:eastAsia="宋体" w:hAnsi="宋体" w:cs="宋体" w:hint="eastAsia"/>
          <w:sz w:val="32"/>
          <w:szCs w:val="32"/>
        </w:rPr>
        <w:t>，其中：授予小微企业合同金额1335.77万元，占政府采购支出总额的</w:t>
      </w:r>
      <w:r>
        <w:rPr>
          <w:rFonts w:ascii="宋体" w:eastAsia="宋体" w:hAnsi="宋体" w:cs="宋体" w:hint="eastAsia"/>
          <w:sz w:val="32"/>
          <w:szCs w:val="32"/>
        </w:rPr>
        <w:lastRenderedPageBreak/>
        <w:t>42.31</w:t>
      </w:r>
      <w:r>
        <w:rPr>
          <w:rFonts w:ascii="宋体" w:eastAsia="宋体" w:hAnsi="宋体" w:cs="宋体"/>
          <w:sz w:val="32"/>
          <w:szCs w:val="32"/>
        </w:rPr>
        <w:t>%</w:t>
      </w:r>
      <w:r>
        <w:rPr>
          <w:rFonts w:ascii="宋体" w:eastAsia="宋体" w:hAnsi="宋体" w:cs="宋体" w:hint="eastAsia"/>
          <w:sz w:val="32"/>
          <w:szCs w:val="32"/>
        </w:rPr>
        <w:t>。</w:t>
      </w:r>
    </w:p>
    <w:p w:rsidR="00BF1D7C" w:rsidRDefault="00A54150">
      <w:pPr>
        <w:pStyle w:val="Default"/>
        <w:rPr>
          <w:rFonts w:hAnsi="黑体" w:cs="Times New Roman"/>
          <w:b/>
          <w:bCs/>
          <w:sz w:val="32"/>
          <w:szCs w:val="32"/>
        </w:rPr>
      </w:pPr>
      <w:r>
        <w:rPr>
          <w:rFonts w:hAnsi="黑体" w:hint="eastAsia"/>
          <w:b/>
          <w:bCs/>
          <w:sz w:val="32"/>
          <w:szCs w:val="32"/>
        </w:rPr>
        <w:t>十二、关于国有资产占用情况说明</w:t>
      </w:r>
    </w:p>
    <w:p w:rsidR="00BF1D7C" w:rsidRDefault="00A54150">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2021</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日，本单位共有车辆6辆，其中，主要领导干部用车0辆，机要通信用车0辆、应急保障用车0辆、执法执勤用车2辆、特种专业技术用车0辆、其他用车4辆，其他用车主要是其他公务用车车辆；单位价值</w:t>
      </w:r>
      <w:r>
        <w:rPr>
          <w:rFonts w:ascii="宋体" w:eastAsia="宋体" w:hAnsi="宋体" w:cs="宋体"/>
          <w:sz w:val="32"/>
          <w:szCs w:val="32"/>
        </w:rPr>
        <w:t>50</w:t>
      </w:r>
      <w:r>
        <w:rPr>
          <w:rFonts w:ascii="宋体" w:eastAsia="宋体" w:hAnsi="宋体" w:cs="宋体" w:hint="eastAsia"/>
          <w:sz w:val="32"/>
          <w:szCs w:val="32"/>
        </w:rPr>
        <w:t>万元以上通用设备0台（套）；单位价值</w:t>
      </w:r>
      <w:r>
        <w:rPr>
          <w:rFonts w:ascii="宋体" w:eastAsia="宋体" w:hAnsi="宋体" w:cs="宋体"/>
          <w:sz w:val="32"/>
          <w:szCs w:val="32"/>
        </w:rPr>
        <w:t>100</w:t>
      </w:r>
      <w:r>
        <w:rPr>
          <w:rFonts w:ascii="宋体" w:eastAsia="宋体" w:hAnsi="宋体" w:cs="宋体" w:hint="eastAsia"/>
          <w:sz w:val="32"/>
          <w:szCs w:val="32"/>
        </w:rPr>
        <w:t>万元以上专用设备0台（套）。</w:t>
      </w:r>
    </w:p>
    <w:p w:rsidR="00BF1D7C" w:rsidRDefault="00A54150">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2021</w:t>
      </w:r>
      <w:r>
        <w:rPr>
          <w:rFonts w:hAnsi="黑体" w:hint="eastAsia"/>
          <w:b/>
          <w:bCs/>
          <w:sz w:val="32"/>
          <w:szCs w:val="32"/>
        </w:rPr>
        <w:t>年度预算绩效情况的说明</w:t>
      </w:r>
    </w:p>
    <w:p w:rsidR="00BF1D7C" w:rsidRDefault="00A54150">
      <w:pPr>
        <w:tabs>
          <w:tab w:val="left" w:pos="6480"/>
        </w:tabs>
        <w:spacing w:line="600" w:lineRule="exact"/>
        <w:ind w:rightChars="-181" w:right="-380" w:firstLine="520"/>
        <w:jc w:val="left"/>
        <w:rPr>
          <w:rFonts w:ascii="宋体" w:hAnsi="宋体" w:cs="宋体"/>
          <w:color w:val="000000"/>
          <w:kern w:val="0"/>
          <w:sz w:val="32"/>
          <w:szCs w:val="32"/>
        </w:rPr>
      </w:pPr>
      <w:r>
        <w:rPr>
          <w:rFonts w:ascii="宋体" w:hAnsi="宋体" w:cs="宋体" w:hint="eastAsia"/>
          <w:color w:val="000000"/>
          <w:kern w:val="0"/>
          <w:sz w:val="32"/>
          <w:szCs w:val="32"/>
        </w:rPr>
        <w:t>根据预算绩效管理的要求，我局对2021年度整体支出开展了绩效自评，2021年部门整体支出18193.87万元，支出按支出性质分类为：基本支出10939.66万元（其中：人员经费1928.98万元，日常公用经费9010.68万元），占支出总额的60.13%项目支出7254.20万元，占支出总额的39.87%。2021年“三公”经费20.91万元，其中公务接待费3.6元，车辆运维费17.31万元。涉及资金3377.56万元，其中项目支出 占支出总额的20.94%；从评价情况来看，有关项目立项程序 完整、规范，对照绩效评价指标体系，项目目标明确，管理到位，资金使用规范，能按照项目规定的时间高效、有序地完成各项目标任务。</w:t>
      </w:r>
      <w:r>
        <w:rPr>
          <w:rFonts w:ascii="宋体" w:hAnsi="宋体" w:cs="宋体" w:hint="eastAsia"/>
          <w:sz w:val="32"/>
          <w:szCs w:val="32"/>
        </w:rPr>
        <w:t>按要求做好了绩效自评报告，部门整体支出绩效评价及专项资金绩效评价均在局网站进行公开，接受社会监督。</w:t>
      </w:r>
      <w:r>
        <w:rPr>
          <w:rFonts w:ascii="宋体" w:hAnsi="宋体" w:cs="宋体" w:hint="eastAsia"/>
          <w:color w:val="000000"/>
          <w:kern w:val="0"/>
          <w:sz w:val="32"/>
          <w:szCs w:val="32"/>
        </w:rPr>
        <w:t xml:space="preserve"> </w:t>
      </w:r>
    </w:p>
    <w:p w:rsidR="00BF1D7C" w:rsidRDefault="00A54150">
      <w:pPr>
        <w:tabs>
          <w:tab w:val="left" w:pos="6480"/>
        </w:tabs>
        <w:spacing w:line="600" w:lineRule="exact"/>
        <w:ind w:rightChars="-181" w:right="-380" w:firstLine="520"/>
        <w:jc w:val="left"/>
        <w:rPr>
          <w:rFonts w:ascii="宋体" w:hAnsi="宋体" w:cs="宋体"/>
          <w:color w:val="000000"/>
          <w:kern w:val="0"/>
          <w:sz w:val="32"/>
          <w:szCs w:val="32"/>
        </w:rPr>
      </w:pPr>
      <w:r>
        <w:rPr>
          <w:rFonts w:ascii="宋体" w:hAnsi="宋体" w:cs="宋体" w:hint="eastAsia"/>
          <w:color w:val="000000"/>
          <w:kern w:val="0"/>
          <w:sz w:val="32"/>
          <w:szCs w:val="32"/>
        </w:rPr>
        <w:t>本单位无重点绩效评价。</w:t>
      </w:r>
    </w:p>
    <w:p w:rsidR="00BF1D7C" w:rsidRDefault="00BF1D7C">
      <w:pPr>
        <w:pStyle w:val="Default"/>
        <w:jc w:val="both"/>
        <w:rPr>
          <w:rFonts w:cs="Times New Roman"/>
          <w:sz w:val="72"/>
          <w:szCs w:val="72"/>
        </w:rPr>
      </w:pPr>
    </w:p>
    <w:p w:rsidR="00BF1D7C" w:rsidRDefault="00BF1D7C">
      <w:pPr>
        <w:pStyle w:val="Default"/>
        <w:jc w:val="center"/>
        <w:rPr>
          <w:rFonts w:cs="Times New Roman"/>
          <w:sz w:val="72"/>
          <w:szCs w:val="72"/>
        </w:rPr>
        <w:sectPr w:rsidR="00BF1D7C">
          <w:pgSz w:w="11906" w:h="16838"/>
          <w:pgMar w:top="1440" w:right="1797" w:bottom="1440" w:left="1797" w:header="851" w:footer="992" w:gutter="0"/>
          <w:cols w:space="0"/>
          <w:docGrid w:type="linesAndChars" w:linePitch="312"/>
        </w:sect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A54150">
      <w:pPr>
        <w:pStyle w:val="Default"/>
        <w:jc w:val="center"/>
        <w:rPr>
          <w:rFonts w:ascii="宋体" w:eastAsia="宋体" w:hAnsi="宋体" w:cs="Times New Roman"/>
          <w:sz w:val="72"/>
          <w:szCs w:val="72"/>
        </w:rPr>
      </w:pPr>
      <w:r>
        <w:rPr>
          <w:rFonts w:ascii="宋体" w:eastAsia="宋体" w:hAnsi="宋体" w:cs="宋体" w:hint="eastAsia"/>
          <w:sz w:val="72"/>
          <w:szCs w:val="72"/>
        </w:rPr>
        <w:t>第四部分</w:t>
      </w:r>
    </w:p>
    <w:p w:rsidR="00BF1D7C" w:rsidRDefault="00BF1D7C">
      <w:pPr>
        <w:jc w:val="center"/>
        <w:rPr>
          <w:rFonts w:ascii="宋体" w:cs="Times New Roman"/>
          <w:color w:val="000000"/>
          <w:kern w:val="0"/>
          <w:sz w:val="72"/>
          <w:szCs w:val="72"/>
        </w:rPr>
      </w:pPr>
    </w:p>
    <w:p w:rsidR="00BF1D7C" w:rsidRDefault="00A54150">
      <w:pPr>
        <w:jc w:val="center"/>
        <w:rPr>
          <w:rFonts w:ascii="宋体" w:cs="Times New Roman"/>
          <w:color w:val="000000"/>
          <w:kern w:val="0"/>
          <w:sz w:val="72"/>
          <w:szCs w:val="72"/>
        </w:rPr>
      </w:pPr>
      <w:r>
        <w:rPr>
          <w:rFonts w:ascii="宋体" w:hAnsi="宋体" w:cs="宋体" w:hint="eastAsia"/>
          <w:color w:val="000000"/>
          <w:kern w:val="0"/>
          <w:sz w:val="72"/>
          <w:szCs w:val="72"/>
        </w:rPr>
        <w:t>名词解释</w:t>
      </w:r>
    </w:p>
    <w:p w:rsidR="00BF1D7C" w:rsidRDefault="00A54150">
      <w:pPr>
        <w:pStyle w:val="Default"/>
        <w:rPr>
          <w:rFonts w:ascii="宋体" w:eastAsia="宋体" w:hAnsi="宋体" w:cs="宋体"/>
          <w:sz w:val="32"/>
          <w:szCs w:val="32"/>
        </w:rPr>
      </w:pPr>
      <w:r>
        <w:rPr>
          <w:rFonts w:ascii="宋体" w:eastAsia="宋体" w:hAnsi="宋体" w:cs="宋体" w:hint="eastAsia"/>
          <w:sz w:val="32"/>
          <w:szCs w:val="32"/>
        </w:rPr>
        <w:t xml:space="preserve">    一、机关运行经费：是指各部门的公用经费，包括办公费、印刷费、邮电费、差旅费、会议费、福利费、水电费、日常维修费、一般设备购置费、办公用房物理管理费、公务用车运行维护费及其他费用。</w:t>
      </w:r>
    </w:p>
    <w:p w:rsidR="00BF1D7C" w:rsidRDefault="00A54150">
      <w:pPr>
        <w:pStyle w:val="Default"/>
        <w:ind w:firstLineChars="200" w:firstLine="640"/>
        <w:rPr>
          <w:rFonts w:ascii="宋体" w:eastAsia="宋体" w:hAnsi="宋体" w:cs="宋体"/>
          <w:sz w:val="32"/>
          <w:szCs w:val="32"/>
        </w:rPr>
      </w:pPr>
      <w:r>
        <w:rPr>
          <w:rFonts w:ascii="宋体" w:eastAsia="宋体" w:hAnsi="宋体" w:cs="宋体" w:hint="eastAsia"/>
          <w:sz w:val="32"/>
          <w:szCs w:val="32"/>
        </w:rPr>
        <w:t>二、“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w:t>
      </w:r>
      <w:r>
        <w:rPr>
          <w:rFonts w:ascii="宋体" w:eastAsia="宋体" w:hAnsi="宋体" w:cs="宋体" w:hint="eastAsia"/>
          <w:sz w:val="32"/>
          <w:szCs w:val="32"/>
        </w:rPr>
        <w:lastRenderedPageBreak/>
        <w:t>（境）费反映单位公务出国（境）的国际旅费、国外城市间交通费、食宿费等支出。</w:t>
      </w:r>
    </w:p>
    <w:p w:rsidR="00BF1D7C" w:rsidRDefault="00A54150">
      <w:pPr>
        <w:pStyle w:val="Default"/>
        <w:ind w:firstLineChars="200" w:firstLine="640"/>
        <w:rPr>
          <w:rFonts w:ascii="宋体" w:eastAsia="宋体" w:hAnsi="宋体" w:cs="宋体"/>
          <w:sz w:val="32"/>
          <w:szCs w:val="32"/>
        </w:rPr>
      </w:pPr>
      <w:r>
        <w:rPr>
          <w:rFonts w:ascii="宋体" w:eastAsia="宋体" w:hAnsi="宋体" w:cs="宋体" w:hint="eastAsia"/>
          <w:sz w:val="32"/>
          <w:szCs w:val="32"/>
        </w:rPr>
        <w:t xml:space="preserve">三、基本支出：是指为保障机构正常运转、完成日常工作任务而发生的人员支出和公用支出。 </w:t>
      </w:r>
    </w:p>
    <w:p w:rsidR="00BF1D7C" w:rsidRDefault="00A54150">
      <w:pPr>
        <w:pStyle w:val="Default"/>
        <w:ind w:firstLineChars="200" w:firstLine="640"/>
        <w:rPr>
          <w:rFonts w:cs="Times New Roman"/>
          <w:sz w:val="72"/>
          <w:szCs w:val="72"/>
        </w:rPr>
      </w:pPr>
      <w:bookmarkStart w:id="3" w:name="_GoBack"/>
      <w:bookmarkEnd w:id="3"/>
      <w:r>
        <w:rPr>
          <w:rFonts w:ascii="宋体" w:eastAsia="宋体" w:hAnsi="宋体" w:cs="宋体" w:hint="eastAsia"/>
          <w:sz w:val="32"/>
          <w:szCs w:val="32"/>
        </w:rPr>
        <w:t>四、项目支出：是指在基本支出之外为完成特定行政任务和事业发展目标所发生的支出。</w:t>
      </w:r>
    </w:p>
    <w:p w:rsidR="00BF1D7C" w:rsidRDefault="00BF1D7C">
      <w:pPr>
        <w:pStyle w:val="Default"/>
        <w:jc w:val="center"/>
        <w:rPr>
          <w:rFonts w:cs="Times New Roman"/>
          <w:sz w:val="72"/>
          <w:szCs w:val="72"/>
        </w:rPr>
      </w:pPr>
    </w:p>
    <w:p w:rsidR="00BF1D7C" w:rsidRDefault="00BF1D7C">
      <w:pPr>
        <w:pStyle w:val="Default"/>
        <w:jc w:val="center"/>
        <w:rPr>
          <w:rFonts w:cs="Times New Roman"/>
          <w:sz w:val="72"/>
          <w:szCs w:val="72"/>
        </w:rPr>
      </w:pPr>
    </w:p>
    <w:p w:rsidR="00BF1D7C" w:rsidRDefault="00A54150">
      <w:pPr>
        <w:pStyle w:val="Default"/>
        <w:ind w:firstLineChars="550" w:firstLine="3960"/>
        <w:rPr>
          <w:rFonts w:ascii="宋体" w:eastAsia="宋体" w:hAnsi="宋体" w:cs="Times New Roman"/>
          <w:sz w:val="72"/>
          <w:szCs w:val="72"/>
        </w:rPr>
      </w:pPr>
      <w:r>
        <w:rPr>
          <w:rFonts w:ascii="宋体" w:eastAsia="宋体" w:hAnsi="宋体" w:cs="宋体" w:hint="eastAsia"/>
          <w:sz w:val="72"/>
          <w:szCs w:val="72"/>
        </w:rPr>
        <w:t>第五部分</w:t>
      </w:r>
    </w:p>
    <w:p w:rsidR="00BF1D7C" w:rsidRDefault="00BF1D7C">
      <w:pPr>
        <w:jc w:val="center"/>
        <w:rPr>
          <w:rFonts w:ascii="宋体" w:cs="Times New Roman"/>
          <w:color w:val="000000"/>
          <w:kern w:val="0"/>
          <w:sz w:val="72"/>
          <w:szCs w:val="72"/>
        </w:rPr>
      </w:pPr>
    </w:p>
    <w:p w:rsidR="00BF1D7C" w:rsidRDefault="00A54150">
      <w:pPr>
        <w:jc w:val="center"/>
        <w:rPr>
          <w:rFonts w:ascii="宋体" w:cs="Times New Roman"/>
          <w:color w:val="000000"/>
          <w:kern w:val="0"/>
          <w:sz w:val="72"/>
          <w:szCs w:val="72"/>
        </w:rPr>
      </w:pPr>
      <w:r>
        <w:rPr>
          <w:rFonts w:ascii="宋体" w:hAnsi="宋体" w:cs="宋体" w:hint="eastAsia"/>
          <w:color w:val="000000"/>
          <w:kern w:val="0"/>
          <w:sz w:val="72"/>
          <w:szCs w:val="72"/>
        </w:rPr>
        <w:t>附件</w:t>
      </w:r>
    </w:p>
    <w:p w:rsidR="00BF1D7C" w:rsidRDefault="00BF1D7C">
      <w:pPr>
        <w:jc w:val="center"/>
        <w:rPr>
          <w:rFonts w:ascii="宋体" w:cs="Times New Roman"/>
          <w:color w:val="000000"/>
          <w:kern w:val="0"/>
          <w:sz w:val="72"/>
          <w:szCs w:val="72"/>
        </w:rPr>
      </w:pPr>
    </w:p>
    <w:p w:rsidR="00BF1D7C" w:rsidRDefault="00A54150">
      <w:pPr>
        <w:tabs>
          <w:tab w:val="left" w:pos="6480"/>
        </w:tabs>
        <w:spacing w:line="600" w:lineRule="exact"/>
        <w:ind w:rightChars="-181" w:right="-380" w:firstLine="520"/>
        <w:jc w:val="center"/>
        <w:rPr>
          <w:rFonts w:ascii="宋体" w:hAnsi="宋体" w:cs="宋体"/>
          <w:color w:val="000000"/>
          <w:kern w:val="0"/>
          <w:sz w:val="32"/>
          <w:szCs w:val="32"/>
        </w:rPr>
      </w:pPr>
      <w:r>
        <w:rPr>
          <w:rFonts w:ascii="宋体" w:hAnsi="宋体" w:cs="宋体" w:hint="eastAsia"/>
          <w:color w:val="000000"/>
          <w:kern w:val="0"/>
          <w:sz w:val="32"/>
          <w:szCs w:val="32"/>
        </w:rPr>
        <w:t>部门整体支出绩效评价报告</w:t>
      </w:r>
    </w:p>
    <w:p w:rsidR="00BF1D7C" w:rsidRDefault="00A54150">
      <w:pPr>
        <w:tabs>
          <w:tab w:val="left" w:pos="6480"/>
        </w:tabs>
        <w:spacing w:line="600" w:lineRule="exact"/>
        <w:jc w:val="center"/>
        <w:rPr>
          <w:rFonts w:ascii="宋体" w:hAnsi="宋体" w:cs="宋体"/>
          <w:color w:val="000000"/>
          <w:kern w:val="0"/>
          <w:sz w:val="32"/>
          <w:szCs w:val="32"/>
        </w:rPr>
      </w:pPr>
      <w:r>
        <w:rPr>
          <w:rFonts w:ascii="宋体" w:hAnsi="宋体" w:cs="宋体" w:hint="eastAsia"/>
          <w:color w:val="000000"/>
          <w:kern w:val="0"/>
          <w:sz w:val="32"/>
          <w:szCs w:val="32"/>
        </w:rPr>
        <w:t>（湘潭县住房和城乡建设局）</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697"/>
        <w:gridCol w:w="5958"/>
      </w:tblGrid>
      <w:tr w:rsidR="00BF1D7C">
        <w:trPr>
          <w:trHeight w:val="675"/>
          <w:jc w:val="center"/>
        </w:trPr>
        <w:tc>
          <w:tcPr>
            <w:tcW w:w="1384" w:type="dxa"/>
            <w:vMerge w:val="restart"/>
            <w:vAlign w:val="center"/>
          </w:tcPr>
          <w:p w:rsidR="00BF1D7C" w:rsidRDefault="00A54150">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BF1D7C" w:rsidRDefault="00A54150">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BF1D7C" w:rsidRDefault="00A54150" w:rsidP="00EC2034">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湘潭县住房和城乡建设局</w:t>
            </w:r>
          </w:p>
        </w:tc>
      </w:tr>
      <w:tr w:rsidR="00BF1D7C">
        <w:trPr>
          <w:trHeight w:val="675"/>
          <w:jc w:val="center"/>
        </w:trPr>
        <w:tc>
          <w:tcPr>
            <w:tcW w:w="1384" w:type="dxa"/>
            <w:vMerge/>
          </w:tcPr>
          <w:p w:rsidR="00BF1D7C" w:rsidRDefault="00BF1D7C">
            <w:pPr>
              <w:spacing w:line="576" w:lineRule="exact"/>
              <w:jc w:val="center"/>
              <w:rPr>
                <w:rFonts w:ascii="仿宋_GB2312" w:eastAsia="仿宋_GB2312" w:hAnsi="宋体" w:cs="宋体"/>
                <w:sz w:val="24"/>
              </w:rPr>
            </w:pPr>
          </w:p>
        </w:tc>
        <w:tc>
          <w:tcPr>
            <w:tcW w:w="1697" w:type="dxa"/>
            <w:vAlign w:val="center"/>
          </w:tcPr>
          <w:p w:rsidR="00BF1D7C" w:rsidRDefault="00A54150">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BF1D7C" w:rsidRDefault="00A54150" w:rsidP="00EC2034">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9060.01万元</w:t>
            </w:r>
          </w:p>
        </w:tc>
      </w:tr>
      <w:tr w:rsidR="00BF1D7C">
        <w:trPr>
          <w:trHeight w:val="675"/>
          <w:jc w:val="center"/>
        </w:trPr>
        <w:tc>
          <w:tcPr>
            <w:tcW w:w="1384" w:type="dxa"/>
            <w:vMerge/>
          </w:tcPr>
          <w:p w:rsidR="00BF1D7C" w:rsidRDefault="00BF1D7C">
            <w:pPr>
              <w:spacing w:line="576" w:lineRule="exact"/>
              <w:jc w:val="center"/>
              <w:rPr>
                <w:rFonts w:ascii="仿宋_GB2312" w:eastAsia="仿宋_GB2312" w:hAnsi="宋体" w:cs="宋体"/>
                <w:sz w:val="24"/>
              </w:rPr>
            </w:pPr>
          </w:p>
        </w:tc>
        <w:tc>
          <w:tcPr>
            <w:tcW w:w="1697" w:type="dxa"/>
            <w:vAlign w:val="center"/>
          </w:tcPr>
          <w:p w:rsidR="00BF1D7C" w:rsidRDefault="00A54150">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BF1D7C" w:rsidRDefault="00A54150" w:rsidP="00EC2034">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BF1D7C">
        <w:trPr>
          <w:trHeight w:val="675"/>
          <w:jc w:val="center"/>
        </w:trPr>
        <w:tc>
          <w:tcPr>
            <w:tcW w:w="1384" w:type="dxa"/>
            <w:vMerge/>
          </w:tcPr>
          <w:p w:rsidR="00BF1D7C" w:rsidRDefault="00BF1D7C">
            <w:pPr>
              <w:spacing w:line="576" w:lineRule="exact"/>
              <w:jc w:val="center"/>
              <w:rPr>
                <w:rFonts w:ascii="仿宋_GB2312" w:eastAsia="仿宋_GB2312" w:hAnsi="宋体" w:cs="宋体"/>
                <w:sz w:val="24"/>
              </w:rPr>
            </w:pPr>
          </w:p>
        </w:tc>
        <w:tc>
          <w:tcPr>
            <w:tcW w:w="1697" w:type="dxa"/>
            <w:vAlign w:val="center"/>
          </w:tcPr>
          <w:p w:rsidR="00BF1D7C" w:rsidRDefault="00A54150">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BF1D7C" w:rsidRDefault="00A54150">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（一）职能职责（此项内容涉密，不作公开）</w:t>
            </w:r>
          </w:p>
          <w:p w:rsidR="00BF1D7C" w:rsidRDefault="00A54150">
            <w:pPr>
              <w:pStyle w:val="a6"/>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（二）机构设置（此项内容涉密，不作公开）</w:t>
            </w:r>
          </w:p>
        </w:tc>
      </w:tr>
      <w:tr w:rsidR="00BF1D7C">
        <w:trPr>
          <w:trHeight w:val="699"/>
          <w:jc w:val="center"/>
        </w:trPr>
        <w:tc>
          <w:tcPr>
            <w:tcW w:w="1384" w:type="dxa"/>
            <w:vMerge w:val="restart"/>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绩效完成情况</w:t>
            </w:r>
          </w:p>
        </w:tc>
        <w:tc>
          <w:tcPr>
            <w:tcW w:w="1697" w:type="dxa"/>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部门整体支出管理和使用基</w:t>
            </w:r>
            <w:r>
              <w:rPr>
                <w:rFonts w:ascii="仿宋_GB2312" w:eastAsia="仿宋_GB2312" w:hAnsi="宋体" w:cs="宋体" w:hint="eastAsia"/>
                <w:sz w:val="24"/>
              </w:rPr>
              <w:lastRenderedPageBreak/>
              <w:t>本情况</w:t>
            </w:r>
          </w:p>
        </w:tc>
        <w:tc>
          <w:tcPr>
            <w:tcW w:w="5958" w:type="dxa"/>
            <w:vAlign w:val="center"/>
          </w:tcPr>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始终认真贯彻执行《</w:t>
            </w:r>
            <w:r w:rsidR="00263CEF">
              <w:rPr>
                <w:rFonts w:ascii="仿宋_GB2312" w:eastAsia="仿宋_GB2312" w:hAnsi="仿宋_GB2312" w:cs="仿宋_GB2312" w:hint="eastAsia"/>
                <w:sz w:val="24"/>
              </w:rPr>
              <w:t>中华人民共和国</w:t>
            </w:r>
            <w:r>
              <w:rPr>
                <w:rFonts w:ascii="仿宋_GB2312" w:eastAsia="仿宋_GB2312" w:hAnsi="仿宋_GB2312" w:cs="仿宋_GB2312" w:hint="eastAsia"/>
                <w:sz w:val="24"/>
              </w:rPr>
              <w:t>会计法》、《</w:t>
            </w:r>
            <w:r w:rsidR="00263CEF">
              <w:rPr>
                <w:rFonts w:ascii="仿宋_GB2312" w:eastAsia="仿宋_GB2312" w:hAnsi="仿宋_GB2312" w:cs="仿宋_GB2312" w:hint="eastAsia"/>
                <w:sz w:val="24"/>
              </w:rPr>
              <w:t>中华人民共和国</w:t>
            </w:r>
            <w:r>
              <w:rPr>
                <w:rFonts w:ascii="仿宋_GB2312" w:eastAsia="仿宋_GB2312" w:hAnsi="仿宋_GB2312" w:cs="仿宋_GB2312" w:hint="eastAsia"/>
                <w:sz w:val="24"/>
              </w:rPr>
              <w:t>预算法》、《行政单位会计制度》等法律</w:t>
            </w:r>
            <w:r>
              <w:rPr>
                <w:rFonts w:ascii="仿宋_GB2312" w:eastAsia="仿宋_GB2312" w:hAnsi="仿宋_GB2312" w:cs="仿宋_GB2312" w:hint="eastAsia"/>
                <w:sz w:val="24"/>
              </w:rPr>
              <w:lastRenderedPageBreak/>
              <w:t>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产管理制度，相关资产管理制度合法、合规、完整。</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制了行政运行成本。2021年部门整体支出18193.87万元，支出按支出性质分类为：基本支出10939.66万元（其中：人员经费1928.98万元，日常公用经费9010.68万元），项目支出7254.20万元。2021年“三公”经费20.91万元，其中公务接待费3.6元，车辆运维费17.31万元。</w:t>
            </w:r>
          </w:p>
        </w:tc>
      </w:tr>
      <w:tr w:rsidR="00BF1D7C">
        <w:trPr>
          <w:trHeight w:val="1230"/>
          <w:jc w:val="center"/>
        </w:trPr>
        <w:tc>
          <w:tcPr>
            <w:tcW w:w="1384" w:type="dxa"/>
            <w:vMerge/>
          </w:tcPr>
          <w:p w:rsidR="00BF1D7C" w:rsidRDefault="00BF1D7C">
            <w:pPr>
              <w:spacing w:line="360" w:lineRule="auto"/>
              <w:jc w:val="center"/>
              <w:rPr>
                <w:rFonts w:ascii="仿宋_GB2312" w:eastAsia="仿宋_GB2312" w:hAnsi="宋体" w:cs="宋体"/>
                <w:sz w:val="24"/>
              </w:rPr>
            </w:pPr>
          </w:p>
        </w:tc>
        <w:tc>
          <w:tcPr>
            <w:tcW w:w="1697" w:type="dxa"/>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2021年，我局始终坚持以习近平新时代中国特色社会主义思想为引领,紧紧围绕“三提一领”总目标，在县委、县政府坚强领导下，全体干部职工</w:t>
            </w:r>
            <w:r w:rsidR="00263CEF" w:rsidRPr="00263CEF">
              <w:rPr>
                <w:rFonts w:ascii="仿宋_GB2312" w:eastAsia="仿宋_GB2312" w:hAnsi="仿宋_GB2312" w:cs="仿宋_GB2312" w:hint="eastAsia"/>
                <w:sz w:val="24"/>
              </w:rPr>
              <w:t>勠力</w:t>
            </w:r>
            <w:r>
              <w:rPr>
                <w:rFonts w:ascii="仿宋_GB2312" w:eastAsia="仿宋_GB2312" w:hAnsi="仿宋_GB2312" w:cs="仿宋_GB2312" w:hint="eastAsia"/>
                <w:sz w:val="24"/>
              </w:rPr>
              <w:t>同心、迎难而上，在党建领航、项目建设、脱贫攻坚、乡村振兴、创文工作等多方面做出了积极贡献，获得“庆祝建党100</w:t>
            </w:r>
            <w:r>
              <w:rPr>
                <w:rFonts w:ascii="仿宋_GB2312" w:eastAsia="仿宋_GB2312" w:hAnsi="仿宋_GB2312" w:cs="仿宋_GB2312" w:hint="eastAsia"/>
                <w:sz w:val="24"/>
              </w:rPr>
              <w:lastRenderedPageBreak/>
              <w:t>周年合唱比赛”湘潭市级金奖、县级特等奖，“安全生产和消防工作优秀单位”“党史知识竞赛二等奖”、市级文明标兵单位等多项殊荣。主要举措是：</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坚持稳增长、调结构，综合实力不断提升。一是建筑行业稳定发展。全年建筑业产值80亿元，同比增长10%，劳务输出约5000人。有湖南世纪永盛建设工程有限公司、湘易嘉业建筑有限公司成功升级为建筑工程施工总承包一级资质。二是房地产业平稳发展。截止到11月底，共发放预售许可证12个，预售许可面积40.31万平方米，实现新建商品房预（销）售合同备案登记3752套，销售面积48.28万㎡，销售金额23.65亿元。对我县范围内经批准预售的商品房预售款的收取、支付、使用实施了全程监管，共19个项目，审批332宗商品房预售款，拨付资金12.74亿元。三是高效完成维修资金归集。共归集维修资金8945户，共1.14亿元，维修资金缴存余额6.55亿元。</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坚持扩开发、攻项目，城乡建设不断深化。一是污水处理厂及管网建设全面铺开。全面完成乌石、谭家山和杨嘉桥污水处理厂及配套管网建设，实现通水试运行，实现污水处理设施全覆盖。二是环保项目积极整改。关于“涓水一桥生活污水直排问题”整改，从溯源排查、控源截污、清淤疏浚、长效管理四个方面进行整改，现已得到省住建厅、省环保厅高度肯定，且已完成销号。三是推动老旧小区改造。完成吉祥楼小区、军</w:t>
            </w:r>
            <w:r>
              <w:rPr>
                <w:rFonts w:ascii="仿宋_GB2312" w:eastAsia="仿宋_GB2312" w:hAnsi="仿宋_GB2312" w:cs="仿宋_GB2312" w:hint="eastAsia"/>
                <w:sz w:val="24"/>
              </w:rPr>
              <w:lastRenderedPageBreak/>
              <w:t>干所小区等9个老旧小区改造，共涉及改造86栋，1361户，总建筑面积13.63万平方米，完成投资3700余万元，群众满意度进一步提高。</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（三）坚持促改革、强法治，发展活力不断增强。一是筑牢安全生产管理基础。各房产开发企业、施工企业、燃气企业、在建项目部张贴（悬挂）宣传横幅300余条、宣传标语1000余条，向社会民众发放《</w:t>
            </w:r>
            <w:r w:rsidR="001D4323">
              <w:rPr>
                <w:rFonts w:ascii="仿宋_GB2312" w:eastAsia="仿宋_GB2312" w:hAnsi="仿宋_GB2312" w:cs="仿宋_GB2312" w:hint="eastAsia"/>
                <w:sz w:val="24"/>
              </w:rPr>
              <w:t>建设工程安全生产管理条例</w:t>
            </w:r>
            <w:r>
              <w:rPr>
                <w:rFonts w:ascii="仿宋_GB2312" w:eastAsia="仿宋_GB2312" w:hAnsi="仿宋_GB2312" w:cs="仿宋_GB2312" w:hint="eastAsia"/>
                <w:sz w:val="24"/>
              </w:rPr>
              <w:t>》、《燃气使用和维护常识》建设领域安全生产法律法规知识资料等3800余份。二是强化质量管控措施。严格落实《湖南省建筑施工质量管理标准化考评实施细则》的要求，全面推进质量考评工作，质量标准化考评72项次，考评优良项目14项次，不合格项目2项次。积极引导参建企业参与创建质量标准化示范工地和省优质工程等奖项，以点带面，全面提升我县建设工程质量管理水平。三是深化审批改革制度改革。共受理各类业务2015件，湖南省工程建设项目审批管理系统线上入库项目118个，实行帮代办162个，施工许可平台受理发放27个，联合验收项目44个，受理市政公用服务报装项目47个，咨询件22件，享受区域评估成果红利项目42个，按时办结率100%，录入应用率100%。</w:t>
            </w:r>
          </w:p>
          <w:p w:rsidR="00BF1D7C" w:rsidRDefault="00A54150" w:rsidP="00263CEF">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（四）坚持抓统筹、惠民生，社会事业不断进步。一是持续开展农村危房改造。2021年我县危改任务165户。我局按应改尽改要求，通过督促各乡镇进行调查摸</w:t>
            </w:r>
            <w:r>
              <w:rPr>
                <w:rFonts w:ascii="仿宋_GB2312" w:eastAsia="仿宋_GB2312" w:hAnsi="仿宋_GB2312" w:cs="仿宋_GB2312" w:hint="eastAsia"/>
                <w:sz w:val="24"/>
              </w:rPr>
              <w:lastRenderedPageBreak/>
              <w:t>底，并严格按照农村危房改造政策和程序申报，有 274户危改户申报，并经乡镇公示。现已竣工274户，竣工率达100%，任务完成率达166%。通过“一卡通”</w:t>
            </w:r>
            <w:r w:rsidR="00263CEF">
              <w:rPr>
                <w:rFonts w:ascii="仿宋_GB2312" w:eastAsia="仿宋_GB2312" w:hAnsi="仿宋_GB2312" w:cs="仿宋_GB2312" w:hint="eastAsia"/>
                <w:sz w:val="24"/>
              </w:rPr>
              <w:t>拨</w:t>
            </w:r>
            <w:r>
              <w:rPr>
                <w:rFonts w:ascii="仿宋_GB2312" w:eastAsia="仿宋_GB2312" w:hAnsi="仿宋_GB2312" w:cs="仿宋_GB2312" w:hint="eastAsia"/>
                <w:sz w:val="24"/>
              </w:rPr>
              <w:t>付危改补助资金308.3万元。二是加大行政执法检查力度。累计组织各类执法活动480余次，出动执法人员1837人次，检查生产经营单位857个，下发检查文书230份，责令停产停业单位17个；共计查处各类违法违规建设行为55起，其中执行简易程序43起，立案15起，预计全年罚没收入73.57万元。认定并上报省级严重不良行为8起，“打非治违”工作成效显著，继续保持了在全市住建系统排名领先的优势。三是稳步推进人防工程建设事业。出台了《湘潭县城市人民防空工程规划》，《规划》的编制出台，对今后人民防空的建设起到了引领作用，县城人民防空建设规划体系将得到进一步健全。全年人防工程新增竣工验收项目7个，共计面积4.76万平方米，已建人防工程和在建人防工程总面积达到14.7万平方米，实现城区战时留城人口人均掩蔽面积1.5平方米/人的目标，人防工程事业迈上保增量、优布局、调结构、补短板的新台阶。</w:t>
            </w:r>
          </w:p>
        </w:tc>
      </w:tr>
      <w:tr w:rsidR="00BF1D7C">
        <w:trPr>
          <w:trHeight w:val="1856"/>
          <w:jc w:val="center"/>
        </w:trPr>
        <w:tc>
          <w:tcPr>
            <w:tcW w:w="1384" w:type="dxa"/>
            <w:vMerge w:val="restart"/>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BF1D7C" w:rsidRDefault="00A54150">
            <w:pPr>
              <w:pStyle w:val="a7"/>
              <w:spacing w:line="360" w:lineRule="auto"/>
              <w:ind w:left="77" w:firstLine="480"/>
              <w:rPr>
                <w:rFonts w:ascii="仿宋_GB2312" w:eastAsia="仿宋_GB2312" w:hAnsi="仿宋_GB2312" w:cs="仿宋_GB2312"/>
                <w:sz w:val="24"/>
              </w:rPr>
            </w:pPr>
            <w:r>
              <w:rPr>
                <w:rFonts w:ascii="仿宋_GB2312" w:eastAsia="仿宋_GB2312" w:hAnsi="仿宋_GB2312" w:cs="仿宋_GB2312" w:hint="eastAsia"/>
                <w:sz w:val="24"/>
              </w:rPr>
              <w:t>1、预算编制的口径与实际执行有不一致，上级资金未纳入年初预算，导致预算执行有偏差、经费缺口较大：且我局业务性专项资金种类繁多，涉及面广，财务整体监管难度偏大。</w:t>
            </w:r>
          </w:p>
          <w:p w:rsidR="00BF1D7C" w:rsidRDefault="00A54150" w:rsidP="00EC2034">
            <w:pPr>
              <w:spacing w:line="360" w:lineRule="auto"/>
              <w:ind w:firstLineChars="247" w:firstLine="593"/>
              <w:rPr>
                <w:rFonts w:ascii="仿宋_GB2312" w:eastAsia="仿宋_GB2312" w:hAnsi="仿宋_GB2312" w:cs="仿宋_GB2312"/>
                <w:sz w:val="24"/>
              </w:rPr>
            </w:pPr>
            <w:r>
              <w:rPr>
                <w:rFonts w:ascii="仿宋_GB2312" w:eastAsia="仿宋_GB2312" w:hAnsi="仿宋_GB2312" w:cs="仿宋_GB2312" w:hint="eastAsia"/>
                <w:sz w:val="24"/>
              </w:rPr>
              <w:t>2、部分功能性科目规范使用有待加强。因财政资</w:t>
            </w:r>
            <w:r>
              <w:rPr>
                <w:rFonts w:ascii="仿宋_GB2312" w:eastAsia="仿宋_GB2312" w:hAnsi="仿宋_GB2312" w:cs="仿宋_GB2312" w:hint="eastAsia"/>
                <w:sz w:val="24"/>
              </w:rPr>
              <w:lastRenderedPageBreak/>
              <w:t>金紧张，所需资金指标很难按时到位，而单位有些必要支出项目不得已使用其他功能指标进行支付。</w:t>
            </w:r>
          </w:p>
          <w:p w:rsidR="00BF1D7C" w:rsidRDefault="00A54150">
            <w:pPr>
              <w:spacing w:line="360" w:lineRule="auto"/>
              <w:ind w:firstLineChars="200" w:firstLine="480"/>
              <w:jc w:val="left"/>
              <w:rPr>
                <w:rFonts w:ascii="仿宋_GB2312" w:eastAsia="仿宋_GB2312" w:hAnsi="宋体" w:cs="宋体"/>
                <w:sz w:val="24"/>
              </w:rPr>
            </w:pPr>
            <w:r>
              <w:rPr>
                <w:rFonts w:ascii="仿宋_GB2312" w:eastAsia="仿宋_GB2312" w:hAnsi="仿宋_GB2312" w:cs="仿宋_GB2312" w:hint="eastAsia"/>
                <w:sz w:val="24"/>
              </w:rPr>
              <w:t>3、由于我局机构较多，人员较多，机关工作经费预算不足，难保正常运转；</w:t>
            </w:r>
          </w:p>
        </w:tc>
      </w:tr>
      <w:tr w:rsidR="00BF1D7C">
        <w:trPr>
          <w:trHeight w:val="1690"/>
          <w:jc w:val="center"/>
        </w:trPr>
        <w:tc>
          <w:tcPr>
            <w:tcW w:w="1384" w:type="dxa"/>
            <w:vMerge/>
          </w:tcPr>
          <w:p w:rsidR="00BF1D7C" w:rsidRDefault="00BF1D7C">
            <w:pPr>
              <w:spacing w:line="360" w:lineRule="auto"/>
              <w:jc w:val="center"/>
              <w:rPr>
                <w:rFonts w:ascii="仿宋_GB2312" w:eastAsia="仿宋_GB2312" w:hAnsi="宋体" w:cs="宋体"/>
                <w:sz w:val="24"/>
              </w:rPr>
            </w:pPr>
          </w:p>
        </w:tc>
        <w:tc>
          <w:tcPr>
            <w:tcW w:w="1697" w:type="dxa"/>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 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rsidR="00BF1D7C" w:rsidRDefault="00A54150">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3、足额保障人员经费，提高单位工作经费，稳定基层建设队伍。</w:t>
            </w:r>
          </w:p>
          <w:p w:rsidR="00BF1D7C" w:rsidRDefault="00A54150" w:rsidP="00EC2034">
            <w:pPr>
              <w:spacing w:line="360" w:lineRule="auto"/>
              <w:ind w:firstLineChars="247" w:firstLine="593"/>
              <w:rPr>
                <w:rFonts w:ascii="仿宋_GB2312" w:eastAsia="仿宋_GB2312" w:hAnsi="宋体" w:cs="宋体"/>
                <w:sz w:val="24"/>
              </w:rPr>
            </w:pPr>
            <w:r>
              <w:rPr>
                <w:rFonts w:ascii="仿宋_GB2312" w:eastAsia="仿宋_GB2312" w:hAnsi="仿宋_GB2312" w:cs="仿宋_GB2312" w:hint="eastAsia"/>
                <w:sz w:val="24"/>
              </w:rPr>
              <w:t>4、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w:t>
            </w:r>
            <w:r>
              <w:rPr>
                <w:rFonts w:ascii="仿宋_GB2312" w:eastAsia="仿宋_GB2312" w:hAnsi="仿宋_GB2312" w:cs="仿宋_GB2312" w:hint="eastAsia"/>
                <w:sz w:val="24"/>
              </w:rPr>
              <w:lastRenderedPageBreak/>
              <w:t>算执行进度，及时找出预算实际执行情况与预算目标之间存在的差距，切实提高部门预算收支管理水平。</w:t>
            </w:r>
          </w:p>
        </w:tc>
      </w:tr>
      <w:tr w:rsidR="00BF1D7C">
        <w:trPr>
          <w:trHeight w:val="1500"/>
          <w:jc w:val="center"/>
        </w:trPr>
        <w:tc>
          <w:tcPr>
            <w:tcW w:w="1384" w:type="dxa"/>
            <w:vMerge/>
          </w:tcPr>
          <w:p w:rsidR="00BF1D7C" w:rsidRDefault="00BF1D7C">
            <w:pPr>
              <w:spacing w:line="360" w:lineRule="auto"/>
              <w:jc w:val="center"/>
              <w:rPr>
                <w:rFonts w:ascii="仿宋_GB2312" w:eastAsia="仿宋_GB2312" w:hAnsi="宋体" w:cs="宋体"/>
                <w:sz w:val="24"/>
              </w:rPr>
            </w:pPr>
          </w:p>
        </w:tc>
        <w:tc>
          <w:tcPr>
            <w:tcW w:w="1697" w:type="dxa"/>
            <w:vAlign w:val="center"/>
          </w:tcPr>
          <w:p w:rsidR="00BF1D7C" w:rsidRDefault="00A54150">
            <w:pPr>
              <w:spacing w:line="360" w:lineRule="auto"/>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BF1D7C" w:rsidRDefault="00A54150" w:rsidP="00EC2034">
            <w:pPr>
              <w:spacing w:line="360" w:lineRule="auto"/>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BF1D7C" w:rsidRDefault="00BF1D7C">
      <w:pPr>
        <w:ind w:firstLineChars="200" w:firstLine="640"/>
        <w:jc w:val="left"/>
        <w:rPr>
          <w:rFonts w:ascii="宋体" w:cs="Times New Roman"/>
          <w:color w:val="000000"/>
          <w:kern w:val="0"/>
          <w:sz w:val="32"/>
          <w:szCs w:val="32"/>
        </w:rPr>
      </w:pPr>
    </w:p>
    <w:sectPr w:rsidR="00BF1D7C" w:rsidSect="00BF1D7C">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43BE" w:rsidRPr="0055751E" w:rsidRDefault="000A43BE" w:rsidP="00EC2034">
      <w:r>
        <w:separator/>
      </w:r>
    </w:p>
  </w:endnote>
  <w:endnote w:type="continuationSeparator" w:id="0">
    <w:p w:rsidR="000A43BE" w:rsidRPr="0055751E" w:rsidRDefault="000A43BE" w:rsidP="00EC2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1" w:usb1="08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43BE" w:rsidRPr="0055751E" w:rsidRDefault="000A43BE" w:rsidP="00EC2034">
      <w:r>
        <w:separator/>
      </w:r>
    </w:p>
  </w:footnote>
  <w:footnote w:type="continuationSeparator" w:id="0">
    <w:p w:rsidR="000A43BE" w:rsidRPr="0055751E" w:rsidRDefault="000A43BE" w:rsidP="00EC2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mMzN2ExMjZiYzk1NDdiMDYzMWU1ZWMwODA4NjFhYzMifQ=="/>
  </w:docVars>
  <w:rsids>
    <w:rsidRoot w:val="004506F9"/>
    <w:rsid w:val="0002229B"/>
    <w:rsid w:val="00023BA5"/>
    <w:rsid w:val="000273BD"/>
    <w:rsid w:val="00034287"/>
    <w:rsid w:val="000372E9"/>
    <w:rsid w:val="00037303"/>
    <w:rsid w:val="000415B7"/>
    <w:rsid w:val="00041E3F"/>
    <w:rsid w:val="00042D75"/>
    <w:rsid w:val="00045C75"/>
    <w:rsid w:val="00055DAA"/>
    <w:rsid w:val="00061F7B"/>
    <w:rsid w:val="000658A3"/>
    <w:rsid w:val="00074155"/>
    <w:rsid w:val="000777AE"/>
    <w:rsid w:val="000969EB"/>
    <w:rsid w:val="000A3F69"/>
    <w:rsid w:val="000A43BE"/>
    <w:rsid w:val="000D1A41"/>
    <w:rsid w:val="000D537B"/>
    <w:rsid w:val="000E72C7"/>
    <w:rsid w:val="000F082A"/>
    <w:rsid w:val="000F3583"/>
    <w:rsid w:val="000F7F11"/>
    <w:rsid w:val="00103957"/>
    <w:rsid w:val="00112048"/>
    <w:rsid w:val="00115664"/>
    <w:rsid w:val="0012411F"/>
    <w:rsid w:val="00125C47"/>
    <w:rsid w:val="00152C6D"/>
    <w:rsid w:val="00161642"/>
    <w:rsid w:val="00162D39"/>
    <w:rsid w:val="001678BD"/>
    <w:rsid w:val="00184326"/>
    <w:rsid w:val="001A1CE2"/>
    <w:rsid w:val="001A282D"/>
    <w:rsid w:val="001A6139"/>
    <w:rsid w:val="001A67DB"/>
    <w:rsid w:val="001B399E"/>
    <w:rsid w:val="001C3C29"/>
    <w:rsid w:val="001D4323"/>
    <w:rsid w:val="001D51E5"/>
    <w:rsid w:val="001E080D"/>
    <w:rsid w:val="001E53D0"/>
    <w:rsid w:val="001E5C7D"/>
    <w:rsid w:val="001F0C3B"/>
    <w:rsid w:val="001F5B81"/>
    <w:rsid w:val="00202C82"/>
    <w:rsid w:val="002050F8"/>
    <w:rsid w:val="00214427"/>
    <w:rsid w:val="00222FCB"/>
    <w:rsid w:val="00226CB7"/>
    <w:rsid w:val="00230153"/>
    <w:rsid w:val="0023243D"/>
    <w:rsid w:val="0025373E"/>
    <w:rsid w:val="002558BD"/>
    <w:rsid w:val="00263CEF"/>
    <w:rsid w:val="00264552"/>
    <w:rsid w:val="00264EF9"/>
    <w:rsid w:val="00265724"/>
    <w:rsid w:val="00272E5C"/>
    <w:rsid w:val="0027426B"/>
    <w:rsid w:val="00277C20"/>
    <w:rsid w:val="002A44BC"/>
    <w:rsid w:val="002C3BDB"/>
    <w:rsid w:val="002D1CAD"/>
    <w:rsid w:val="002D5E31"/>
    <w:rsid w:val="002E0A30"/>
    <w:rsid w:val="002E38B9"/>
    <w:rsid w:val="002F7B90"/>
    <w:rsid w:val="003130C4"/>
    <w:rsid w:val="00316287"/>
    <w:rsid w:val="00316C4B"/>
    <w:rsid w:val="0032192B"/>
    <w:rsid w:val="003479BD"/>
    <w:rsid w:val="003555D7"/>
    <w:rsid w:val="0037197D"/>
    <w:rsid w:val="003756FA"/>
    <w:rsid w:val="003768D5"/>
    <w:rsid w:val="00380CAC"/>
    <w:rsid w:val="003A61E7"/>
    <w:rsid w:val="003A6901"/>
    <w:rsid w:val="003B12C3"/>
    <w:rsid w:val="003C47E6"/>
    <w:rsid w:val="003C4FC2"/>
    <w:rsid w:val="003D52E0"/>
    <w:rsid w:val="003D778D"/>
    <w:rsid w:val="003E2931"/>
    <w:rsid w:val="003F4D09"/>
    <w:rsid w:val="00401364"/>
    <w:rsid w:val="00404B2B"/>
    <w:rsid w:val="00416E61"/>
    <w:rsid w:val="0042790C"/>
    <w:rsid w:val="004506F9"/>
    <w:rsid w:val="0046029E"/>
    <w:rsid w:val="00460F1E"/>
    <w:rsid w:val="0046661E"/>
    <w:rsid w:val="004717A2"/>
    <w:rsid w:val="00473CA2"/>
    <w:rsid w:val="00473DF3"/>
    <w:rsid w:val="00487911"/>
    <w:rsid w:val="00491741"/>
    <w:rsid w:val="0049506D"/>
    <w:rsid w:val="004A0952"/>
    <w:rsid w:val="004A42B2"/>
    <w:rsid w:val="004C184A"/>
    <w:rsid w:val="004E4CDE"/>
    <w:rsid w:val="004E72D6"/>
    <w:rsid w:val="004F713B"/>
    <w:rsid w:val="00500E5F"/>
    <w:rsid w:val="005122EF"/>
    <w:rsid w:val="0051441A"/>
    <w:rsid w:val="00517C33"/>
    <w:rsid w:val="00523644"/>
    <w:rsid w:val="00534ED1"/>
    <w:rsid w:val="0054069E"/>
    <w:rsid w:val="00544866"/>
    <w:rsid w:val="005462D2"/>
    <w:rsid w:val="0056766F"/>
    <w:rsid w:val="005767CC"/>
    <w:rsid w:val="00590D9F"/>
    <w:rsid w:val="00595D26"/>
    <w:rsid w:val="00597ED9"/>
    <w:rsid w:val="005A74E6"/>
    <w:rsid w:val="005B044E"/>
    <w:rsid w:val="005B404E"/>
    <w:rsid w:val="005D12FA"/>
    <w:rsid w:val="005D25EB"/>
    <w:rsid w:val="005D4D55"/>
    <w:rsid w:val="005E2CFB"/>
    <w:rsid w:val="005F3D1C"/>
    <w:rsid w:val="0062378F"/>
    <w:rsid w:val="00640965"/>
    <w:rsid w:val="00641842"/>
    <w:rsid w:val="0065114A"/>
    <w:rsid w:val="00651EEC"/>
    <w:rsid w:val="00657955"/>
    <w:rsid w:val="00662261"/>
    <w:rsid w:val="00665D17"/>
    <w:rsid w:val="00691E8C"/>
    <w:rsid w:val="006A22C4"/>
    <w:rsid w:val="006A351B"/>
    <w:rsid w:val="006B0422"/>
    <w:rsid w:val="006C1B53"/>
    <w:rsid w:val="006D7730"/>
    <w:rsid w:val="006E5284"/>
    <w:rsid w:val="006F10EB"/>
    <w:rsid w:val="006F3EB5"/>
    <w:rsid w:val="007008FC"/>
    <w:rsid w:val="00702E34"/>
    <w:rsid w:val="00704395"/>
    <w:rsid w:val="007065A1"/>
    <w:rsid w:val="00717621"/>
    <w:rsid w:val="00720FF1"/>
    <w:rsid w:val="00727A53"/>
    <w:rsid w:val="0073736E"/>
    <w:rsid w:val="00742F6C"/>
    <w:rsid w:val="0074458D"/>
    <w:rsid w:val="00763C89"/>
    <w:rsid w:val="0078630C"/>
    <w:rsid w:val="00787B42"/>
    <w:rsid w:val="007B5E61"/>
    <w:rsid w:val="007C4539"/>
    <w:rsid w:val="007E67DB"/>
    <w:rsid w:val="007F3657"/>
    <w:rsid w:val="00812ED5"/>
    <w:rsid w:val="008204F3"/>
    <w:rsid w:val="008277D9"/>
    <w:rsid w:val="00827C14"/>
    <w:rsid w:val="00832C8B"/>
    <w:rsid w:val="0084478C"/>
    <w:rsid w:val="00847D2B"/>
    <w:rsid w:val="008660A6"/>
    <w:rsid w:val="0086638C"/>
    <w:rsid w:val="00892E3C"/>
    <w:rsid w:val="00897A02"/>
    <w:rsid w:val="008A0356"/>
    <w:rsid w:val="008A3E8D"/>
    <w:rsid w:val="008A5697"/>
    <w:rsid w:val="00900141"/>
    <w:rsid w:val="00912CE3"/>
    <w:rsid w:val="009168B2"/>
    <w:rsid w:val="00921353"/>
    <w:rsid w:val="009237C4"/>
    <w:rsid w:val="00944880"/>
    <w:rsid w:val="00944C48"/>
    <w:rsid w:val="00946ADD"/>
    <w:rsid w:val="00950252"/>
    <w:rsid w:val="00967F5D"/>
    <w:rsid w:val="00997D7A"/>
    <w:rsid w:val="009A0F95"/>
    <w:rsid w:val="009B3ADF"/>
    <w:rsid w:val="009C3B52"/>
    <w:rsid w:val="009C5E1C"/>
    <w:rsid w:val="009D09F6"/>
    <w:rsid w:val="009D2977"/>
    <w:rsid w:val="009E22D0"/>
    <w:rsid w:val="009E6817"/>
    <w:rsid w:val="009E6E9A"/>
    <w:rsid w:val="009F6E5B"/>
    <w:rsid w:val="00A01D2B"/>
    <w:rsid w:val="00A2179B"/>
    <w:rsid w:val="00A235DA"/>
    <w:rsid w:val="00A42218"/>
    <w:rsid w:val="00A54150"/>
    <w:rsid w:val="00A57A28"/>
    <w:rsid w:val="00A70249"/>
    <w:rsid w:val="00A70B02"/>
    <w:rsid w:val="00A71D9F"/>
    <w:rsid w:val="00A726E8"/>
    <w:rsid w:val="00A92E9F"/>
    <w:rsid w:val="00AC5E12"/>
    <w:rsid w:val="00AD7D7C"/>
    <w:rsid w:val="00B00688"/>
    <w:rsid w:val="00B010E3"/>
    <w:rsid w:val="00B33047"/>
    <w:rsid w:val="00B33AF9"/>
    <w:rsid w:val="00B33BEA"/>
    <w:rsid w:val="00B34155"/>
    <w:rsid w:val="00B36887"/>
    <w:rsid w:val="00B57C9F"/>
    <w:rsid w:val="00B63572"/>
    <w:rsid w:val="00B70D78"/>
    <w:rsid w:val="00B74C99"/>
    <w:rsid w:val="00B757A5"/>
    <w:rsid w:val="00B845B3"/>
    <w:rsid w:val="00B85D8B"/>
    <w:rsid w:val="00BB4A40"/>
    <w:rsid w:val="00BD6C3E"/>
    <w:rsid w:val="00BE3674"/>
    <w:rsid w:val="00BF1D7C"/>
    <w:rsid w:val="00C102D4"/>
    <w:rsid w:val="00C10681"/>
    <w:rsid w:val="00C226EB"/>
    <w:rsid w:val="00C3049A"/>
    <w:rsid w:val="00C31B1E"/>
    <w:rsid w:val="00C40074"/>
    <w:rsid w:val="00C76BF7"/>
    <w:rsid w:val="00C77645"/>
    <w:rsid w:val="00C97B56"/>
    <w:rsid w:val="00CA4F61"/>
    <w:rsid w:val="00CA7CD2"/>
    <w:rsid w:val="00CC3EE4"/>
    <w:rsid w:val="00CC61BD"/>
    <w:rsid w:val="00CC7FE3"/>
    <w:rsid w:val="00CD018A"/>
    <w:rsid w:val="00CE04C3"/>
    <w:rsid w:val="00CE730F"/>
    <w:rsid w:val="00CE76A0"/>
    <w:rsid w:val="00D148C6"/>
    <w:rsid w:val="00D17A8A"/>
    <w:rsid w:val="00D278E9"/>
    <w:rsid w:val="00D415BA"/>
    <w:rsid w:val="00D4194D"/>
    <w:rsid w:val="00D5679D"/>
    <w:rsid w:val="00D644EE"/>
    <w:rsid w:val="00D91944"/>
    <w:rsid w:val="00DA4783"/>
    <w:rsid w:val="00DA7384"/>
    <w:rsid w:val="00DC22BB"/>
    <w:rsid w:val="00DD06FF"/>
    <w:rsid w:val="00DD5FE9"/>
    <w:rsid w:val="00DE25D2"/>
    <w:rsid w:val="00E00C7A"/>
    <w:rsid w:val="00E03D95"/>
    <w:rsid w:val="00E03F8E"/>
    <w:rsid w:val="00E1327E"/>
    <w:rsid w:val="00E37D6C"/>
    <w:rsid w:val="00E40D05"/>
    <w:rsid w:val="00E46B84"/>
    <w:rsid w:val="00E51CF7"/>
    <w:rsid w:val="00E55B68"/>
    <w:rsid w:val="00E57EE8"/>
    <w:rsid w:val="00E634FB"/>
    <w:rsid w:val="00E67BE6"/>
    <w:rsid w:val="00E8683C"/>
    <w:rsid w:val="00E93F53"/>
    <w:rsid w:val="00EA2B72"/>
    <w:rsid w:val="00EB088B"/>
    <w:rsid w:val="00EB44B6"/>
    <w:rsid w:val="00EB6C0C"/>
    <w:rsid w:val="00EC2034"/>
    <w:rsid w:val="00F25650"/>
    <w:rsid w:val="00F568AB"/>
    <w:rsid w:val="00F652E1"/>
    <w:rsid w:val="00F6680B"/>
    <w:rsid w:val="00F74360"/>
    <w:rsid w:val="00FB462F"/>
    <w:rsid w:val="00FE16FA"/>
    <w:rsid w:val="00FE328A"/>
    <w:rsid w:val="00FE6269"/>
    <w:rsid w:val="00FF6200"/>
    <w:rsid w:val="00FF76C5"/>
    <w:rsid w:val="0A631671"/>
    <w:rsid w:val="278E53FE"/>
    <w:rsid w:val="284E65ED"/>
    <w:rsid w:val="297A5C26"/>
    <w:rsid w:val="335D54A3"/>
    <w:rsid w:val="42846AE2"/>
    <w:rsid w:val="474B2221"/>
    <w:rsid w:val="6D7C50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D7C"/>
    <w:pPr>
      <w:widowControl w:val="0"/>
      <w:jc w:val="both"/>
    </w:pPr>
    <w:rPr>
      <w:rFonts w:ascii="Calibri" w:hAnsi="Calibri" w:cs="Calibri"/>
      <w:kern w:val="2"/>
      <w:sz w:val="21"/>
      <w:szCs w:val="21"/>
    </w:rPr>
  </w:style>
  <w:style w:type="paragraph" w:styleId="2">
    <w:name w:val="heading 2"/>
    <w:basedOn w:val="a"/>
    <w:next w:val="a"/>
    <w:link w:val="2Char"/>
    <w:uiPriority w:val="9"/>
    <w:unhideWhenUsed/>
    <w:qFormat/>
    <w:locked/>
    <w:rsid w:val="00BF1D7C"/>
    <w:pPr>
      <w:keepNext/>
      <w:keepLines/>
      <w:spacing w:beforeLines="50" w:afterLines="50"/>
      <w:ind w:firstLineChars="200" w:firstLine="643"/>
      <w:jc w:val="left"/>
      <w:outlineLvl w:val="1"/>
    </w:pPr>
    <w:rPr>
      <w:rFonts w:ascii="Cambria" w:eastAsia="仿宋_GB2312"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BF1D7C"/>
    <w:rPr>
      <w:sz w:val="18"/>
      <w:szCs w:val="18"/>
    </w:rPr>
  </w:style>
  <w:style w:type="paragraph" w:styleId="a4">
    <w:name w:val="footer"/>
    <w:basedOn w:val="a"/>
    <w:link w:val="Char0"/>
    <w:uiPriority w:val="99"/>
    <w:qFormat/>
    <w:rsid w:val="00BF1D7C"/>
    <w:pPr>
      <w:tabs>
        <w:tab w:val="center" w:pos="4153"/>
        <w:tab w:val="right" w:pos="8306"/>
      </w:tabs>
      <w:snapToGrid w:val="0"/>
      <w:jc w:val="left"/>
    </w:pPr>
    <w:rPr>
      <w:sz w:val="18"/>
      <w:szCs w:val="18"/>
    </w:rPr>
  </w:style>
  <w:style w:type="paragraph" w:styleId="a5">
    <w:name w:val="header"/>
    <w:basedOn w:val="a"/>
    <w:link w:val="Char1"/>
    <w:uiPriority w:val="99"/>
    <w:rsid w:val="00BF1D7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BF1D7C"/>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basedOn w:val="a0"/>
    <w:link w:val="a3"/>
    <w:uiPriority w:val="99"/>
    <w:semiHidden/>
    <w:qFormat/>
    <w:locked/>
    <w:rsid w:val="00BF1D7C"/>
    <w:rPr>
      <w:sz w:val="18"/>
      <w:szCs w:val="18"/>
    </w:rPr>
  </w:style>
  <w:style w:type="character" w:customStyle="1" w:styleId="Char0">
    <w:name w:val="页脚 Char"/>
    <w:basedOn w:val="a0"/>
    <w:link w:val="a4"/>
    <w:uiPriority w:val="99"/>
    <w:locked/>
    <w:rsid w:val="00BF1D7C"/>
    <w:rPr>
      <w:sz w:val="18"/>
      <w:szCs w:val="18"/>
    </w:rPr>
  </w:style>
  <w:style w:type="character" w:customStyle="1" w:styleId="Char1">
    <w:name w:val="页眉 Char"/>
    <w:basedOn w:val="a0"/>
    <w:link w:val="a5"/>
    <w:uiPriority w:val="99"/>
    <w:locked/>
    <w:rsid w:val="00BF1D7C"/>
    <w:rPr>
      <w:sz w:val="18"/>
      <w:szCs w:val="18"/>
    </w:rPr>
  </w:style>
  <w:style w:type="paragraph" w:customStyle="1" w:styleId="Default">
    <w:name w:val="Default"/>
    <w:rsid w:val="00BF1D7C"/>
    <w:pPr>
      <w:widowControl w:val="0"/>
      <w:autoSpaceDE w:val="0"/>
      <w:autoSpaceDN w:val="0"/>
      <w:adjustRightInd w:val="0"/>
    </w:pPr>
    <w:rPr>
      <w:rFonts w:ascii="黑体" w:eastAsia="黑体" w:hAnsi="Calibri" w:cs="黑体"/>
      <w:color w:val="000000"/>
      <w:sz w:val="24"/>
      <w:szCs w:val="24"/>
    </w:rPr>
  </w:style>
  <w:style w:type="paragraph" w:styleId="a7">
    <w:name w:val="List Paragraph"/>
    <w:basedOn w:val="a"/>
    <w:uiPriority w:val="34"/>
    <w:qFormat/>
    <w:rsid w:val="00BF1D7C"/>
    <w:pPr>
      <w:ind w:firstLineChars="200" w:firstLine="420"/>
    </w:pPr>
  </w:style>
  <w:style w:type="paragraph" w:customStyle="1" w:styleId="ListParagraph1">
    <w:name w:val="List Paragraph1"/>
    <w:basedOn w:val="a"/>
    <w:uiPriority w:val="99"/>
    <w:rsid w:val="00BF1D7C"/>
    <w:pPr>
      <w:ind w:firstLineChars="200" w:firstLine="420"/>
    </w:pPr>
  </w:style>
  <w:style w:type="paragraph" w:customStyle="1" w:styleId="1">
    <w:name w:val="样式1"/>
    <w:basedOn w:val="a"/>
    <w:qFormat/>
    <w:rsid w:val="00BF1D7C"/>
    <w:pPr>
      <w:ind w:firstLineChars="200" w:firstLine="200"/>
    </w:pPr>
    <w:rPr>
      <w:rFonts w:ascii="仿宋" w:eastAsia="仿宋" w:hAnsi="仿宋" w:cs="仿宋"/>
      <w:sz w:val="28"/>
      <w:szCs w:val="28"/>
    </w:rPr>
  </w:style>
  <w:style w:type="character" w:customStyle="1" w:styleId="2Char">
    <w:name w:val="标题 2 Char"/>
    <w:basedOn w:val="a0"/>
    <w:link w:val="2"/>
    <w:uiPriority w:val="9"/>
    <w:qFormat/>
    <w:rsid w:val="00BF1D7C"/>
    <w:rPr>
      <w:rFonts w:ascii="Cambria" w:eastAsia="仿宋_GB2312" w:hAnsi="Cambria"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24504-2938-4C66-9BB0-DB6C73CE0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41</Pages>
  <Words>3113</Words>
  <Characters>17750</Characters>
  <Application>Microsoft Office Word</Application>
  <DocSecurity>0</DocSecurity>
  <Lines>147</Lines>
  <Paragraphs>41</Paragraphs>
  <ScaleCrop>false</ScaleCrop>
  <Company>Microsoft</Company>
  <LinksUpToDate>false</LinksUpToDate>
  <CharactersWithSpaces>20822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cp:revision>
  <cp:lastPrinted>2021-07-28T00:12:00Z</cp:lastPrinted>
  <dcterms:created xsi:type="dcterms:W3CDTF">2022-07-28T10:18:00Z</dcterms:created>
  <dcterms:modified xsi:type="dcterms:W3CDTF">2023-09-07T02:00:00Z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2052-11.1.0.11875</vt:lpwstr>
  </property>
  <property fmtid="{D5CDD505-2E9C-101B-9397-08002B2CF9AE}" pid="4" name="ICV">
    <vt:lpwstr>A657EFB301FC4D5FB16B55F61293875A</vt:lpwstr>
  </property>
</Properties>
</file>