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财政科技支出项目支出绩效评价报告</w:t>
      </w:r>
    </w:p>
    <w:tbl>
      <w:tblPr>
        <w:tblStyle w:val="4"/>
        <w:tblpPr w:leftFromText="180" w:rightFromText="180" w:vertAnchor="text" w:horzAnchor="margin" w:tblpXSpec="center" w:tblpY="189"/>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部门概况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专项名称</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财政科技支出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年度预算金额</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5,100.00万元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项目主管部门</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项目立项目的</w:t>
            </w:r>
          </w:p>
        </w:tc>
        <w:tc>
          <w:tcPr>
            <w:tcW w:w="5670" w:type="dxa"/>
            <w:vAlign w:val="center"/>
          </w:tcPr>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培育龙头产业企业、鼓励企业自主创新、推进企业转型升级、增强园区产业链建设、对获得国家质量奖、驰名商标奖、技能人才奖的企业或人才给予奖励</w:t>
            </w:r>
            <w:bookmarkStart w:id="0" w:name="_GoBack"/>
            <w:bookmarkEnd w:id="0"/>
            <w:r>
              <w:rPr>
                <w:rFonts w:hint="eastAsia" w:ascii="仿宋_GB2312" w:hAnsi="宋体" w:eastAsia="仿宋_GB2312" w:cs="宋体"/>
                <w:szCs w:val="32"/>
              </w:rPr>
              <w:t>以及鼓励企业扩大进出口等方面，由湘潭县财政安排专项经费保障项目的顺利实施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绩效情况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一、项目支出管理情况</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（一）项目组织情况</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湘潭天易经开区管委会是财政科技支出项目资金的主管部门，财政科技支出工作领导小组及成员单位是项目实施单位。领导小组组长由分管经济发展工作的党工委副主任担任，成员单位有经济发展局、财政和国有资产管理局、招商和商务局、企业服务中心和创新创业服务中心，领导小组办公室设经济发展局。领导小组负责全面统筹协调园区产业科技扶持发展工作，负责政策推进落实，扶持计划组织实施、专项资金使用监管和绩效评价等工作。</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（二）专项资金管理文件</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针对财政科技支出专项资金，我区制定了专项资金相关管理文件，并严格按照文件规定执行，做到了专款专用、专账核算、财务审批流程健全规范、资金拨付手续齐全。</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二、项目支出使用情况</w:t>
            </w:r>
          </w:p>
          <w:p>
            <w:pPr>
              <w:spacing w:line="300" w:lineRule="exact"/>
              <w:ind w:firstLine="420" w:firstLineChars="200"/>
              <w:rPr>
                <w:rFonts w:ascii="仿宋_GB2312" w:hAnsi="宋体" w:eastAsia="仿宋_GB2312" w:cs="宋体"/>
                <w:szCs w:val="21"/>
              </w:rPr>
            </w:pPr>
            <w:r>
              <w:rPr>
                <w:rFonts w:hint="eastAsia" w:ascii="仿宋_GB2312" w:hAnsi="仿宋" w:eastAsia="仿宋_GB2312"/>
                <w:szCs w:val="21"/>
              </w:rPr>
              <w:t>今年，财政科技支出专项资金主要是对天易经开区园区内企业按照企业入园协议、投资协议及湘潭天易示范区管理管委会主任会议纪要等要求给予资金扶持。本年度实际使用项目资金1,356.34万元，预算完成率为26.59%，其中：</w:t>
            </w:r>
            <w:r>
              <w:rPr>
                <w:rFonts w:hint="eastAsia" w:ascii="仿宋_GB2312" w:eastAsia="仿宋_GB2312"/>
                <w:szCs w:val="21"/>
              </w:rPr>
              <w:t>园区项目建设支持资金实际使用481.76万元</w:t>
            </w:r>
            <w:r>
              <w:rPr>
                <w:rFonts w:hint="eastAsia" w:ascii="仿宋_GB2312" w:hAnsi="宋体" w:eastAsia="仿宋_GB2312"/>
                <w:color w:val="000000"/>
                <w:szCs w:val="21"/>
              </w:rPr>
              <w:t>；</w:t>
            </w:r>
            <w:r>
              <w:rPr>
                <w:rFonts w:hint="eastAsia" w:ascii="仿宋_GB2312" w:eastAsia="仿宋_GB2312"/>
                <w:szCs w:val="21"/>
              </w:rPr>
              <w:t>主导产业扶持资金实际使用658.01万元</w:t>
            </w:r>
            <w:r>
              <w:rPr>
                <w:rFonts w:hint="eastAsia" w:ascii="仿宋_GB2312" w:hAnsi="宋体" w:eastAsia="仿宋_GB2312"/>
                <w:color w:val="000000"/>
                <w:szCs w:val="21"/>
              </w:rPr>
              <w:t>；</w:t>
            </w:r>
            <w:r>
              <w:rPr>
                <w:rFonts w:hint="eastAsia" w:ascii="仿宋_GB2312" w:hAnsi="仿宋" w:eastAsia="仿宋_GB2312"/>
                <w:szCs w:val="21"/>
              </w:rPr>
              <w:t>进出口奖励资金实际使用</w:t>
            </w:r>
            <w:r>
              <w:rPr>
                <w:rFonts w:hint="eastAsia" w:ascii="仿宋_GB2312" w:eastAsia="仿宋_GB2312"/>
                <w:color w:val="000000"/>
                <w:szCs w:val="21"/>
              </w:rPr>
              <w:t>196.57</w:t>
            </w:r>
            <w:r>
              <w:rPr>
                <w:rFonts w:hint="eastAsia" w:ascii="仿宋_GB2312" w:hAnsi="仿宋" w:eastAsia="仿宋_GB2312"/>
                <w:szCs w:val="21"/>
              </w:rPr>
              <w:t>万元</w:t>
            </w:r>
            <w:r>
              <w:rPr>
                <w:rFonts w:hint="eastAsia" w:ascii="仿宋_GB2312" w:hAnsi="宋体" w:eastAsia="仿宋_GB2312"/>
                <w:color w:val="000000"/>
                <w:szCs w:val="21"/>
              </w:rPr>
              <w:t>；</w:t>
            </w:r>
            <w:r>
              <w:rPr>
                <w:rFonts w:hint="eastAsia" w:ascii="仿宋_GB2312" w:eastAsia="仿宋_GB2312"/>
                <w:color w:val="000000"/>
                <w:szCs w:val="21"/>
              </w:rPr>
              <w:t>纳税贡献</w:t>
            </w:r>
            <w:r>
              <w:rPr>
                <w:rFonts w:hint="eastAsia" w:ascii="仿宋_GB2312" w:hAnsi="仿宋" w:eastAsia="仿宋_GB2312"/>
                <w:szCs w:val="21"/>
              </w:rPr>
              <w:t>奖励资金实际使用</w:t>
            </w:r>
            <w:r>
              <w:rPr>
                <w:rFonts w:hint="eastAsia" w:ascii="仿宋_GB2312" w:eastAsia="仿宋_GB2312"/>
                <w:color w:val="000000"/>
                <w:szCs w:val="21"/>
              </w:rPr>
              <w:t>20.00</w:t>
            </w:r>
            <w:r>
              <w:rPr>
                <w:rFonts w:hint="eastAsia" w:ascii="仿宋_GB2312" w:hAnsi="仿宋" w:eastAsia="仿宋_GB2312"/>
                <w:szCs w:val="21"/>
              </w:rPr>
              <w:t>万元。单位财务制度健全、会计核算规范、资金管理严格，无违规现象的发生。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vAlign w:val="center"/>
          </w:tcPr>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一、项目产出完成情况</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1、紧扣主导产业链条。围绕智能装备制造和汽车零配件产业链，积极跟进日牵集团、中金泰达等项目，力促园区智能装备制造产业集聚效应不断增强。围绕食品医药产业链，加快跟进广州酒家二期和烘焙小镇等项目，助推园区食品产业进一步做大做强。在新材料产业方面，引进了汇洋包装、飞欧特新材料、创一工业新材料等，进一步壮大了新材料产业，使园区科技附加值逐步提升。同时，新兴优势配套产业在园区已形成较为雄厚的产业基础，我们积极对接其上下游企业，着手制定产业链“全景图、现状图”，积极完善“客商库”“项目库”“人才池”“资金池”，争取打造形成闭环的新兴优势产业配套产业链。</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2、企业科技创新能力明显提升。全年研发投入占GDP比重达2.8，成功组织144家规模企业完成2020年统计年报研发费用的报送工作，达到94%填报率，超额完成90%的填报率目标任务；共组织38家企业开展高新技术企业首次申报和复审，新引进高企2家（湖南盈晟电子科技有限公司、湖南通成机械有限公司），全年完成技术合同交易额10亿元以上，占全县目标任务的80%；宝峰炉料、信诺颜料、傲派自动化、飞山奇、杰萃生物、特种线缆、傲农生物等6家企业新获评为省级“专精特新”小巨人，市电机车厂、力威液压等2家企业获评为国家级小巨人，园区省级以上“专精特新”小巨人累计16家；可菲生物成功获评湘潭市工程技术研究中心、湘潭市企业技术中心。</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3、税源不断增长</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今年以来，已完成五洲通商住用地等12宗土地的规划条件论证、核定工作，组织召开项目规划审查会议19次、审查审议项目35个，核发用地规划许可证44本、工程规划许可证54本、城乡规划条件核实证71本，确保了园区重点项目顺利落地开工、投产达效。胖哥耀晨食品有限公司总部及生产基地仅1年左右即完成超10亿元投资，6月份正式投产以来，完成产值超过3亿元，</w:t>
            </w:r>
            <w:r>
              <w:rPr>
                <w:rFonts w:hint="eastAsia" w:ascii="仿宋_GB2312" w:hAnsi="宋体" w:eastAsia="仿宋_GB2312" w:cs="宋体"/>
                <w:szCs w:val="32"/>
                <w:lang w:eastAsia="zh-CN"/>
              </w:rPr>
              <w:t>上缴税金</w:t>
            </w:r>
            <w:r>
              <w:rPr>
                <w:rFonts w:hint="eastAsia" w:ascii="仿宋_GB2312" w:hAnsi="宋体" w:eastAsia="仿宋_GB2312" w:cs="宋体"/>
                <w:szCs w:val="32"/>
              </w:rPr>
              <w:t>2000万元。</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4、精准施策，助推产业项目建设</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2021年以来，牵头举办开工、竣工仪式3次，积极推进顺络电子、胖哥耀晨、云龙中学等15个项目主体竣工；祥豪新材料、振洋科技、盈盛电子、柏屹二期、博富彩印、山叶商贸等13个项目开工建设。共协调处理项目推进中的各类矛盾问题58起，协调在建项目开展环保整改治理工作80余次，组织召开项目协调调度会30余次。有效推动产业项目的建设、竣工、投产。</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二、项目效益完成情况</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1、社会效益</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全年累计完成投资91.41亿，完成年计划138.2%；已开工或续建项目27个，开复工率100%；已竣工项目14个；省重点项目1个，年计划8亿，全年累计完成投资14.4亿，完成年计划180%。</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2、经济效益</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积极开展“入规、智造、登高、上市”行动，食品医药产业实现工业总产值400亿元，其中产值10亿元以上企业4家，50亿元以上的企业3家；新材料产业实现工业总产值205亿元；主特产业营业收入占比达70%以上。23家企业通过2021年第一批高新技术企业认定，全年有效高企预计达到87家。预计全年，企业研发投入达14亿元以上，增长15%以上；高新技术产业营业收入占比60%以上。1-11月份，园区发明专利授权量14件（2020全年发明专利授权量只有12件），发明专利年拥有量总数达到132件。</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3、公众满意度</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针对2021年度财政科技支出专项资金绩效自评我们设计了10个问题并随机向园区内企业发放了30份问卷调查表，经统计满意度为97%。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8"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1、预算编制欠精准，资金使用率不高</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多年以来，财政科技支出资金是针对</w:t>
            </w:r>
            <w:r>
              <w:rPr>
                <w:rFonts w:hint="eastAsia" w:ascii="仿宋_GB2312" w:eastAsia="仿宋_GB2312"/>
                <w:szCs w:val="21"/>
              </w:rPr>
              <w:t>园区产业发展进行扶持，预算编制主要按企业入园协议中的约定为基础，产业发展扶持应建立在对信息的充分把握上，而专项的投入和使用应从实际出发，</w:t>
            </w:r>
            <w:r>
              <w:rPr>
                <w:rFonts w:hint="eastAsia" w:ascii="仿宋_GB2312" w:eastAsia="仿宋_GB2312"/>
                <w:szCs w:val="21"/>
                <w:lang w:val="en-US" w:eastAsia="zh-CN"/>
              </w:rPr>
              <w:t>项目实施部门</w:t>
            </w:r>
            <w:r>
              <w:rPr>
                <w:rFonts w:hint="eastAsia" w:ascii="仿宋_GB2312" w:eastAsia="仿宋_GB2312"/>
                <w:szCs w:val="21"/>
              </w:rPr>
              <w:t>缺乏有效衔接，</w:t>
            </w:r>
            <w:r>
              <w:rPr>
                <w:rFonts w:hint="eastAsia" w:ascii="仿宋_GB2312" w:eastAsia="仿宋_GB2312"/>
                <w:szCs w:val="21"/>
                <w:lang w:val="en-US" w:eastAsia="zh-CN"/>
              </w:rPr>
              <w:t>财力不够，</w:t>
            </w:r>
            <w:r>
              <w:rPr>
                <w:rFonts w:hint="eastAsia" w:ascii="仿宋_GB2312" w:eastAsia="仿宋_GB2312"/>
                <w:szCs w:val="21"/>
              </w:rPr>
              <w:t>难以形成合力，降低了资金的利用率。</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2、长效机制不够完善，不利于实施效果持续提升</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财政科技专项对入园企业的发展给予资金扶持，加快形成良性发展的内生动力和活力，但对入园企业的支持还是按照入园协议为主，未制定长期有效的政策，给园区发展质量的提升带来一定制约。</w:t>
            </w:r>
          </w:p>
          <w:p>
            <w:pPr>
              <w:spacing w:line="576" w:lineRule="exact"/>
              <w:ind w:right="880" w:rightChars="419"/>
              <w:rPr>
                <w:rFonts w:ascii="仿宋_GB2312" w:hAnsi="宋体" w:eastAsia="仿宋_GB2312" w:cs="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改进措施</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1、精准立项，精细使用</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让财政科技专项资金高效运转起来，必须精准立项、精细使用。在充分调查扶持企业信息前提下，各部门有效合作，信息共享，真正将财政科技专项资金投入“造血”功能强、发展潜力好的项目上，确保资金使用效益最大化。</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2、制定长效机制，持续提升实施效果</w:t>
            </w:r>
          </w:p>
          <w:p>
            <w:pPr>
              <w:spacing w:line="300" w:lineRule="exact"/>
              <w:ind w:firstLine="200"/>
              <w:rPr>
                <w:rFonts w:ascii="仿宋_GB2312" w:hAnsi="宋体" w:eastAsia="仿宋_GB2312" w:cs="宋体"/>
                <w:szCs w:val="32"/>
              </w:rPr>
            </w:pPr>
            <w:r>
              <w:rPr>
                <w:rFonts w:hint="eastAsia" w:ascii="仿宋_GB2312" w:hAnsi="仿宋" w:eastAsia="仿宋_GB2312"/>
                <w:szCs w:val="21"/>
              </w:rPr>
              <w:t>本项目作为经常性项目应制定长期有效的政策文件，使之不断服务于园区区建设，促进高新技术产业发展，培育和壮大主导产业、骨干企业、科技型企业，以</w:t>
            </w:r>
            <w:r>
              <w:rPr>
                <w:rFonts w:hint="eastAsia" w:ascii="仿宋_GB2312" w:hAnsi="仿宋_GB2312" w:eastAsia="仿宋_GB2312" w:cs="仿宋_GB2312"/>
                <w:bCs/>
                <w:color w:val="000000"/>
                <w:szCs w:val="21"/>
                <w:shd w:val="clear" w:color="auto" w:fill="FFFFFF"/>
              </w:rPr>
              <w:t>提升科技对产业高质量发展的支撑引领作用。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其他需要说明问题</w:t>
            </w:r>
          </w:p>
        </w:tc>
        <w:tc>
          <w:tcPr>
            <w:tcW w:w="5670" w:type="dxa"/>
            <w:vAlign w:val="center"/>
          </w:tcPr>
          <w:p>
            <w:pPr>
              <w:spacing w:line="576" w:lineRule="exact"/>
              <w:ind w:right="880" w:rightChars="419"/>
              <w:jc w:val="center"/>
              <w:rPr>
                <w:rFonts w:ascii="仿宋_GB2312" w:hAnsi="宋体" w:eastAsia="仿宋_GB2312" w:cs="宋体"/>
                <w:szCs w:val="32"/>
              </w:rPr>
            </w:pPr>
            <w:r>
              <w:rPr>
                <w:rFonts w:hint="eastAsia" w:ascii="仿宋_GB2312" w:hAnsi="宋体" w:eastAsia="仿宋_GB2312" w:cs="宋体"/>
                <w:szCs w:val="32"/>
              </w:rPr>
              <w:t>无</w:t>
            </w:r>
          </w:p>
        </w:tc>
      </w:tr>
    </w:tbl>
    <w:p>
      <w:pPr>
        <w:snapToGrid w:val="0"/>
        <w:spacing w:line="540" w:lineRule="exact"/>
        <w:rPr>
          <w:rFonts w:ascii="仿宋_GB2312" w:hAnsi="宋体" w:eastAsia="仿宋_GB2312" w:cs="宋体"/>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zIzYjU2NzNjNjI2YTAxZWEwNTZhYWQwODM4OWUifQ=="/>
  </w:docVars>
  <w:rsids>
    <w:rsidRoot w:val="00637999"/>
    <w:rsid w:val="00180BAC"/>
    <w:rsid w:val="0039109F"/>
    <w:rsid w:val="00426C3E"/>
    <w:rsid w:val="00506AD4"/>
    <w:rsid w:val="005A6361"/>
    <w:rsid w:val="00607C95"/>
    <w:rsid w:val="00637999"/>
    <w:rsid w:val="006E3AB8"/>
    <w:rsid w:val="00815876"/>
    <w:rsid w:val="0093075D"/>
    <w:rsid w:val="00BC5506"/>
    <w:rsid w:val="00C52DAB"/>
    <w:rsid w:val="00CD1377"/>
    <w:rsid w:val="00D6749C"/>
    <w:rsid w:val="1B134BB1"/>
    <w:rsid w:val="28A119BE"/>
    <w:rsid w:val="330F7DA3"/>
    <w:rsid w:val="53A60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2490</Words>
  <Characters>2619</Characters>
  <Lines>19</Lines>
  <Paragraphs>5</Paragraphs>
  <TotalTime>173</TotalTime>
  <ScaleCrop>false</ScaleCrop>
  <LinksUpToDate>false</LinksUpToDate>
  <CharactersWithSpaces>2619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2022-05-18T03:25:00Z</dcterms:created>
  <dc:creator>XYDN</dc:creator>
  <cp:lastModifiedBy>言西早</cp:lastModifiedBy>
  <dcterms:modified xsi:type="dcterms:W3CDTF">2023-09-06T03:19:20Z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5EC251F99C924F8E94E92E1EEF997EB3</vt:lpwstr>
  </property>
</Properties>
</file>