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both"/>
        <w:rPr>
          <w:rFonts w:cs="Times New Roman"/>
          <w:sz w:val="84"/>
          <w:szCs w:val="84"/>
        </w:rPr>
      </w:pPr>
    </w:p>
    <w:p>
      <w:pPr>
        <w:pStyle w:val="11"/>
        <w:jc w:val="center"/>
        <w:rPr>
          <w:rFonts w:hint="eastAsia" w:ascii="宋体" w:hAnsi="宋体" w:eastAsia="宋体" w:cs="Times New Roman"/>
          <w:sz w:val="72"/>
          <w:szCs w:val="72"/>
          <w:lang w:val="en-US" w:eastAsia="zh-CN"/>
        </w:rPr>
      </w:pPr>
      <w:r>
        <w:rPr>
          <w:rFonts w:ascii="宋体" w:hAnsi="宋体" w:eastAsia="宋体" w:cs="宋体"/>
          <w:sz w:val="72"/>
          <w:szCs w:val="72"/>
        </w:rPr>
        <w:t>2021</w:t>
      </w:r>
      <w:r>
        <w:rPr>
          <w:rFonts w:hint="eastAsia" w:ascii="宋体" w:hAnsi="宋体" w:eastAsia="宋体" w:cs="宋体"/>
          <w:sz w:val="72"/>
          <w:szCs w:val="72"/>
        </w:rPr>
        <w:t>年</w:t>
      </w:r>
      <w:r>
        <w:rPr>
          <w:rFonts w:hint="eastAsia" w:ascii="宋体" w:hAnsi="宋体" w:eastAsia="宋体" w:cs="宋体"/>
          <w:sz w:val="72"/>
          <w:szCs w:val="72"/>
          <w:lang w:eastAsia="zh-CN"/>
        </w:rPr>
        <w:t>湘潭县医疗保障局</w:t>
      </w:r>
      <w:r>
        <w:rPr>
          <w:rFonts w:hint="eastAsia" w:ascii="宋体" w:hAnsi="宋体" w:eastAsia="宋体" w:cs="宋体"/>
          <w:sz w:val="72"/>
          <w:szCs w:val="72"/>
        </w:rPr>
        <w:t>部门决算</w:t>
      </w:r>
      <w:r>
        <w:rPr>
          <w:rFonts w:hint="eastAsia" w:ascii="宋体" w:hAnsi="宋体" w:eastAsia="宋体" w:cs="宋体"/>
          <w:sz w:val="72"/>
          <w:szCs w:val="72"/>
          <w:lang w:eastAsia="zh-CN"/>
        </w:rPr>
        <w:t>公开</w:t>
      </w:r>
    </w:p>
    <w:p>
      <w:pPr>
        <w:pStyle w:val="11"/>
        <w:jc w:val="center"/>
        <w:rPr>
          <w:rFonts w:ascii="宋体" w:hAnsi="宋体" w:eastAsia="宋体" w:cs="Times New Roman"/>
          <w:sz w:val="72"/>
          <w:szCs w:val="72"/>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56"/>
          <w:szCs w:val="56"/>
        </w:rPr>
      </w:pPr>
    </w:p>
    <w:p>
      <w:pPr>
        <w:pStyle w:val="11"/>
        <w:spacing w:line="500" w:lineRule="exact"/>
        <w:jc w:val="both"/>
        <w:rPr>
          <w:rFonts w:cs="Times New Roman"/>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pStyle w:val="11"/>
        <w:spacing w:line="500" w:lineRule="exact"/>
        <w:jc w:val="center"/>
        <w:rPr>
          <w:rFonts w:hint="eastAsia"/>
          <w:b/>
          <w:bCs/>
          <w:sz w:val="36"/>
          <w:szCs w:val="36"/>
        </w:rPr>
      </w:pPr>
    </w:p>
    <w:p>
      <w:pPr>
        <w:rPr>
          <w:rFonts w:hint="eastAsia"/>
          <w:b/>
          <w:bCs/>
          <w:sz w:val="36"/>
          <w:szCs w:val="36"/>
        </w:rPr>
      </w:pPr>
      <w:r>
        <w:rPr>
          <w:rFonts w:hint="eastAsia"/>
          <w:b/>
          <w:bCs/>
          <w:sz w:val="36"/>
          <w:szCs w:val="36"/>
        </w:rPr>
        <w:br w:type="page"/>
      </w:r>
    </w:p>
    <w:p>
      <w:pPr>
        <w:pStyle w:val="11"/>
        <w:spacing w:line="500" w:lineRule="exact"/>
        <w:jc w:val="center"/>
        <w:rPr>
          <w:rFonts w:hint="eastAsia"/>
          <w:b/>
          <w:bCs/>
          <w:sz w:val="36"/>
          <w:szCs w:val="36"/>
        </w:rPr>
      </w:pPr>
      <w:r>
        <w:rPr>
          <w:rFonts w:hint="eastAsia"/>
          <w:b/>
          <w:bCs/>
          <w:sz w:val="36"/>
          <w:szCs w:val="36"/>
        </w:rPr>
        <w:t>目录</w:t>
      </w:r>
    </w:p>
    <w:p>
      <w:pPr>
        <w:pStyle w:val="11"/>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湘潭县医疗保障局</w:t>
      </w:r>
      <w:r>
        <w:rPr>
          <w:rFonts w:hint="eastAsia"/>
          <w:b/>
          <w:bCs/>
          <w:sz w:val="28"/>
          <w:szCs w:val="28"/>
        </w:rPr>
        <w:t>概况</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一、部门职责</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二、机构设置</w:t>
      </w:r>
    </w:p>
    <w:p>
      <w:pPr>
        <w:pStyle w:val="11"/>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2021</w:t>
      </w:r>
      <w:r>
        <w:rPr>
          <w:rFonts w:hint="eastAsia" w:hAnsi="仿宋_GB2312"/>
          <w:b/>
          <w:bCs/>
          <w:sz w:val="28"/>
          <w:szCs w:val="28"/>
        </w:rPr>
        <w:t>年度部门决算表</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一、收入支出决算总表</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二、收入决算表</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三、支出决算表</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四、财政拨款收入支出决算总表</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五、一般公共预算财政拨款支出决算表</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六、一般公共预算财政拨款基本支出决算表</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七、一般公共预算财政拨款“三公”经费支出决算表</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八、政府性基金预算财政拨款收入支出决算表</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九、国有资本经营预算财政拨款支出决算表</w:t>
      </w:r>
    </w:p>
    <w:p>
      <w:pPr>
        <w:pStyle w:val="11"/>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2021</w:t>
      </w:r>
      <w:r>
        <w:rPr>
          <w:rFonts w:hint="eastAsia" w:hAnsi="仿宋_GB2312"/>
          <w:b/>
          <w:bCs/>
          <w:sz w:val="28"/>
          <w:szCs w:val="28"/>
        </w:rPr>
        <w:t>年度部门决算情况说明</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一、收入支出决算总体情况说明</w:t>
      </w:r>
    </w:p>
    <w:p>
      <w:pPr>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二、收入决算情况说明</w:t>
      </w:r>
    </w:p>
    <w:p>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三、支出决算情况说明</w:t>
      </w:r>
    </w:p>
    <w:p>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四、财政拨款收入支出决算总体情况说明</w:t>
      </w:r>
    </w:p>
    <w:p>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五、一般公共预算财政拨款支出决算情况说明</w:t>
      </w:r>
    </w:p>
    <w:p>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六、一般公共预算财政拨款基本支出决算情况说明</w:t>
      </w:r>
    </w:p>
    <w:p>
      <w:pPr>
        <w:autoSpaceDE w:val="0"/>
        <w:autoSpaceDN w:val="0"/>
        <w:adjustRightInd w:val="0"/>
        <w:spacing w:line="460" w:lineRule="exact"/>
        <w:ind w:firstLine="760" w:firstLineChars="250"/>
        <w:jc w:val="left"/>
        <w:rPr>
          <w:rFonts w:hint="eastAsia" w:ascii="仿宋_GB2312" w:hAnsi="仿宋_GB2312" w:eastAsia="仿宋_GB2312" w:cs="仿宋_GB2312"/>
          <w:color w:val="auto"/>
          <w:w w:val="95"/>
          <w:kern w:val="0"/>
          <w:sz w:val="32"/>
          <w:szCs w:val="32"/>
          <w:lang w:val="en-US" w:eastAsia="zh-CN" w:bidi="ar-SA"/>
        </w:rPr>
      </w:pPr>
      <w:r>
        <w:rPr>
          <w:rFonts w:hint="eastAsia" w:ascii="仿宋_GB2312" w:hAnsi="仿宋_GB2312" w:eastAsia="仿宋_GB2312" w:cs="仿宋_GB2312"/>
          <w:color w:val="auto"/>
          <w:w w:val="95"/>
          <w:kern w:val="0"/>
          <w:sz w:val="32"/>
          <w:szCs w:val="32"/>
          <w:lang w:val="en-US" w:eastAsia="zh-CN" w:bidi="ar-SA"/>
        </w:rPr>
        <w:t>七、一般公共预算财政拨款三公经费支出决算情况说明</w:t>
      </w:r>
    </w:p>
    <w:p>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八、政府性基金预算收入支出决算情况</w:t>
      </w:r>
    </w:p>
    <w:p>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九、关于机关运行经费支出说明</w:t>
      </w:r>
    </w:p>
    <w:p>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十、一般性支出情况</w:t>
      </w:r>
    </w:p>
    <w:p>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十一、关于政府采购支出说明</w:t>
      </w:r>
    </w:p>
    <w:p>
      <w:pPr>
        <w:pStyle w:val="11"/>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十二、关于国有资产占用情况说明</w:t>
      </w:r>
    </w:p>
    <w:p>
      <w:pPr>
        <w:pStyle w:val="11"/>
        <w:spacing w:line="460" w:lineRule="exact"/>
        <w:ind w:firstLine="800" w:firstLineChars="250"/>
        <w:rPr>
          <w:rFonts w:ascii="仿宋_GB2312" w:hAnsi="仿宋_GB2312" w:eastAsia="宋体" w:cs="Times New Roman"/>
          <w:sz w:val="28"/>
          <w:szCs w:val="28"/>
        </w:rPr>
      </w:pPr>
      <w:r>
        <w:rPr>
          <w:rFonts w:hint="eastAsia" w:ascii="仿宋_GB2312" w:hAnsi="仿宋_GB2312" w:eastAsia="仿宋_GB2312" w:cs="仿宋_GB2312"/>
          <w:color w:val="auto"/>
          <w:kern w:val="0"/>
          <w:sz w:val="32"/>
          <w:szCs w:val="32"/>
          <w:lang w:val="en-US" w:eastAsia="zh-CN" w:bidi="ar-SA"/>
        </w:rPr>
        <w:t>十三、关于2021年度预算绩效情况的说明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hint="eastAsia" w:ascii="宋体" w:hAnsi="宋体" w:eastAsia="宋体" w:cs="宋体"/>
          <w:sz w:val="72"/>
          <w:szCs w:val="72"/>
        </w:rPr>
      </w:pPr>
      <w:r>
        <w:rPr>
          <w:rFonts w:hint="eastAsia" w:ascii="黑体" w:hAnsi="黑体" w:eastAsia="黑体" w:cs="黑体"/>
          <w:b/>
          <w:bCs/>
          <w:color w:val="000000"/>
          <w:kern w:val="0"/>
          <w:sz w:val="28"/>
          <w:szCs w:val="28"/>
        </w:rPr>
        <w:t>第五部分附件</w:t>
      </w:r>
    </w:p>
    <w:p>
      <w:pPr>
        <w:pStyle w:val="11"/>
        <w:jc w:val="center"/>
        <w:rPr>
          <w:rFonts w:ascii="宋体" w:hAnsi="宋体" w:eastAsia="宋体" w:cs="Times New Roman"/>
          <w:sz w:val="52"/>
          <w:szCs w:val="52"/>
        </w:rPr>
      </w:pPr>
      <w:r>
        <w:rPr>
          <w:rFonts w:hint="eastAsia" w:ascii="宋体" w:hAnsi="宋体" w:eastAsia="宋体" w:cs="宋体"/>
          <w:sz w:val="52"/>
          <w:szCs w:val="52"/>
        </w:rPr>
        <w:t>第一部分</w:t>
      </w:r>
    </w:p>
    <w:p>
      <w:pPr>
        <w:pStyle w:val="11"/>
        <w:jc w:val="center"/>
        <w:rPr>
          <w:rFonts w:hint="eastAsia" w:ascii="宋体" w:hAnsi="宋体" w:eastAsia="宋体" w:cs="宋体"/>
          <w:sz w:val="52"/>
          <w:szCs w:val="52"/>
        </w:rPr>
      </w:pPr>
      <w:r>
        <w:rPr>
          <w:rFonts w:hint="eastAsia" w:ascii="宋体" w:hAnsi="宋体" w:eastAsia="宋体" w:cs="宋体"/>
          <w:sz w:val="52"/>
          <w:szCs w:val="52"/>
          <w:lang w:eastAsia="zh-CN"/>
        </w:rPr>
        <w:t>湘潭县医疗保障局</w:t>
      </w:r>
      <w:r>
        <w:rPr>
          <w:rFonts w:hint="eastAsia" w:ascii="宋体" w:hAnsi="宋体" w:eastAsia="宋体" w:cs="宋体"/>
          <w:sz w:val="52"/>
          <w:szCs w:val="52"/>
        </w:rPr>
        <w:t>概况</w:t>
      </w:r>
    </w:p>
    <w:p>
      <w:pPr>
        <w:pStyle w:val="11"/>
        <w:jc w:val="center"/>
        <w:rPr>
          <w:rFonts w:hint="eastAsia" w:ascii="宋体" w:hAnsi="宋体" w:eastAsia="宋体" w:cs="宋体"/>
          <w:sz w:val="52"/>
          <w:szCs w:val="52"/>
          <w:lang w:val="en-US" w:eastAsia="zh-CN"/>
        </w:rPr>
      </w:pPr>
    </w:p>
    <w:p>
      <w:pPr>
        <w:widowControl w:val="0"/>
        <w:numPr>
          <w:ilvl w:val="0"/>
          <w:numId w:val="0"/>
        </w:numPr>
        <w:ind w:firstLine="640" w:firstLineChars="200"/>
        <w:jc w:val="left"/>
        <w:rPr>
          <w:rFonts w:ascii="黑体" w:hAnsi="黑体" w:eastAsia="黑体" w:cs="Times New Roman"/>
          <w:kern w:val="2"/>
          <w:sz w:val="32"/>
          <w:szCs w:val="32"/>
          <w:lang w:val="en-US" w:eastAsia="zh-CN" w:bidi="ar-SA"/>
        </w:rPr>
      </w:pPr>
      <w:r>
        <w:rPr>
          <w:rFonts w:hint="eastAsia" w:ascii="黑体" w:hAnsi="黑体" w:eastAsia="黑体" w:cs="黑体"/>
          <w:kern w:val="2"/>
          <w:sz w:val="32"/>
          <w:szCs w:val="32"/>
          <w:lang w:val="en-US" w:eastAsia="zh-CN" w:bidi="ar-SA"/>
        </w:rPr>
        <w:t>一、部门职责</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（一）贯彻执行国家和省市医疗保险、生育保险、医疗救助等医疗保障法律法规和政策制度，按规定起草全县医疗保险、生育保险、医疗救助等医疗保障规范性文件并组织落实。</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（二）组织实施省市医疗保障基金监督管理办法，监督管理相关医疗保障基金，建立健全医疗保障基金安全防控机制，推进医疗保障基金支付方式改革。</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（三）组织实施省市医疗保障筹资和待遇政策，完善全县动态调整和区域调剂平衡机制，统筹全县城乡医疗保障待遇标准，建立健全与筹资水平相适应的待遇调整机制，组织实施长期护理保险制度改革。</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（四）组织实施全省统一制定的药品、医用耗材、医疗服务项目、医疗服务设施等医保目录和支付标准，落实动态调整机制，组织实施省制定的医保目录准入谈判规则。</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（六）组织实施省市制定的药品、医用耗材的招标采购政策并监督实施，承担药品、医用耗材招标采购平台建设。</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（七）组织实施县定点医药机构协议和支付管理办法，建立健全医疗保障信用评价体系和信息披露制度，监督管理纳入医保范围内的医疗服务行为和医疗费用，依法查处医疗保障领域违法违规行为。</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八）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pPr>
        <w:widowControl/>
        <w:spacing w:line="600" w:lineRule="exact"/>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（九）完成县委、县人民政府交办的其他任务</w:t>
      </w:r>
      <w:r>
        <w:rPr>
          <w:rFonts w:hint="eastAsia" w:ascii="仿宋_GB2312" w:hAnsi="仿宋_GB2312" w:eastAsia="仿宋_GB2312" w:cs="仿宋_GB2312"/>
          <w:kern w:val="0"/>
          <w:sz w:val="32"/>
          <w:szCs w:val="32"/>
          <w:lang w:eastAsia="zh-CN"/>
        </w:rPr>
        <w:t>。</w:t>
      </w:r>
    </w:p>
    <w:p>
      <w:pPr>
        <w:widowControl/>
        <w:spacing w:line="60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widowControl/>
        <w:spacing w:line="600" w:lineRule="exact"/>
        <w:ind w:firstLine="640" w:firstLineChars="200"/>
        <w:rPr>
          <w:rFonts w:hint="default" w:ascii="Times New Roman" w:hAnsi="Times New Roman" w:eastAsia="仿宋_GB2312" w:cs="Times New Roman"/>
          <w:kern w:val="0"/>
          <w:sz w:val="32"/>
          <w:szCs w:val="32"/>
          <w:lang w:eastAsia="zh-CN"/>
        </w:rPr>
      </w:pPr>
      <w:r>
        <w:rPr>
          <w:rFonts w:hint="eastAsia" w:ascii="仿宋_GB2312" w:hAnsi="仿宋_GB2312" w:eastAsia="仿宋_GB2312" w:cs="仿宋_GB2312"/>
          <w:kern w:val="0"/>
          <w:sz w:val="32"/>
          <w:szCs w:val="32"/>
        </w:rPr>
        <w:t>（一）内设机构设置。</w:t>
      </w:r>
      <w:r>
        <w:rPr>
          <w:rFonts w:hint="eastAsia" w:ascii="仿宋_GB2312" w:hAnsi="仿宋_GB2312" w:eastAsia="仿宋_GB2312" w:cs="仿宋_GB2312"/>
          <w:kern w:val="0"/>
          <w:sz w:val="32"/>
          <w:szCs w:val="32"/>
          <w:lang w:eastAsia="zh-CN"/>
        </w:rPr>
        <w:t>湘潭县医疗保障局内设机构包括：办公室、规划财务和法规股、待遇保障和医药服务管理股、医药价格和招标采购股、基金监管股等</w:t>
      </w:r>
      <w:r>
        <w:rPr>
          <w:rFonts w:hint="default" w:ascii="仿宋_GB2312" w:hAnsi="仿宋_GB2312" w:eastAsia="仿宋_GB2312" w:cs="仿宋_GB2312"/>
          <w:kern w:val="0"/>
          <w:sz w:val="32"/>
          <w:szCs w:val="32"/>
          <w:lang w:val="en-US" w:eastAsia="zh-CN"/>
        </w:rPr>
        <w:t>5</w:t>
      </w:r>
      <w:r>
        <w:rPr>
          <w:rFonts w:hint="default" w:ascii="Times New Roman" w:hAnsi="Times New Roman" w:eastAsia="仿宋_GB2312" w:cs="Times New Roman"/>
          <w:kern w:val="0"/>
          <w:sz w:val="32"/>
          <w:szCs w:val="32"/>
          <w:lang w:val="en-US" w:eastAsia="zh-CN"/>
        </w:rPr>
        <w:t>个职能股室，下辖二级机构医疗保障事务中心</w:t>
      </w:r>
      <w:r>
        <w:rPr>
          <w:rFonts w:hint="default" w:ascii="Times New Roman" w:hAnsi="Times New Roman" w:eastAsia="仿宋_GB2312" w:cs="Times New Roman"/>
          <w:kern w:val="0"/>
          <w:sz w:val="32"/>
          <w:szCs w:val="32"/>
          <w:lang w:eastAsia="zh-CN"/>
        </w:rPr>
        <w:t>。</w:t>
      </w:r>
    </w:p>
    <w:p>
      <w:pPr>
        <w:ind w:firstLine="640" w:firstLineChars="200"/>
        <w:jc w:val="left"/>
        <w:rPr>
          <w:rFonts w:hint="default" w:cs="Times New Roman"/>
          <w:sz w:val="72"/>
          <w:szCs w:val="72"/>
          <w:lang w:val="en-US"/>
        </w:rPr>
      </w:pPr>
      <w:r>
        <w:rPr>
          <w:rFonts w:hint="default" w:ascii="Times New Roman" w:hAnsi="Times New Roman" w:eastAsia="仿宋_GB2312" w:cs="Times New Roman"/>
          <w:kern w:val="0"/>
          <w:sz w:val="32"/>
          <w:szCs w:val="32"/>
        </w:rPr>
        <w:t>（二）决算单位构成。</w:t>
      </w:r>
      <w:r>
        <w:rPr>
          <w:rFonts w:hint="default" w:ascii="Times New Roman" w:hAnsi="Times New Roman" w:eastAsia="仿宋_GB2312" w:cs="Times New Roman"/>
          <w:kern w:val="0"/>
          <w:sz w:val="32"/>
          <w:szCs w:val="32"/>
          <w:lang w:eastAsia="zh-CN"/>
        </w:rPr>
        <w:t>湘潭县医疗保障局</w:t>
      </w:r>
      <w:r>
        <w:rPr>
          <w:rFonts w:hint="default" w:ascii="仿宋_GB2312" w:hAnsi="仿宋_GB2312" w:eastAsia="仿宋_GB2312" w:cs="仿宋_GB2312"/>
          <w:kern w:val="0"/>
          <w:sz w:val="32"/>
          <w:szCs w:val="32"/>
          <w:lang w:eastAsia="zh-CN"/>
        </w:rPr>
        <w:t>202</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年部门决算汇总公开单位构成包括：</w:t>
      </w:r>
      <w:r>
        <w:rPr>
          <w:rFonts w:hint="eastAsia" w:ascii="仿宋_GB2312" w:hAnsi="仿宋_GB2312" w:eastAsia="仿宋_GB2312" w:cs="仿宋_GB2312"/>
          <w:kern w:val="0"/>
          <w:sz w:val="32"/>
          <w:szCs w:val="32"/>
          <w:lang w:eastAsia="zh-CN"/>
        </w:rPr>
        <w:t>湘潭县医疗保障局</w:t>
      </w:r>
      <w:r>
        <w:rPr>
          <w:rFonts w:hint="eastAsia" w:eastAsia="仿宋_GB2312"/>
          <w:sz w:val="32"/>
          <w:szCs w:val="32"/>
          <w:lang w:val="en-US" w:eastAsia="zh-CN"/>
        </w:rPr>
        <w:t>部门决算只有本级，没有其他单位，因此</w:t>
      </w:r>
      <w:r>
        <w:rPr>
          <w:rFonts w:hint="eastAsia" w:eastAsia="仿宋_GB2312"/>
          <w:bCs/>
          <w:kern w:val="0"/>
          <w:sz w:val="32"/>
          <w:szCs w:val="32"/>
          <w:lang w:val="en-US" w:eastAsia="zh-CN"/>
        </w:rPr>
        <w:t>本部门决算仅含</w:t>
      </w:r>
      <w:r>
        <w:rPr>
          <w:rFonts w:eastAsia="仿宋_GB2312"/>
          <w:bCs/>
          <w:kern w:val="0"/>
          <w:sz w:val="32"/>
          <w:szCs w:val="32"/>
        </w:rPr>
        <w:t>本级</w:t>
      </w:r>
      <w:r>
        <w:rPr>
          <w:rFonts w:hint="eastAsia" w:eastAsia="仿宋_GB2312"/>
          <w:bCs/>
          <w:kern w:val="0"/>
          <w:sz w:val="32"/>
          <w:szCs w:val="32"/>
          <w:lang w:val="en-US" w:eastAsia="zh-CN"/>
        </w:rPr>
        <w:t>决算</w:t>
      </w:r>
      <w:r>
        <w:rPr>
          <w:rFonts w:hint="default" w:ascii="Times New Roman" w:hAnsi="Times New Roman" w:eastAsia="仿宋_GB2312" w:cs="Times New Roman"/>
          <w:kern w:val="0"/>
          <w:sz w:val="32"/>
          <w:szCs w:val="32"/>
          <w:lang w:eastAsia="zh-CN"/>
        </w:rPr>
        <w:t>。</w:t>
      </w:r>
    </w:p>
    <w:p>
      <w:pPr>
        <w:jc w:val="left"/>
        <w:rPr>
          <w:rFonts w:ascii="仿宋_GB2312" w:hAnsi="宋体" w:eastAsia="仿宋_GB2312" w:cs="Times New Roman"/>
          <w:sz w:val="28"/>
          <w:szCs w:val="28"/>
        </w:rPr>
      </w:pP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hint="eastAsia" w:ascii="黑体" w:hAnsi="黑体" w:eastAsia="黑体" w:cs="Times New Roman"/>
          <w:sz w:val="28"/>
          <w:szCs w:val="28"/>
          <w:lang w:val="en-US" w:eastAsia="zh-CN"/>
        </w:rPr>
      </w:pPr>
    </w:p>
    <w:p>
      <w:pPr>
        <w:jc w:val="both"/>
        <w:rPr>
          <w:rFonts w:hint="eastAsia" w:ascii="黑体" w:hAnsi="黑体" w:eastAsia="黑体" w:cs="Times New Roman"/>
          <w:sz w:val="28"/>
          <w:szCs w:val="28"/>
          <w:lang w:val="en-US" w:eastAsia="zh-CN"/>
        </w:rPr>
      </w:pPr>
    </w:p>
    <w:p>
      <w:pPr>
        <w:jc w:val="center"/>
        <w:rPr>
          <w:rFonts w:hint="eastAsia" w:ascii="黑体" w:hAnsi="黑体" w:eastAsia="黑体" w:cs="Times New Roman"/>
          <w:sz w:val="28"/>
          <w:szCs w:val="28"/>
          <w:lang w:val="en-US" w:eastAsia="zh-CN"/>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r>
        <w:rPr>
          <w:rFonts w:hint="eastAsia" w:cs="宋体"/>
          <w:sz w:val="72"/>
          <w:szCs w:val="72"/>
        </w:rPr>
        <w:t>部</w:t>
      </w:r>
      <w:r>
        <w:rPr>
          <w:rFonts w:hint="eastAsia" w:cs="宋体"/>
          <w:sz w:val="72"/>
          <w:szCs w:val="72"/>
          <w:lang w:val="en-US" w:eastAsia="zh-CN"/>
        </w:rPr>
        <w:t xml:space="preserve"> </w:t>
      </w:r>
      <w:r>
        <w:rPr>
          <w:rFonts w:hint="eastAsia" w:cs="宋体"/>
          <w:sz w:val="72"/>
          <w:szCs w:val="72"/>
        </w:rPr>
        <w:t>门</w:t>
      </w:r>
      <w:r>
        <w:rPr>
          <w:rFonts w:hint="eastAsia" w:cs="宋体"/>
          <w:sz w:val="72"/>
          <w:szCs w:val="72"/>
          <w:lang w:val="en-US" w:eastAsia="zh-CN"/>
        </w:rPr>
        <w:t xml:space="preserve"> </w:t>
      </w:r>
      <w:r>
        <w:rPr>
          <w:rFonts w:hint="eastAsia" w:cs="宋体"/>
          <w:sz w:val="72"/>
          <w:szCs w:val="72"/>
        </w:rPr>
        <w:t>决</w:t>
      </w:r>
      <w:r>
        <w:rPr>
          <w:rFonts w:hint="eastAsia" w:cs="宋体"/>
          <w:sz w:val="72"/>
          <w:szCs w:val="72"/>
          <w:lang w:val="en-US" w:eastAsia="zh-CN"/>
        </w:rPr>
        <w:t xml:space="preserve"> </w:t>
      </w:r>
      <w:r>
        <w:rPr>
          <w:rFonts w:hint="eastAsia" w:cs="宋体"/>
          <w:sz w:val="72"/>
          <w:szCs w:val="72"/>
        </w:rPr>
        <w:t>算</w:t>
      </w:r>
      <w:r>
        <w:rPr>
          <w:rFonts w:hint="eastAsia" w:cs="宋体"/>
          <w:sz w:val="72"/>
          <w:szCs w:val="72"/>
          <w:lang w:val="en-US" w:eastAsia="zh-CN"/>
        </w:rPr>
        <w:t xml:space="preserve"> </w:t>
      </w:r>
      <w:r>
        <w:rPr>
          <w:rFonts w:hint="eastAsia" w:cs="宋体"/>
          <w:sz w:val="72"/>
          <w:szCs w:val="72"/>
        </w:rPr>
        <w:t>表</w:t>
      </w: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spacing w:line="560" w:lineRule="exact"/>
        <w:jc w:val="both"/>
        <w:rPr>
          <w:rFonts w:cs="Times New Roman"/>
          <w:sz w:val="72"/>
          <w:szCs w:val="72"/>
        </w:rPr>
      </w:pPr>
    </w:p>
    <w:p>
      <w:pPr>
        <w:spacing w:line="560" w:lineRule="exact"/>
        <w:jc w:val="center"/>
        <w:rPr>
          <w:rFonts w:cs="Times New Roman"/>
          <w:sz w:val="72"/>
          <w:szCs w:val="72"/>
        </w:rPr>
        <w:sectPr>
          <w:pgSz w:w="11906" w:h="16838"/>
          <w:pgMar w:top="1440" w:right="1797" w:bottom="1440" w:left="1797" w:header="851" w:footer="992" w:gutter="0"/>
          <w:cols w:space="0" w:num="1"/>
          <w:docGrid w:type="lines" w:linePitch="312" w:charSpace="0"/>
        </w:sectPr>
      </w:pPr>
    </w:p>
    <w:p>
      <w:pPr>
        <w:spacing w:line="560" w:lineRule="exact"/>
        <w:jc w:val="center"/>
        <w:rPr>
          <w:rFonts w:hint="eastAsia" w:ascii="宋体" w:hAnsi="宋体" w:eastAsia="宋体" w:cs="宋体"/>
          <w:i w:val="0"/>
          <w:iCs w:val="0"/>
          <w:color w:val="000000"/>
          <w:kern w:val="0"/>
          <w:sz w:val="30"/>
          <w:szCs w:val="30"/>
          <w:u w:val="none"/>
          <w:lang w:val="en-US" w:eastAsia="zh-CN" w:bidi="ar"/>
        </w:rPr>
      </w:pPr>
      <w:r>
        <w:rPr>
          <w:rFonts w:hint="eastAsia" w:ascii="宋体" w:hAnsi="宋体" w:eastAsia="宋体" w:cs="宋体"/>
          <w:i w:val="0"/>
          <w:iCs w:val="0"/>
          <w:color w:val="000000"/>
          <w:kern w:val="0"/>
          <w:sz w:val="30"/>
          <w:szCs w:val="30"/>
          <w:u w:val="none"/>
          <w:lang w:val="en-US" w:eastAsia="zh-CN" w:bidi="ar"/>
        </w:rPr>
        <w:t>收入支出决算总表</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宋体" w:hAnsi="宋体" w:eastAsia="宋体" w:cs="宋体"/>
          <w:i w:val="0"/>
          <w:iCs w:val="0"/>
          <w:color w:val="000000"/>
          <w:kern w:val="0"/>
          <w:sz w:val="30"/>
          <w:szCs w:val="30"/>
          <w:u w:val="none"/>
          <w:lang w:val="en-US" w:eastAsia="zh-CN" w:bidi="ar"/>
        </w:rPr>
      </w:pPr>
      <w:r>
        <w:rPr>
          <w:rFonts w:hint="eastAsia" w:ascii="宋体" w:hAnsi="宋体" w:eastAsia="宋体" w:cs="宋体"/>
          <w:i w:val="0"/>
          <w:iCs w:val="0"/>
          <w:color w:val="000000"/>
          <w:kern w:val="0"/>
          <w:sz w:val="20"/>
          <w:szCs w:val="20"/>
          <w:u w:val="none"/>
          <w:lang w:val="en-US" w:eastAsia="zh-CN" w:bidi="ar"/>
        </w:rPr>
        <w:t>公开01表</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cs="Times New Roman"/>
          <w:sz w:val="72"/>
          <w:szCs w:val="72"/>
        </w:rPr>
      </w:pPr>
      <w:r>
        <w:rPr>
          <w:rFonts w:hint="eastAsia" w:ascii="宋体" w:hAnsi="宋体" w:eastAsia="宋体" w:cs="宋体"/>
          <w:i w:val="0"/>
          <w:iCs w:val="0"/>
          <w:color w:val="000000"/>
          <w:kern w:val="0"/>
          <w:sz w:val="20"/>
          <w:szCs w:val="20"/>
          <w:u w:val="none"/>
          <w:lang w:val="en-US" w:eastAsia="zh-CN" w:bidi="ar"/>
        </w:rPr>
        <w:t>部门：湘潭县医疗保障局</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金额单位：万元</w:t>
      </w:r>
    </w:p>
    <w:tbl>
      <w:tblPr>
        <w:tblStyle w:val="6"/>
        <w:tblW w:w="5000" w:type="pct"/>
        <w:tblInd w:w="0" w:type="dxa"/>
        <w:shd w:val="clear" w:color="auto" w:fill="auto"/>
        <w:tblLayout w:type="autofit"/>
        <w:tblCellMar>
          <w:top w:w="0" w:type="dxa"/>
          <w:left w:w="108" w:type="dxa"/>
          <w:bottom w:w="0" w:type="dxa"/>
          <w:right w:w="108" w:type="dxa"/>
        </w:tblCellMar>
      </w:tblPr>
      <w:tblGrid>
        <w:gridCol w:w="4691"/>
        <w:gridCol w:w="819"/>
        <w:gridCol w:w="1381"/>
        <w:gridCol w:w="4417"/>
        <w:gridCol w:w="819"/>
        <w:gridCol w:w="2047"/>
      </w:tblGrid>
      <w:tr>
        <w:tblPrEx>
          <w:shd w:val="clear" w:color="auto" w:fill="auto"/>
          <w:tblCellMar>
            <w:top w:w="0" w:type="dxa"/>
            <w:left w:w="108" w:type="dxa"/>
            <w:bottom w:w="0" w:type="dxa"/>
            <w:right w:w="108" w:type="dxa"/>
          </w:tblCellMar>
        </w:tblPrEx>
        <w:trPr>
          <w:trHeight w:val="306" w:hRule="atLeast"/>
          <w:tblHeader/>
        </w:trPr>
        <w:tc>
          <w:tcPr>
            <w:tcW w:w="2431"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w:t>
            </w:r>
          </w:p>
        </w:tc>
        <w:tc>
          <w:tcPr>
            <w:tcW w:w="2568" w:type="pct"/>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w:t>
            </w:r>
          </w:p>
        </w:tc>
      </w:tr>
      <w:tr>
        <w:tblPrEx>
          <w:tblCellMar>
            <w:top w:w="0" w:type="dxa"/>
            <w:left w:w="108" w:type="dxa"/>
            <w:bottom w:w="0" w:type="dxa"/>
            <w:right w:w="108" w:type="dxa"/>
          </w:tblCellMar>
        </w:tblPrEx>
        <w:trPr>
          <w:trHeight w:val="306" w:hRule="atLeast"/>
          <w:tblHeader/>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行次</w:t>
            </w:r>
          </w:p>
        </w:tc>
        <w:tc>
          <w:tcPr>
            <w:tcW w:w="48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行次</w:t>
            </w:r>
          </w:p>
        </w:tc>
        <w:tc>
          <w:tcPr>
            <w:tcW w:w="71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栏次</w:t>
            </w:r>
          </w:p>
        </w:tc>
        <w:tc>
          <w:tcPr>
            <w:tcW w:w="289"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8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栏次</w:t>
            </w:r>
          </w:p>
        </w:tc>
        <w:tc>
          <w:tcPr>
            <w:tcW w:w="289"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71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7372.22</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210.29</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1065.57</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6446.28</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0"/>
                <w:szCs w:val="20"/>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7582.51</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7554.57</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229.62</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257.56</w:t>
            </w: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8"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719"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655"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289" w:type="pct"/>
            <w:tcBorders>
              <w:top w:val="nil"/>
              <w:left w:val="nil"/>
              <w:bottom w:val="single" w:color="000000" w:sz="8"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7812.13</w:t>
            </w:r>
          </w:p>
        </w:tc>
        <w:tc>
          <w:tcPr>
            <w:tcW w:w="15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28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7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7812.13</w:t>
            </w:r>
          </w:p>
        </w:tc>
      </w:tr>
      <w:tr>
        <w:tblPrEx>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注：</w:t>
            </w: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本表反映部门本年度的总收支和年末结转结余情况。</w:t>
            </w:r>
          </w:p>
          <w:p>
            <w:pPr>
              <w:keepNext w:val="0"/>
              <w:keepLines w:val="0"/>
              <w:widowControl/>
              <w:suppressLineNumbers w:val="0"/>
              <w:ind w:firstLine="400" w:firstLineChars="20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本套报表金额单位转换时可能存在尾数误差。</w:t>
            </w:r>
          </w:p>
        </w:tc>
      </w:tr>
    </w:tbl>
    <w:p>
      <w:pPr>
        <w:spacing w:line="560" w:lineRule="exact"/>
        <w:jc w:val="center"/>
        <w:rPr>
          <w:rFonts w:cs="Times New Roman"/>
          <w:sz w:val="72"/>
          <w:szCs w:val="72"/>
        </w:rPr>
      </w:pPr>
    </w:p>
    <w:p>
      <w:pPr>
        <w:jc w:val="left"/>
        <w:rPr>
          <w:rFonts w:ascii="宋体" w:cs="Times New Roman"/>
          <w:sz w:val="32"/>
          <w:szCs w:val="32"/>
        </w:rPr>
      </w:pPr>
    </w:p>
    <w:p>
      <w:pPr>
        <w:spacing w:line="560" w:lineRule="exact"/>
        <w:jc w:val="center"/>
        <w:rPr>
          <w:rFonts w:hint="eastAsia" w:ascii="宋体" w:hAnsi="宋体" w:eastAsia="宋体" w:cs="宋体"/>
          <w:i w:val="0"/>
          <w:iCs w:val="0"/>
          <w:color w:val="000000"/>
          <w:kern w:val="0"/>
          <w:sz w:val="30"/>
          <w:szCs w:val="30"/>
          <w:u w:val="none"/>
          <w:lang w:val="en-US" w:eastAsia="zh-CN" w:bidi="ar"/>
        </w:rPr>
      </w:pPr>
    </w:p>
    <w:p>
      <w:pPr>
        <w:spacing w:line="560" w:lineRule="exact"/>
        <w:jc w:val="center"/>
        <w:rPr>
          <w:rFonts w:hint="eastAsia" w:ascii="宋体" w:hAnsi="宋体" w:eastAsia="宋体" w:cs="宋体"/>
          <w:i w:val="0"/>
          <w:iCs w:val="0"/>
          <w:color w:val="000000"/>
          <w:kern w:val="0"/>
          <w:sz w:val="30"/>
          <w:szCs w:val="30"/>
          <w:u w:val="none"/>
          <w:lang w:val="en-US" w:eastAsia="zh-CN" w:bidi="ar"/>
        </w:rPr>
      </w:pPr>
    </w:p>
    <w:p>
      <w:pPr>
        <w:spacing w:line="560" w:lineRule="exact"/>
        <w:jc w:val="center"/>
        <w:rPr>
          <w:rFonts w:hint="eastAsia" w:ascii="宋体" w:hAnsi="宋体" w:eastAsia="宋体" w:cs="宋体"/>
          <w:i w:val="0"/>
          <w:iCs w:val="0"/>
          <w:color w:val="000000"/>
          <w:kern w:val="0"/>
          <w:sz w:val="30"/>
          <w:szCs w:val="30"/>
          <w:u w:val="none"/>
          <w:lang w:val="en-US" w:eastAsia="zh-CN" w:bidi="ar"/>
        </w:rPr>
      </w:pPr>
    </w:p>
    <w:p>
      <w:pPr>
        <w:spacing w:line="560" w:lineRule="exact"/>
        <w:jc w:val="center"/>
        <w:rPr>
          <w:rFonts w:cs="Times New Roman"/>
          <w:sz w:val="72"/>
          <w:szCs w:val="72"/>
        </w:rPr>
      </w:pPr>
      <w:r>
        <w:rPr>
          <w:rFonts w:hint="eastAsia" w:ascii="宋体" w:hAnsi="宋体" w:eastAsia="宋体" w:cs="宋体"/>
          <w:i w:val="0"/>
          <w:iCs w:val="0"/>
          <w:color w:val="000000"/>
          <w:kern w:val="0"/>
          <w:sz w:val="30"/>
          <w:szCs w:val="30"/>
          <w:u w:val="none"/>
          <w:lang w:val="en-US" w:eastAsia="zh-CN" w:bidi="ar"/>
        </w:rPr>
        <w:t>收入决算表</w:t>
      </w:r>
    </w:p>
    <w:p>
      <w:pPr>
        <w:jc w:val="right"/>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公开0</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表</w:t>
      </w:r>
    </w:p>
    <w:p>
      <w:pPr>
        <w:ind w:firstLine="400" w:firstLineChars="200"/>
        <w:jc w:val="left"/>
        <w:rPr>
          <w:rFonts w:hint="eastAsia" w:ascii="宋体" w:hAnsi="宋体" w:eastAsia="宋体" w:cs="宋体"/>
          <w:i w:val="0"/>
          <w:iCs w:val="0"/>
          <w:color w:val="000000"/>
          <w:kern w:val="0"/>
          <w:sz w:val="30"/>
          <w:szCs w:val="30"/>
          <w:u w:val="none"/>
          <w:lang w:val="en-US" w:eastAsia="zh-CN" w:bidi="ar"/>
        </w:rPr>
      </w:pPr>
      <w:r>
        <w:rPr>
          <w:rFonts w:hint="eastAsia" w:ascii="宋体" w:hAnsi="宋体" w:eastAsia="宋体" w:cs="宋体"/>
          <w:i w:val="0"/>
          <w:iCs w:val="0"/>
          <w:color w:val="000000"/>
          <w:kern w:val="0"/>
          <w:sz w:val="20"/>
          <w:szCs w:val="20"/>
          <w:u w:val="none"/>
          <w:lang w:val="en-US" w:eastAsia="zh-CN" w:bidi="ar"/>
        </w:rPr>
        <w:t>部门：湘潭县医疗保障局</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金额单位：万元</w:t>
      </w:r>
    </w:p>
    <w:tbl>
      <w:tblPr>
        <w:tblStyle w:val="6"/>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10"/>
        <w:gridCol w:w="3210"/>
        <w:gridCol w:w="1515"/>
        <w:gridCol w:w="1575"/>
        <w:gridCol w:w="1485"/>
        <w:gridCol w:w="1125"/>
        <w:gridCol w:w="930"/>
        <w:gridCol w:w="1486"/>
        <w:gridCol w:w="11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blHeader/>
        </w:trPr>
        <w:tc>
          <w:tcPr>
            <w:tcW w:w="1736" w:type="pct"/>
            <w:gridSpan w:val="2"/>
            <w:tcBorders>
              <w:top w:val="single" w:color="000000" w:sz="8" w:space="0"/>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项  目</w:t>
            </w:r>
          </w:p>
        </w:tc>
        <w:tc>
          <w:tcPr>
            <w:tcW w:w="534" w:type="pct"/>
            <w:vMerge w:val="restart"/>
            <w:tcBorders>
              <w:top w:val="single" w:color="000000" w:sz="8" w:space="0"/>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本年收入合计</w:t>
            </w:r>
          </w:p>
        </w:tc>
        <w:tc>
          <w:tcPr>
            <w:tcW w:w="555" w:type="pct"/>
            <w:vMerge w:val="restart"/>
            <w:tcBorders>
              <w:top w:val="single" w:color="000000" w:sz="8" w:space="0"/>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财政拨款收入</w:t>
            </w:r>
          </w:p>
        </w:tc>
        <w:tc>
          <w:tcPr>
            <w:tcW w:w="524" w:type="pct"/>
            <w:vMerge w:val="restart"/>
            <w:tcBorders>
              <w:top w:val="single" w:color="000000" w:sz="8" w:space="0"/>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上级补助收入</w:t>
            </w:r>
          </w:p>
        </w:tc>
        <w:tc>
          <w:tcPr>
            <w:tcW w:w="397" w:type="pct"/>
            <w:vMerge w:val="restart"/>
            <w:tcBorders>
              <w:top w:val="single" w:color="000000" w:sz="8" w:space="0"/>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事业收入</w:t>
            </w:r>
          </w:p>
        </w:tc>
        <w:tc>
          <w:tcPr>
            <w:tcW w:w="328" w:type="pct"/>
            <w:vMerge w:val="restart"/>
            <w:tcBorders>
              <w:top w:val="single" w:color="000000" w:sz="8" w:space="0"/>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经营收入</w:t>
            </w:r>
          </w:p>
        </w:tc>
        <w:tc>
          <w:tcPr>
            <w:tcW w:w="524" w:type="pct"/>
            <w:vMerge w:val="restart"/>
            <w:tcBorders>
              <w:top w:val="single" w:color="000000" w:sz="8" w:space="0"/>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附属单位上缴收入</w:t>
            </w:r>
          </w:p>
        </w:tc>
        <w:tc>
          <w:tcPr>
            <w:tcW w:w="398" w:type="pct"/>
            <w:vMerge w:val="restart"/>
            <w:tcBorders>
              <w:top w:val="single" w:color="000000" w:sz="8" w:space="0"/>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blHeader/>
        </w:trPr>
        <w:tc>
          <w:tcPr>
            <w:tcW w:w="603" w:type="pct"/>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功能分类科目编码</w:t>
            </w:r>
          </w:p>
        </w:tc>
        <w:tc>
          <w:tcPr>
            <w:tcW w:w="1133" w:type="pct"/>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科目名称</w:t>
            </w:r>
          </w:p>
        </w:tc>
        <w:tc>
          <w:tcPr>
            <w:tcW w:w="534" w:type="pct"/>
            <w:vMerge w:val="continue"/>
            <w:tcBorders>
              <w:top w:val="single" w:color="000000" w:sz="8" w:space="0"/>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sz w:val="24"/>
                <w:szCs w:val="24"/>
                <w:u w:val="none"/>
              </w:rPr>
            </w:pPr>
          </w:p>
        </w:tc>
        <w:tc>
          <w:tcPr>
            <w:tcW w:w="555" w:type="pct"/>
            <w:vMerge w:val="continue"/>
            <w:tcBorders>
              <w:top w:val="single" w:color="000000" w:sz="8" w:space="0"/>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sz w:val="24"/>
                <w:szCs w:val="24"/>
                <w:u w:val="none"/>
              </w:rPr>
            </w:pPr>
          </w:p>
        </w:tc>
        <w:tc>
          <w:tcPr>
            <w:tcW w:w="524" w:type="pct"/>
            <w:vMerge w:val="continue"/>
            <w:tcBorders>
              <w:top w:val="single" w:color="000000" w:sz="8" w:space="0"/>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sz w:val="24"/>
                <w:szCs w:val="24"/>
                <w:u w:val="none"/>
              </w:rPr>
            </w:pPr>
          </w:p>
        </w:tc>
        <w:tc>
          <w:tcPr>
            <w:tcW w:w="397" w:type="pct"/>
            <w:vMerge w:val="continue"/>
            <w:tcBorders>
              <w:top w:val="single" w:color="000000" w:sz="8" w:space="0"/>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sz w:val="24"/>
                <w:szCs w:val="24"/>
                <w:u w:val="none"/>
              </w:rPr>
            </w:pPr>
          </w:p>
        </w:tc>
        <w:tc>
          <w:tcPr>
            <w:tcW w:w="328" w:type="pct"/>
            <w:vMerge w:val="continue"/>
            <w:tcBorders>
              <w:top w:val="single" w:color="000000" w:sz="8" w:space="0"/>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sz w:val="24"/>
                <w:szCs w:val="24"/>
                <w:u w:val="none"/>
              </w:rPr>
            </w:pPr>
          </w:p>
        </w:tc>
        <w:tc>
          <w:tcPr>
            <w:tcW w:w="524" w:type="pct"/>
            <w:vMerge w:val="continue"/>
            <w:tcBorders>
              <w:top w:val="single" w:color="000000" w:sz="8" w:space="0"/>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sz w:val="24"/>
                <w:szCs w:val="24"/>
                <w:u w:val="none"/>
              </w:rPr>
            </w:pPr>
          </w:p>
        </w:tc>
        <w:tc>
          <w:tcPr>
            <w:tcW w:w="398" w:type="pct"/>
            <w:vMerge w:val="continue"/>
            <w:tcBorders>
              <w:top w:val="single" w:color="000000" w:sz="8" w:space="0"/>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blHeader/>
        </w:trPr>
        <w:tc>
          <w:tcPr>
            <w:tcW w:w="1736" w:type="pct"/>
            <w:gridSpan w:val="2"/>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栏次</w:t>
            </w:r>
          </w:p>
        </w:tc>
        <w:tc>
          <w:tcPr>
            <w:tcW w:w="534" w:type="pc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55" w:type="pc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4" w:type="pc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97" w:type="pc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8" w:type="pc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4" w:type="pc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98" w:type="pc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36" w:type="pct"/>
            <w:gridSpan w:val="2"/>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5"/>
                <w:lang w:val="en-US" w:eastAsia="zh-CN" w:bidi="ar"/>
              </w:rPr>
              <w:t>合计</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7582.51</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7372.22</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一般公共服务支出</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42.72</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42.72</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政府办公厅（室）及相关机构事务</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42.72</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42.72</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行政运行</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42.72</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42.72</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社会保障和就业支出</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1093.51</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883.22</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人力资源和社会保障管理事务</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681.95</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471.66</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行政运行</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645.29</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435</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一般行政管理事务</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5.82</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5.82</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2080107</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社会保险业务管理事务</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30.84</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30.84</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财政对其他社会保险基金的补助</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411.56</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411.56</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2082799</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其他财政对社会保险基金的补助</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411.56</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411.56</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卫生健康支出</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6446.28</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6446.28</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财政对基本医疗保险基金的补助</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6318.6</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6318.6</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财政对城乡居民基本医疗保险基金的补助</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5104</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5104</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2101299</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财政对其他基本医疗保险基金的补助</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1214.6</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1214.6</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医疗救助</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城乡医疗救助</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医疗保障管理事务</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126.69</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126.69</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3"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2101599</w:t>
            </w:r>
          </w:p>
        </w:tc>
        <w:tc>
          <w:tcPr>
            <w:tcW w:w="1133"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6"/>
                <w:lang w:val="en-US" w:eastAsia="zh-CN" w:bidi="ar"/>
              </w:rPr>
              <w:t>其他医疗保障管理事务支出</w:t>
            </w:r>
          </w:p>
        </w:tc>
        <w:tc>
          <w:tcPr>
            <w:tcW w:w="53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126.69</w:t>
            </w:r>
          </w:p>
        </w:tc>
        <w:tc>
          <w:tcPr>
            <w:tcW w:w="555"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126.69</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2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24"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9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bl>
    <w:p>
      <w:pPr>
        <w:spacing w:line="560" w:lineRule="exact"/>
        <w:jc w:val="both"/>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 xml:space="preserve">    注：本表反映部门本年度取得的各项收入情况。                                                                                      </w:t>
      </w:r>
    </w:p>
    <w:p>
      <w:pPr>
        <w:spacing w:line="560" w:lineRule="exact"/>
        <w:jc w:val="both"/>
        <w:rPr>
          <w:rFonts w:hint="eastAsia" w:ascii="宋体" w:hAnsi="宋体" w:cs="宋体"/>
          <w:i w:val="0"/>
          <w:iCs w:val="0"/>
          <w:color w:val="000000"/>
          <w:kern w:val="0"/>
          <w:sz w:val="20"/>
          <w:szCs w:val="20"/>
          <w:u w:val="none"/>
          <w:lang w:val="en-US" w:eastAsia="zh-CN" w:bidi="ar"/>
        </w:rPr>
      </w:pPr>
    </w:p>
    <w:p>
      <w:pPr>
        <w:spacing w:line="560" w:lineRule="exact"/>
        <w:jc w:val="both"/>
        <w:rPr>
          <w:rFonts w:hint="eastAsia" w:ascii="宋体" w:hAnsi="宋体" w:cs="宋体"/>
          <w:i w:val="0"/>
          <w:iCs w:val="0"/>
          <w:color w:val="000000"/>
          <w:kern w:val="0"/>
          <w:sz w:val="20"/>
          <w:szCs w:val="20"/>
          <w:u w:val="none"/>
          <w:lang w:val="en-US" w:eastAsia="zh-CN" w:bidi="ar"/>
        </w:rPr>
        <w:sectPr>
          <w:pgSz w:w="16838" w:h="11906" w:orient="landscape"/>
          <w:pgMar w:top="1797" w:right="1440" w:bottom="1797" w:left="1440" w:header="851" w:footer="992" w:gutter="0"/>
          <w:cols w:space="425" w:num="1"/>
          <w:docGrid w:type="linesAndChars" w:linePitch="312" w:charSpace="0"/>
        </w:sectPr>
      </w:pPr>
    </w:p>
    <w:p>
      <w:pPr>
        <w:keepNext w:val="0"/>
        <w:keepLines w:val="0"/>
        <w:widowControl/>
        <w:suppressLineNumbers w:val="0"/>
        <w:jc w:val="center"/>
        <w:textAlignment w:val="center"/>
        <w:rPr>
          <w:rFonts w:ascii="Times New Roman" w:hAnsi="Times New Roman" w:eastAsia="黑体" w:cs="Times New Roman"/>
          <w:kern w:val="0"/>
          <w:sz w:val="32"/>
          <w:szCs w:val="32"/>
        </w:rPr>
      </w:pPr>
    </w:p>
    <w:tbl>
      <w:tblPr>
        <w:tblStyle w:val="6"/>
        <w:tblW w:w="5000" w:type="pct"/>
        <w:tblInd w:w="0" w:type="dxa"/>
        <w:shd w:val="clear" w:color="auto" w:fill="auto"/>
        <w:tblLayout w:type="autofit"/>
        <w:tblCellMar>
          <w:top w:w="0" w:type="dxa"/>
          <w:left w:w="108" w:type="dxa"/>
          <w:bottom w:w="0" w:type="dxa"/>
          <w:right w:w="108" w:type="dxa"/>
        </w:tblCellMar>
      </w:tblPr>
      <w:tblGrid>
        <w:gridCol w:w="2416"/>
        <w:gridCol w:w="222"/>
        <w:gridCol w:w="222"/>
        <w:gridCol w:w="4396"/>
        <w:gridCol w:w="1148"/>
        <w:gridCol w:w="1551"/>
        <w:gridCol w:w="1324"/>
        <w:gridCol w:w="1324"/>
        <w:gridCol w:w="1337"/>
        <w:gridCol w:w="1674"/>
      </w:tblGrid>
      <w:tr>
        <w:tblPrEx>
          <w:shd w:val="clear" w:color="auto" w:fill="auto"/>
          <w:tblCellMar>
            <w:top w:w="0" w:type="dxa"/>
            <w:left w:w="108" w:type="dxa"/>
            <w:bottom w:w="0" w:type="dxa"/>
            <w:right w:w="108" w:type="dxa"/>
          </w:tblCellMar>
        </w:tblPrEx>
        <w:trPr>
          <w:trHeight w:val="390" w:hRule="atLeast"/>
        </w:trPr>
        <w:tc>
          <w:tcPr>
            <w:tcW w:w="5000" w:type="pct"/>
            <w:gridSpan w:val="10"/>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0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9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2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2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2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31"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0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9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2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2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2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31"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2323"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368"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本年支出合计</w:t>
            </w:r>
          </w:p>
        </w:tc>
        <w:tc>
          <w:tcPr>
            <w:tcW w:w="497"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424"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c>
          <w:tcPr>
            <w:tcW w:w="424"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上缴上级支出</w:t>
            </w:r>
          </w:p>
        </w:tc>
        <w:tc>
          <w:tcPr>
            <w:tcW w:w="428"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经营支出</w:t>
            </w:r>
          </w:p>
        </w:tc>
        <w:tc>
          <w:tcPr>
            <w:tcW w:w="531"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对附属单位补助支出</w:t>
            </w:r>
          </w:p>
        </w:tc>
      </w:tr>
      <w:tr>
        <w:tblPrEx>
          <w:tblCellMar>
            <w:top w:w="0" w:type="dxa"/>
            <w:left w:w="108" w:type="dxa"/>
            <w:bottom w:w="0" w:type="dxa"/>
            <w:right w:w="108" w:type="dxa"/>
          </w:tblCellMar>
        </w:tblPrEx>
        <w:trPr>
          <w:trHeight w:val="308" w:hRule="atLeast"/>
        </w:trPr>
        <w:tc>
          <w:tcPr>
            <w:tcW w:w="915"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功能分类科目编码</w:t>
            </w:r>
          </w:p>
        </w:tc>
        <w:tc>
          <w:tcPr>
            <w:tcW w:w="1407"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36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9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24"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24"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2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31"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915"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1407"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4"/>
                <w:szCs w:val="24"/>
                <w:u w:val="none"/>
              </w:rPr>
            </w:pPr>
          </w:p>
        </w:tc>
        <w:tc>
          <w:tcPr>
            <w:tcW w:w="36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9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24"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24"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2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31"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915"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1407"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4"/>
                <w:szCs w:val="24"/>
                <w:u w:val="none"/>
              </w:rPr>
            </w:pPr>
          </w:p>
        </w:tc>
        <w:tc>
          <w:tcPr>
            <w:tcW w:w="36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9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24"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24"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2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31"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90" w:hRule="atLeast"/>
        </w:trPr>
        <w:tc>
          <w:tcPr>
            <w:tcW w:w="2323"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栏次</w:t>
            </w:r>
          </w:p>
        </w:tc>
        <w:tc>
          <w:tcPr>
            <w:tcW w:w="368"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97"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2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2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28"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3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CellMar>
            <w:top w:w="0" w:type="dxa"/>
            <w:left w:w="108" w:type="dxa"/>
            <w:bottom w:w="0" w:type="dxa"/>
            <w:right w:w="108" w:type="dxa"/>
          </w:tblCellMar>
        </w:tblPrEx>
        <w:trPr>
          <w:trHeight w:val="308" w:hRule="atLeast"/>
        </w:trPr>
        <w:tc>
          <w:tcPr>
            <w:tcW w:w="2323"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7554.57</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660.07</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6894.50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1065.57</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617.35</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448.22</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654.01</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617.35</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36.66</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617.35</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617.35</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5.82</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5.82</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2080107</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社会保险业务管理事务</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30.84</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30.84</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财政对其他社会保险基金的补助</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411.56</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411.56</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2082799</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其他财政对社会保险基金的补助</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411.56</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411.56</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6446.28</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6446.28</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21012</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rPr>
              <w:t>财政对基本医疗保险基金的补助</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6318.60</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6318.60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2101202</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财政对城乡居民基本医疗保险基金的补助</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5104.00</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5104.00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2101299</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财政对其他基本医疗保险基金的补助</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1214.60</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1214.60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医疗救助</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0.99</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0.99</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城乡医疗救助</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0.99</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0.99</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21015</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医疗保障管理事务</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126.69</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126.69</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5"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2101599</w:t>
            </w:r>
          </w:p>
        </w:tc>
        <w:tc>
          <w:tcPr>
            <w:tcW w:w="140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其他医疗保障管理事务支出</w:t>
            </w:r>
          </w:p>
        </w:tc>
        <w:tc>
          <w:tcPr>
            <w:tcW w:w="36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126.69</w:t>
            </w:r>
          </w:p>
        </w:tc>
        <w:tc>
          <w:tcPr>
            <w:tcW w:w="49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126.69</w:t>
            </w:r>
          </w:p>
        </w:tc>
        <w:tc>
          <w:tcPr>
            <w:tcW w:w="42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3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注：本表反映部门本年度各项支出情况。</w:t>
            </w:r>
          </w:p>
        </w:tc>
      </w:tr>
    </w:tbl>
    <w:p>
      <w:pPr>
        <w:widowControl/>
        <w:jc w:val="left"/>
        <w:rPr>
          <w:rFonts w:ascii="Times New Roman" w:hAnsi="Times New Roman" w:eastAsia="黑体" w:cs="Times New Roman"/>
          <w:kern w:val="0"/>
          <w:sz w:val="32"/>
          <w:szCs w:val="32"/>
        </w:rPr>
      </w:pPr>
    </w:p>
    <w:p>
      <w:pPr>
        <w:widowControl/>
        <w:jc w:val="center"/>
        <w:rPr>
          <w:rFonts w:hint="eastAsia" w:ascii="宋体" w:hAnsi="宋体" w:cs="宋体"/>
          <w:i w:val="0"/>
          <w:iCs w:val="0"/>
          <w:color w:val="000000"/>
          <w:kern w:val="0"/>
          <w:sz w:val="30"/>
          <w:szCs w:val="30"/>
          <w:u w:val="none"/>
          <w:lang w:val="en-US" w:eastAsia="zh-CN" w:bidi="ar"/>
        </w:rPr>
      </w:pPr>
      <w:r>
        <w:rPr>
          <w:rFonts w:hint="eastAsia" w:ascii="宋体" w:hAnsi="宋体" w:eastAsia="宋体" w:cs="宋体"/>
          <w:i w:val="0"/>
          <w:iCs w:val="0"/>
          <w:color w:val="000000"/>
          <w:kern w:val="0"/>
          <w:sz w:val="30"/>
          <w:szCs w:val="30"/>
          <w:u w:val="none"/>
          <w:lang w:val="en-US" w:eastAsia="zh-CN" w:bidi="ar"/>
        </w:rPr>
        <w:t>财政拨款收入支出决算总表</w:t>
      </w:r>
    </w:p>
    <w:p>
      <w:pPr>
        <w:widowControl/>
        <w:ind w:firstLine="481" w:firstLineChars="0"/>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公开04表</w:t>
      </w:r>
    </w:p>
    <w:p>
      <w:pPr>
        <w:widowControl/>
        <w:rPr>
          <w:rFonts w:hint="default" w:ascii="宋体" w:hAnsi="宋体" w:cs="宋体"/>
          <w:i w:val="0"/>
          <w:iCs w:val="0"/>
          <w:color w:val="000000"/>
          <w:kern w:val="0"/>
          <w:sz w:val="30"/>
          <w:szCs w:val="30"/>
          <w:u w:val="none"/>
          <w:lang w:val="en-US" w:eastAsia="zh-CN" w:bidi="ar"/>
        </w:rPr>
      </w:pPr>
      <w:r>
        <w:rPr>
          <w:rFonts w:hint="eastAsia" w:ascii="宋体" w:hAnsi="宋体" w:eastAsia="宋体" w:cs="宋体"/>
          <w:i w:val="0"/>
          <w:iCs w:val="0"/>
          <w:color w:val="000000"/>
          <w:kern w:val="0"/>
          <w:sz w:val="20"/>
          <w:szCs w:val="20"/>
          <w:u w:val="none"/>
          <w:lang w:val="en-US" w:eastAsia="zh-CN" w:bidi="ar"/>
        </w:rPr>
        <w:t>部门：湘潭县医疗保障局</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金额单位：万元</w:t>
      </w:r>
    </w:p>
    <w:tbl>
      <w:tblPr>
        <w:tblStyle w:val="6"/>
        <w:tblW w:w="4925" w:type="pct"/>
        <w:tblInd w:w="0" w:type="dxa"/>
        <w:shd w:val="clear" w:color="auto" w:fill="auto"/>
        <w:tblLayout w:type="autofit"/>
        <w:tblCellMar>
          <w:top w:w="0" w:type="dxa"/>
          <w:left w:w="108" w:type="dxa"/>
          <w:bottom w:w="0" w:type="dxa"/>
          <w:right w:w="108" w:type="dxa"/>
        </w:tblCellMar>
      </w:tblPr>
      <w:tblGrid>
        <w:gridCol w:w="3076"/>
        <w:gridCol w:w="485"/>
        <w:gridCol w:w="1494"/>
        <w:gridCol w:w="3735"/>
        <w:gridCol w:w="489"/>
        <w:gridCol w:w="1477"/>
        <w:gridCol w:w="1477"/>
        <w:gridCol w:w="1532"/>
        <w:gridCol w:w="1615"/>
      </w:tblGrid>
      <w:tr>
        <w:tblPrEx>
          <w:shd w:val="clear" w:color="auto" w:fill="auto"/>
          <w:tblCellMar>
            <w:top w:w="0" w:type="dxa"/>
            <w:left w:w="108" w:type="dxa"/>
            <w:bottom w:w="0" w:type="dxa"/>
            <w:right w:w="108" w:type="dxa"/>
          </w:tblCellMar>
        </w:tblPrEx>
        <w:trPr>
          <w:trHeight w:val="90" w:hRule="atLeast"/>
          <w:tblHeader/>
        </w:trPr>
        <w:tc>
          <w:tcPr>
            <w:tcW w:w="1643" w:type="pct"/>
            <w:gridSpan w:val="3"/>
            <w:tcBorders>
              <w:top w:val="single" w:color="auto" w:sz="4" w:space="0"/>
              <w:left w:val="single" w:color="auto"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3356" w:type="pct"/>
            <w:gridSpan w:val="6"/>
            <w:tcBorders>
              <w:top w:val="single" w:color="auto" w:sz="4" w:space="0"/>
              <w:left w:val="nil"/>
              <w:bottom w:val="single" w:color="000000" w:sz="4" w:space="0"/>
              <w:right w:val="single" w:color="auto"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     出</w:t>
            </w:r>
          </w:p>
        </w:tc>
      </w:tr>
      <w:tr>
        <w:tblPrEx>
          <w:tblCellMar>
            <w:top w:w="0" w:type="dxa"/>
            <w:left w:w="108" w:type="dxa"/>
            <w:bottom w:w="0" w:type="dxa"/>
            <w:right w:w="108" w:type="dxa"/>
          </w:tblCellMar>
        </w:tblPrEx>
        <w:trPr>
          <w:trHeight w:val="312" w:hRule="atLeast"/>
        </w:trPr>
        <w:tc>
          <w:tcPr>
            <w:tcW w:w="999" w:type="pct"/>
            <w:vMerge w:val="restart"/>
            <w:tcBorders>
              <w:top w:val="nil"/>
              <w:left w:val="single" w:color="auto"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58"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行次</w:t>
            </w:r>
          </w:p>
        </w:tc>
        <w:tc>
          <w:tcPr>
            <w:tcW w:w="485"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1214"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59"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行次</w:t>
            </w:r>
          </w:p>
        </w:tc>
        <w:tc>
          <w:tcPr>
            <w:tcW w:w="480"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480"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一般公共预算财政拨款</w:t>
            </w:r>
          </w:p>
        </w:tc>
        <w:tc>
          <w:tcPr>
            <w:tcW w:w="496"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政府性基金预算财政拨款</w:t>
            </w:r>
          </w:p>
        </w:tc>
        <w:tc>
          <w:tcPr>
            <w:tcW w:w="525" w:type="pct"/>
            <w:vMerge w:val="restart"/>
            <w:tcBorders>
              <w:top w:val="nil"/>
              <w:left w:val="nil"/>
              <w:bottom w:val="single" w:color="000000" w:sz="4" w:space="0"/>
              <w:right w:val="single" w:color="auto"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国有资本经营预算财政拨款</w:t>
            </w:r>
          </w:p>
        </w:tc>
      </w:tr>
      <w:tr>
        <w:tblPrEx>
          <w:tblCellMar>
            <w:top w:w="0" w:type="dxa"/>
            <w:left w:w="108" w:type="dxa"/>
            <w:bottom w:w="0" w:type="dxa"/>
            <w:right w:w="108" w:type="dxa"/>
          </w:tblCellMar>
        </w:tblPrEx>
        <w:trPr>
          <w:trHeight w:val="615" w:hRule="atLeast"/>
        </w:trPr>
        <w:tc>
          <w:tcPr>
            <w:tcW w:w="999" w:type="pct"/>
            <w:vMerge w:val="continue"/>
            <w:tcBorders>
              <w:top w:val="nil"/>
              <w:left w:val="single" w:color="auto"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8"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85"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14"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9"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80"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80"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96"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25" w:type="pct"/>
            <w:vMerge w:val="continue"/>
            <w:tcBorders>
              <w:top w:val="nil"/>
              <w:left w:val="nil"/>
              <w:bottom w:val="single" w:color="000000" w:sz="4" w:space="0"/>
              <w:right w:val="single" w:color="auto"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栏次</w:t>
            </w:r>
          </w:p>
        </w:tc>
        <w:tc>
          <w:tcPr>
            <w:tcW w:w="158"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85"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栏次</w:t>
            </w:r>
          </w:p>
        </w:tc>
        <w:tc>
          <w:tcPr>
            <w:tcW w:w="159"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4"/>
                <w:szCs w:val="24"/>
                <w:u w:val="none"/>
              </w:rPr>
            </w:pPr>
          </w:p>
        </w:tc>
        <w:tc>
          <w:tcPr>
            <w:tcW w:w="48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8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49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 w:type="pct"/>
            <w:tcBorders>
              <w:top w:val="nil"/>
              <w:left w:val="nil"/>
              <w:bottom w:val="single" w:color="000000" w:sz="4" w:space="0"/>
              <w:right w:val="single" w:color="auto"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7372.22</w:t>
            </w: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883.22</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883.22</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6446.28</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6446.28</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auto"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8" w:type="pct"/>
            <w:tcBorders>
              <w:top w:val="nil"/>
              <w:left w:val="nil"/>
              <w:bottom w:val="single" w:color="auto"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85" w:type="pct"/>
            <w:tcBorders>
              <w:top w:val="nil"/>
              <w:left w:val="nil"/>
              <w:bottom w:val="single" w:color="auto"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auto"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59" w:type="pct"/>
            <w:tcBorders>
              <w:top w:val="nil"/>
              <w:left w:val="nil"/>
              <w:bottom w:val="single" w:color="auto"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480" w:type="pct"/>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single" w:color="auto" w:sz="4" w:space="0"/>
              <w:left w:val="single" w:color="auto"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0"/>
                <w:szCs w:val="20"/>
                <w:u w:val="none"/>
              </w:rPr>
            </w:pPr>
          </w:p>
        </w:tc>
        <w:tc>
          <w:tcPr>
            <w:tcW w:w="158" w:type="pct"/>
            <w:tcBorders>
              <w:top w:val="single" w:color="auto"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85" w:type="pct"/>
            <w:tcBorders>
              <w:top w:val="single" w:color="auto" w:sz="4" w:space="0"/>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single" w:color="auto"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59" w:type="pct"/>
            <w:tcBorders>
              <w:top w:val="single" w:color="auto"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480" w:type="pct"/>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single" w:color="auto" w:sz="4" w:space="0"/>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auto"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58" w:type="pct"/>
            <w:tcBorders>
              <w:top w:val="nil"/>
              <w:left w:val="nil"/>
              <w:bottom w:val="single" w:color="auto"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85" w:type="pct"/>
            <w:tcBorders>
              <w:top w:val="nil"/>
              <w:left w:val="nil"/>
              <w:bottom w:val="single" w:color="auto"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nil"/>
              <w:left w:val="nil"/>
              <w:bottom w:val="single" w:color="auto"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59" w:type="pct"/>
            <w:tcBorders>
              <w:top w:val="nil"/>
              <w:left w:val="nil"/>
              <w:bottom w:val="single" w:color="auto"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480" w:type="pct"/>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single" w:color="auto" w:sz="4" w:space="0"/>
              <w:left w:val="single" w:color="auto"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58" w:type="pct"/>
            <w:tcBorders>
              <w:top w:val="single" w:color="auto"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485" w:type="pct"/>
            <w:tcBorders>
              <w:top w:val="single" w:color="auto" w:sz="4" w:space="0"/>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14" w:type="pct"/>
            <w:tcBorders>
              <w:top w:val="single" w:color="auto"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59" w:type="pct"/>
            <w:tcBorders>
              <w:top w:val="single" w:color="auto"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480" w:type="pct"/>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single" w:color="auto" w:sz="4" w:space="0"/>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97"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7372.22</w:t>
            </w: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7372.22</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7372.22</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1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14"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9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25" w:type="pct"/>
            <w:tcBorders>
              <w:top w:val="nil"/>
              <w:left w:val="nil"/>
              <w:bottom w:val="single" w:color="000000"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4"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9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25" w:type="pct"/>
            <w:tcBorders>
              <w:top w:val="nil"/>
              <w:left w:val="nil"/>
              <w:bottom w:val="single" w:color="000000"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1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4"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9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25" w:type="pct"/>
            <w:tcBorders>
              <w:top w:val="nil"/>
              <w:left w:val="nil"/>
              <w:bottom w:val="single" w:color="000000"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999" w:type="pct"/>
            <w:tcBorders>
              <w:top w:val="nil"/>
              <w:left w:val="single" w:color="auto" w:sz="4" w:space="0"/>
              <w:bottom w:val="single" w:color="auto"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58" w:type="pct"/>
            <w:tcBorders>
              <w:top w:val="nil"/>
              <w:left w:val="nil"/>
              <w:bottom w:val="single" w:color="auto"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485" w:type="pct"/>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7372.22</w:t>
            </w:r>
          </w:p>
        </w:tc>
        <w:tc>
          <w:tcPr>
            <w:tcW w:w="1214" w:type="pct"/>
            <w:tcBorders>
              <w:top w:val="nil"/>
              <w:left w:val="nil"/>
              <w:bottom w:val="single" w:color="auto"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59" w:type="pct"/>
            <w:tcBorders>
              <w:top w:val="nil"/>
              <w:left w:val="nil"/>
              <w:bottom w:val="single" w:color="auto"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480" w:type="pct"/>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7372.22</w:t>
            </w:r>
          </w:p>
        </w:tc>
        <w:tc>
          <w:tcPr>
            <w:tcW w:w="480" w:type="pct"/>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7372.22</w:t>
            </w:r>
          </w:p>
        </w:tc>
        <w:tc>
          <w:tcPr>
            <w:tcW w:w="496" w:type="pct"/>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5" w:type="pct"/>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474" w:type="pct"/>
            <w:gridSpan w:val="8"/>
            <w:tcBorders>
              <w:top w:val="single" w:color="auto" w:sz="4" w:space="0"/>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注：本表反映部门本年度一般公共预算财政拨款、政府性基金预算财政拨款和国有资本经营预算财政拨款的总收支和年末结转结余情况。</w:t>
            </w:r>
          </w:p>
        </w:tc>
        <w:tc>
          <w:tcPr>
            <w:tcW w:w="525" w:type="pct"/>
            <w:tcBorders>
              <w:top w:val="single" w:color="auto" w:sz="4" w:space="0"/>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4998" w:type="pct"/>
        <w:tblInd w:w="0" w:type="dxa"/>
        <w:shd w:val="clear" w:color="auto" w:fill="auto"/>
        <w:tblLayout w:type="autofit"/>
        <w:tblCellMar>
          <w:top w:w="0" w:type="dxa"/>
          <w:left w:w="108" w:type="dxa"/>
          <w:bottom w:w="0" w:type="dxa"/>
          <w:right w:w="108" w:type="dxa"/>
        </w:tblCellMar>
      </w:tblPr>
      <w:tblGrid>
        <w:gridCol w:w="2416"/>
        <w:gridCol w:w="222"/>
        <w:gridCol w:w="224"/>
        <w:gridCol w:w="4397"/>
        <w:gridCol w:w="4307"/>
        <w:gridCol w:w="1976"/>
        <w:gridCol w:w="2066"/>
      </w:tblGrid>
      <w:tr>
        <w:tblPrEx>
          <w:shd w:val="clear" w:color="auto" w:fill="auto"/>
          <w:tblCellMar>
            <w:top w:w="0" w:type="dxa"/>
            <w:left w:w="108" w:type="dxa"/>
            <w:bottom w:w="0" w:type="dxa"/>
            <w:right w:w="108" w:type="dxa"/>
          </w:tblCellMar>
        </w:tblPrEx>
        <w:trPr>
          <w:trHeight w:val="390" w:hRule="atLeast"/>
        </w:trPr>
        <w:tc>
          <w:tcPr>
            <w:tcW w:w="5000" w:type="pct"/>
            <w:gridSpan w:val="7"/>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tblPrEx>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0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8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3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60"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0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8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3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60"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2325"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2674" w:type="pct"/>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w:t>
            </w:r>
          </w:p>
        </w:tc>
      </w:tr>
      <w:tr>
        <w:tblPrEx>
          <w:tblCellMar>
            <w:top w:w="0" w:type="dxa"/>
            <w:left w:w="108" w:type="dxa"/>
            <w:bottom w:w="0" w:type="dxa"/>
            <w:right w:w="108" w:type="dxa"/>
          </w:tblCellMar>
        </w:tblPrEx>
        <w:trPr>
          <w:trHeight w:val="308" w:hRule="atLeast"/>
        </w:trPr>
        <w:tc>
          <w:tcPr>
            <w:tcW w:w="916"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功能分类科目编码</w:t>
            </w:r>
          </w:p>
        </w:tc>
        <w:tc>
          <w:tcPr>
            <w:tcW w:w="1408"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1380"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633"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660"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CellMar>
            <w:top w:w="0" w:type="dxa"/>
            <w:left w:w="108" w:type="dxa"/>
            <w:bottom w:w="0" w:type="dxa"/>
            <w:right w:w="108" w:type="dxa"/>
          </w:tblCellMar>
        </w:tblPrEx>
        <w:trPr>
          <w:trHeight w:val="277" w:hRule="atLeast"/>
        </w:trPr>
        <w:tc>
          <w:tcPr>
            <w:tcW w:w="916"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08"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380"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633"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660"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12" w:hRule="atLeast"/>
        </w:trPr>
        <w:tc>
          <w:tcPr>
            <w:tcW w:w="916"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08"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380"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633"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660"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2325"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栏次</w:t>
            </w:r>
          </w:p>
        </w:tc>
        <w:tc>
          <w:tcPr>
            <w:tcW w:w="138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3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6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CellMar>
            <w:top w:w="0" w:type="dxa"/>
            <w:left w:w="108" w:type="dxa"/>
            <w:bottom w:w="0" w:type="dxa"/>
            <w:right w:w="108" w:type="dxa"/>
          </w:tblCellMar>
        </w:tblPrEx>
        <w:trPr>
          <w:trHeight w:val="308" w:hRule="atLeast"/>
        </w:trPr>
        <w:tc>
          <w:tcPr>
            <w:tcW w:w="2325"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7372.22</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477.72</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val="0"/>
                <w:bCs w:val="0"/>
                <w:i w:val="0"/>
                <w:iCs w:val="0"/>
                <w:color w:val="000000"/>
                <w:sz w:val="22"/>
                <w:szCs w:val="22"/>
                <w:u w:val="none"/>
                <w:lang w:val="en-US"/>
              </w:rPr>
            </w:pPr>
            <w:r>
              <w:rPr>
                <w:rFonts w:hint="eastAsia" w:ascii="宋体" w:hAnsi="宋体" w:cs="宋体"/>
                <w:b w:val="0"/>
                <w:bCs w:val="0"/>
                <w:i w:val="0"/>
                <w:iCs w:val="0"/>
                <w:color w:val="000000"/>
                <w:kern w:val="0"/>
                <w:sz w:val="22"/>
                <w:szCs w:val="22"/>
                <w:u w:val="none"/>
                <w:lang w:val="en-US" w:eastAsia="zh-CN" w:bidi="ar"/>
              </w:rPr>
              <w:t>6894.50</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42.72</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42.72</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42.72</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883.22</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435.00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448.22</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471.66</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435.00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36.66</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435.00</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435.00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5.82</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5.82</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2080107</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社会保险业务管理事务</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30.84</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30.84</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财政对其他社会保险基金的补助</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411.56</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411.56</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2082799</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其他财政对社会保险基金的补助</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411.56</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411.56</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6446.28</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6446.28</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21012</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财政对基本医疗保险基金的补助</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6318.60</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6318.60</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2101202</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财政对城乡居民基本医疗保险基金的补助</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5104.00</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5104.00</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2101299</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财政对其他基本医疗保险基金的补助</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1214.60</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1214.60</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医疗救助</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0.99</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0.99</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城乡医疗救助</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0.99</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0.99</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21015</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医疗保障管理事务</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126.69</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126.69</w:t>
            </w:r>
          </w:p>
        </w:tc>
      </w:tr>
      <w:tr>
        <w:tblPrEx>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2101599</w:t>
            </w:r>
          </w:p>
        </w:tc>
        <w:tc>
          <w:tcPr>
            <w:tcW w:w="14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其他医疗保障管理事务支出</w:t>
            </w:r>
          </w:p>
        </w:tc>
        <w:tc>
          <w:tcPr>
            <w:tcW w:w="13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126.69</w:t>
            </w:r>
          </w:p>
        </w:tc>
        <w:tc>
          <w:tcPr>
            <w:tcW w:w="6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66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126.69</w:t>
            </w:r>
          </w:p>
        </w:tc>
      </w:tr>
      <w:tr>
        <w:tblPrEx>
          <w:tblCellMar>
            <w:top w:w="0" w:type="dxa"/>
            <w:left w:w="108" w:type="dxa"/>
            <w:bottom w:w="0" w:type="dxa"/>
            <w:right w:w="108" w:type="dxa"/>
          </w:tblCellMar>
        </w:tblPrEx>
        <w:trPr>
          <w:trHeight w:val="283"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注：本表反映部门本年度一般公共预算财政拨款支出情况。</w:t>
            </w:r>
          </w:p>
        </w:tc>
      </w:tr>
    </w:tbl>
    <w:p>
      <w:pPr>
        <w:widowControl/>
        <w:rPr>
          <w:rFonts w:ascii="Times New Roman" w:hAnsi="Times New Roman" w:eastAsia="方正小标宋_GBK" w:cs="Times New Roman"/>
          <w:color w:val="000000"/>
          <w:kern w:val="0"/>
          <w:sz w:val="36"/>
          <w:szCs w:val="36"/>
        </w:rPr>
      </w:pPr>
    </w:p>
    <w:p>
      <w:pPr>
        <w:widowControl/>
        <w:rPr>
          <w:rFonts w:hint="eastAsia" w:ascii="宋体" w:hAnsi="宋体" w:eastAsia="宋体" w:cs="宋体"/>
          <w:i w:val="0"/>
          <w:iCs w:val="0"/>
          <w:color w:val="000000" w:themeColor="text1"/>
          <w:kern w:val="0"/>
          <w:sz w:val="30"/>
          <w:szCs w:val="30"/>
          <w:u w:val="none"/>
          <w:lang w:val="en-US" w:eastAsia="zh-CN" w:bidi="ar"/>
          <w14:textFill>
            <w14:solidFill>
              <w14:schemeClr w14:val="tx1"/>
            </w14:solidFill>
          </w14:textFill>
        </w:rPr>
      </w:pPr>
    </w:p>
    <w:p>
      <w:pPr>
        <w:widowControl/>
        <w:jc w:val="center"/>
        <w:rPr>
          <w:rFonts w:hint="eastAsia" w:ascii="宋体" w:hAnsi="宋体" w:eastAsia="宋体" w:cs="宋体"/>
          <w:i w:val="0"/>
          <w:iCs w:val="0"/>
          <w:color w:val="000000" w:themeColor="text1"/>
          <w:kern w:val="0"/>
          <w:sz w:val="30"/>
          <w:szCs w:val="3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30"/>
          <w:szCs w:val="30"/>
          <w:u w:val="none"/>
          <w:lang w:val="en-US" w:eastAsia="zh-CN" w:bidi="ar"/>
          <w14:textFill>
            <w14:solidFill>
              <w14:schemeClr w14:val="tx1"/>
            </w14:solidFill>
          </w14:textFill>
        </w:rPr>
        <w:t>一般公共预算财政拨款基本支出决算表</w:t>
      </w:r>
    </w:p>
    <w:p>
      <w:pPr>
        <w:widowControl/>
        <w:jc w:val="right"/>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公开06表</w:t>
      </w:r>
    </w:p>
    <w:p>
      <w:pPr>
        <w:widowControl/>
        <w:rPr>
          <w:rFonts w:hint="eastAsia" w:ascii="宋体" w:hAnsi="宋体" w:eastAsia="宋体" w:cs="宋体"/>
          <w:i w:val="0"/>
          <w:iCs w:val="0"/>
          <w:color w:val="000000" w:themeColor="text1"/>
          <w:kern w:val="0"/>
          <w:sz w:val="30"/>
          <w:szCs w:val="3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部门：湘潭县医疗保障局</w:t>
      </w:r>
      <w:r>
        <w:rPr>
          <w:rFonts w:hint="eastAsia" w:ascii="宋体" w:hAnsi="宋体" w:cs="宋体"/>
          <w:i w:val="0"/>
          <w:iCs w:val="0"/>
          <w:color w:val="000000" w:themeColor="text1"/>
          <w:kern w:val="0"/>
          <w:sz w:val="20"/>
          <w:szCs w:val="20"/>
          <w:u w:val="none"/>
          <w:lang w:val="en-US" w:eastAsia="zh-CN" w:bidi="ar"/>
          <w14:textFill>
            <w14:solidFill>
              <w14:schemeClr w14:val="tx1"/>
            </w14:solidFill>
          </w14:textFill>
        </w:rPr>
        <w:t xml:space="preserve">                                                                                                                       </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金额单位：万元</w:t>
      </w:r>
    </w:p>
    <w:tbl>
      <w:tblPr>
        <w:tblStyle w:val="6"/>
        <w:tblW w:w="156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93"/>
        <w:gridCol w:w="2138"/>
        <w:gridCol w:w="1281"/>
        <w:gridCol w:w="1623"/>
        <w:gridCol w:w="1675"/>
        <w:gridCol w:w="1501"/>
        <w:gridCol w:w="2048"/>
        <w:gridCol w:w="2405"/>
        <w:gridCol w:w="1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blHeader/>
        </w:trPr>
        <w:tc>
          <w:tcPr>
            <w:tcW w:w="4812" w:type="dxa"/>
            <w:gridSpan w:val="3"/>
            <w:tcBorders>
              <w:top w:val="single" w:color="000000" w:sz="8" w:space="0"/>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人员经费</w:t>
            </w:r>
          </w:p>
        </w:tc>
        <w:tc>
          <w:tcPr>
            <w:tcW w:w="10802" w:type="dxa"/>
            <w:gridSpan w:val="6"/>
            <w:tcBorders>
              <w:top w:val="single" w:color="000000" w:sz="8"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blHeader/>
        </w:trPr>
        <w:tc>
          <w:tcPr>
            <w:tcW w:w="1393" w:type="dxa"/>
            <w:vMerge w:val="restart"/>
            <w:tcBorders>
              <w:top w:val="nil"/>
              <w:left w:val="single" w:color="000000" w:sz="8" w:space="0"/>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科目编码</w:t>
            </w:r>
          </w:p>
        </w:tc>
        <w:tc>
          <w:tcPr>
            <w:tcW w:w="2138"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科目名称</w:t>
            </w:r>
          </w:p>
        </w:tc>
        <w:tc>
          <w:tcPr>
            <w:tcW w:w="1281"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决算数</w:t>
            </w:r>
          </w:p>
        </w:tc>
        <w:tc>
          <w:tcPr>
            <w:tcW w:w="1623"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科目编码</w:t>
            </w:r>
          </w:p>
        </w:tc>
        <w:tc>
          <w:tcPr>
            <w:tcW w:w="1675"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科目名称</w:t>
            </w:r>
          </w:p>
        </w:tc>
        <w:tc>
          <w:tcPr>
            <w:tcW w:w="1501"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决算数</w:t>
            </w:r>
          </w:p>
        </w:tc>
        <w:tc>
          <w:tcPr>
            <w:tcW w:w="2048"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科目编码</w:t>
            </w:r>
          </w:p>
        </w:tc>
        <w:tc>
          <w:tcPr>
            <w:tcW w:w="2405"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科目名称</w:t>
            </w:r>
          </w:p>
        </w:tc>
        <w:tc>
          <w:tcPr>
            <w:tcW w:w="1550"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u w:val="none"/>
                <w14:textFill>
                  <w14:solidFill>
                    <w14:schemeClr w14:val="tx1"/>
                  </w14:solidFill>
                </w14:textFill>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93" w:type="dxa"/>
            <w:vMerge w:val="continue"/>
            <w:tcBorders>
              <w:top w:val="nil"/>
              <w:left w:val="single" w:color="000000" w:sz="8" w:space="0"/>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38"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81"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23"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5"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01"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048"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05"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50"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工资福利支出</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wordWrap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380.07</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商品和服务支出</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97.34</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307</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债务利息及费用支出</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30101</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基本工资</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185.73</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30201</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办公费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3.44</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30701</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国内债务付息</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30102</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津贴补贴</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8.53</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30202</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印刷费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10.42</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30702</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国外债务付息</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30103</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奖金</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33.07</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30203</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咨询费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资本性支出</w:t>
            </w:r>
          </w:p>
        </w:tc>
        <w:tc>
          <w:tcPr>
            <w:tcW w:w="15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30106</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伙食补助费</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24.49</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30204</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手续费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31001</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房屋建筑物购建</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30107</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绩效工资</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41.79</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30205</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水费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3.17</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31002</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办公设备购置</w:t>
            </w:r>
          </w:p>
        </w:tc>
        <w:tc>
          <w:tcPr>
            <w:tcW w:w="15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30108</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机关事业单位基本养老保险缴费</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21.97</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30206</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电费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5.38</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31003</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专用设备购置</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30109</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职业年金缴费</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1.23</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30207</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邮电费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2.04</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31005</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基础设施建设</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30110</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职工基本医疗保险缴费</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14.84</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30208</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取暖费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31006</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大型修缮</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30111</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公务员医疗补助缴费</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30209</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物业管理费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6.42</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31007</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信息网络及软件购置更新</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30112</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其他社会保障缴费</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1.90</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30211</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差旅费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2.94</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31008</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物资储备</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30113</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住房公积金</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37.22</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30212</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因公出国（境）费用</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31009</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土地补偿</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30114</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医疗费</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30213</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维修（护）费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17.06</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31010</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安置补助</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30199</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其他工资福利支出</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9.30</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30214</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租赁费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31011</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地上附着物和青苗补偿</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对个人和家庭的补助</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0.31</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30215</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会议费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0.21</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31012</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拆迁补偿</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30301</w:t>
            </w:r>
          </w:p>
        </w:tc>
        <w:tc>
          <w:tcPr>
            <w:tcW w:w="2138"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离休费</w:t>
            </w:r>
          </w:p>
        </w:tc>
        <w:tc>
          <w:tcPr>
            <w:tcW w:w="1281"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30216</w:t>
            </w:r>
          </w:p>
        </w:tc>
        <w:tc>
          <w:tcPr>
            <w:tcW w:w="1675"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培训费</w:t>
            </w:r>
          </w:p>
        </w:tc>
        <w:tc>
          <w:tcPr>
            <w:tcW w:w="1501"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0.90</w:t>
            </w:r>
          </w:p>
        </w:tc>
        <w:tc>
          <w:tcPr>
            <w:tcW w:w="2048"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31013</w:t>
            </w:r>
          </w:p>
        </w:tc>
        <w:tc>
          <w:tcPr>
            <w:tcW w:w="2405"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公务用车购置</w:t>
            </w:r>
          </w:p>
        </w:tc>
        <w:tc>
          <w:tcPr>
            <w:tcW w:w="1550" w:type="dxa"/>
            <w:tcBorders>
              <w:top w:val="nil"/>
              <w:left w:val="nil"/>
              <w:bottom w:val="single" w:color="auto" w:sz="4"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single" w:color="auto" w:sz="4" w:space="0"/>
              <w:left w:val="single" w:color="auto" w:sz="4" w:space="0"/>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30302</w:t>
            </w:r>
          </w:p>
        </w:tc>
        <w:tc>
          <w:tcPr>
            <w:tcW w:w="2138" w:type="dxa"/>
            <w:tcBorders>
              <w:top w:val="single" w:color="auto" w:sz="4" w:space="0"/>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退休费</w:t>
            </w:r>
          </w:p>
        </w:tc>
        <w:tc>
          <w:tcPr>
            <w:tcW w:w="1281" w:type="dxa"/>
            <w:tcBorders>
              <w:top w:val="single" w:color="auto" w:sz="4" w:space="0"/>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single" w:color="auto" w:sz="4" w:space="0"/>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30217</w:t>
            </w:r>
          </w:p>
        </w:tc>
        <w:tc>
          <w:tcPr>
            <w:tcW w:w="1675" w:type="dxa"/>
            <w:tcBorders>
              <w:top w:val="single" w:color="auto" w:sz="4" w:space="0"/>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公务接待费</w:t>
            </w:r>
          </w:p>
        </w:tc>
        <w:tc>
          <w:tcPr>
            <w:tcW w:w="1501" w:type="dxa"/>
            <w:tcBorders>
              <w:top w:val="single" w:color="auto" w:sz="4" w:space="0"/>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2048" w:type="dxa"/>
            <w:tcBorders>
              <w:top w:val="single" w:color="auto" w:sz="4" w:space="0"/>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31019</w:t>
            </w:r>
          </w:p>
        </w:tc>
        <w:tc>
          <w:tcPr>
            <w:tcW w:w="2405" w:type="dxa"/>
            <w:tcBorders>
              <w:top w:val="single" w:color="auto" w:sz="4" w:space="0"/>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其他交通工具购置</w:t>
            </w:r>
          </w:p>
        </w:tc>
        <w:tc>
          <w:tcPr>
            <w:tcW w:w="1550" w:type="dxa"/>
            <w:tcBorders>
              <w:top w:val="single" w:color="auto" w:sz="4" w:space="0"/>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1393" w:type="dxa"/>
            <w:tcBorders>
              <w:top w:val="single" w:color="auto" w:sz="4" w:space="0"/>
              <w:left w:val="single" w:color="auto" w:sz="4"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30303</w:t>
            </w:r>
          </w:p>
        </w:tc>
        <w:tc>
          <w:tcPr>
            <w:tcW w:w="2138"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退职（役）费</w:t>
            </w:r>
          </w:p>
        </w:tc>
        <w:tc>
          <w:tcPr>
            <w:tcW w:w="1281" w:type="dxa"/>
            <w:tcBorders>
              <w:top w:val="single" w:color="auto" w:sz="4"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30218</w:t>
            </w:r>
          </w:p>
        </w:tc>
        <w:tc>
          <w:tcPr>
            <w:tcW w:w="1675"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专用材料费</w:t>
            </w:r>
          </w:p>
        </w:tc>
        <w:tc>
          <w:tcPr>
            <w:tcW w:w="1501" w:type="dxa"/>
            <w:tcBorders>
              <w:top w:val="single" w:color="auto" w:sz="4"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2048"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31021</w:t>
            </w:r>
          </w:p>
        </w:tc>
        <w:tc>
          <w:tcPr>
            <w:tcW w:w="2405"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文物和陈列品购置</w:t>
            </w:r>
          </w:p>
        </w:tc>
        <w:tc>
          <w:tcPr>
            <w:tcW w:w="1550" w:type="dxa"/>
            <w:tcBorders>
              <w:top w:val="single" w:color="auto" w:sz="4" w:space="0"/>
              <w:left w:val="nil"/>
              <w:bottom w:val="single" w:color="000000" w:sz="8" w:space="0"/>
              <w:right w:val="single" w:color="auto" w:sz="4"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auto" w:sz="4" w:space="0"/>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30304</w:t>
            </w:r>
          </w:p>
        </w:tc>
        <w:tc>
          <w:tcPr>
            <w:tcW w:w="2138"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抚恤金</w:t>
            </w:r>
          </w:p>
        </w:tc>
        <w:tc>
          <w:tcPr>
            <w:tcW w:w="1281"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30224</w:t>
            </w:r>
          </w:p>
        </w:tc>
        <w:tc>
          <w:tcPr>
            <w:tcW w:w="1675"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被装购置费</w:t>
            </w:r>
          </w:p>
        </w:tc>
        <w:tc>
          <w:tcPr>
            <w:tcW w:w="1501"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2048"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31022</w:t>
            </w:r>
          </w:p>
        </w:tc>
        <w:tc>
          <w:tcPr>
            <w:tcW w:w="2405"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无形资产购置</w:t>
            </w:r>
          </w:p>
        </w:tc>
        <w:tc>
          <w:tcPr>
            <w:tcW w:w="1550" w:type="dxa"/>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single" w:color="auto" w:sz="4" w:space="0"/>
              <w:left w:val="single" w:color="auto" w:sz="4"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30305</w:t>
            </w:r>
          </w:p>
        </w:tc>
        <w:tc>
          <w:tcPr>
            <w:tcW w:w="2138"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生活补助</w:t>
            </w:r>
          </w:p>
        </w:tc>
        <w:tc>
          <w:tcPr>
            <w:tcW w:w="1281" w:type="dxa"/>
            <w:tcBorders>
              <w:top w:val="single" w:color="auto" w:sz="4"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0.21</w:t>
            </w:r>
          </w:p>
        </w:tc>
        <w:tc>
          <w:tcPr>
            <w:tcW w:w="1623"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30225</w:t>
            </w:r>
          </w:p>
        </w:tc>
        <w:tc>
          <w:tcPr>
            <w:tcW w:w="1675"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专用燃料费</w:t>
            </w:r>
          </w:p>
        </w:tc>
        <w:tc>
          <w:tcPr>
            <w:tcW w:w="1501" w:type="dxa"/>
            <w:tcBorders>
              <w:top w:val="single" w:color="auto" w:sz="4"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0.27</w:t>
            </w:r>
          </w:p>
        </w:tc>
        <w:tc>
          <w:tcPr>
            <w:tcW w:w="2048"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31099</w:t>
            </w:r>
          </w:p>
        </w:tc>
        <w:tc>
          <w:tcPr>
            <w:tcW w:w="2405"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其他资本性支出</w:t>
            </w:r>
          </w:p>
        </w:tc>
        <w:tc>
          <w:tcPr>
            <w:tcW w:w="1550" w:type="dxa"/>
            <w:tcBorders>
              <w:top w:val="single" w:color="auto" w:sz="4" w:space="0"/>
              <w:left w:val="nil"/>
              <w:bottom w:val="single" w:color="000000" w:sz="8" w:space="0"/>
              <w:right w:val="single" w:color="auto" w:sz="4"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auto" w:sz="4"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30306</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救济费</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30226</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劳务费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6.34</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其他支出</w:t>
            </w:r>
          </w:p>
        </w:tc>
        <w:tc>
          <w:tcPr>
            <w:tcW w:w="1550" w:type="dxa"/>
            <w:tcBorders>
              <w:top w:val="nil"/>
              <w:left w:val="nil"/>
              <w:bottom w:val="single" w:color="000000" w:sz="8" w:space="0"/>
              <w:right w:val="single" w:color="auto" w:sz="4"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auto" w:sz="4" w:space="0"/>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30307</w:t>
            </w:r>
          </w:p>
        </w:tc>
        <w:tc>
          <w:tcPr>
            <w:tcW w:w="2138"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医疗费补助</w:t>
            </w:r>
          </w:p>
        </w:tc>
        <w:tc>
          <w:tcPr>
            <w:tcW w:w="1281"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0.10</w:t>
            </w:r>
          </w:p>
        </w:tc>
        <w:tc>
          <w:tcPr>
            <w:tcW w:w="1623"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30227</w:t>
            </w:r>
          </w:p>
        </w:tc>
        <w:tc>
          <w:tcPr>
            <w:tcW w:w="1675"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委托业务费</w:t>
            </w:r>
          </w:p>
        </w:tc>
        <w:tc>
          <w:tcPr>
            <w:tcW w:w="1501"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16.13</w:t>
            </w:r>
          </w:p>
        </w:tc>
        <w:tc>
          <w:tcPr>
            <w:tcW w:w="2048"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39906</w:t>
            </w:r>
          </w:p>
        </w:tc>
        <w:tc>
          <w:tcPr>
            <w:tcW w:w="2405" w:type="dxa"/>
            <w:tcBorders>
              <w:top w:val="nil"/>
              <w:left w:val="nil"/>
              <w:bottom w:val="single" w:color="auto" w:sz="4"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赠与</w:t>
            </w:r>
          </w:p>
        </w:tc>
        <w:tc>
          <w:tcPr>
            <w:tcW w:w="1550" w:type="dxa"/>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single" w:color="auto" w:sz="4" w:space="0"/>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30308</w:t>
            </w:r>
          </w:p>
        </w:tc>
        <w:tc>
          <w:tcPr>
            <w:tcW w:w="2138"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助学金</w:t>
            </w:r>
          </w:p>
        </w:tc>
        <w:tc>
          <w:tcPr>
            <w:tcW w:w="1281" w:type="dxa"/>
            <w:tcBorders>
              <w:top w:val="single" w:color="auto" w:sz="4"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30228</w:t>
            </w:r>
          </w:p>
        </w:tc>
        <w:tc>
          <w:tcPr>
            <w:tcW w:w="1675"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工会经费</w:t>
            </w:r>
          </w:p>
        </w:tc>
        <w:tc>
          <w:tcPr>
            <w:tcW w:w="1501" w:type="dxa"/>
            <w:tcBorders>
              <w:top w:val="single" w:color="auto" w:sz="4"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4.77</w:t>
            </w:r>
          </w:p>
        </w:tc>
        <w:tc>
          <w:tcPr>
            <w:tcW w:w="2048"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39907</w:t>
            </w:r>
          </w:p>
        </w:tc>
        <w:tc>
          <w:tcPr>
            <w:tcW w:w="2405" w:type="dxa"/>
            <w:tcBorders>
              <w:top w:val="single" w:color="auto" w:sz="4"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国家赔偿费用支出</w:t>
            </w:r>
          </w:p>
        </w:tc>
        <w:tc>
          <w:tcPr>
            <w:tcW w:w="1550" w:type="dxa"/>
            <w:tcBorders>
              <w:top w:val="single" w:color="auto" w:sz="4" w:space="0"/>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30309</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奖励金</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30229</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福利费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1.20</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39908</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对民间非营利组织和群众性自治组织补贴</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30310</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个人农业生产补贴</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30231</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公务用车运行维护费</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204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39999</w:t>
            </w:r>
          </w:p>
        </w:tc>
        <w:tc>
          <w:tcPr>
            <w:tcW w:w="240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其他支出</w:t>
            </w:r>
          </w:p>
        </w:tc>
        <w:tc>
          <w:tcPr>
            <w:tcW w:w="1550" w:type="dxa"/>
            <w:tcBorders>
              <w:top w:val="nil"/>
              <w:left w:val="nil"/>
              <w:bottom w:val="single" w:color="000000" w:sz="8" w:space="0"/>
              <w:right w:val="single" w:color="000000" w:sz="8" w:space="0"/>
            </w:tcBorders>
            <w:shd w:val="clear" w:color="auto" w:fill="auto"/>
            <w:noWrap/>
            <w:vAlign w:val="center"/>
          </w:tcPr>
          <w:p>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30311</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代缴社会保险费</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30239</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其他交通费用</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11.32</w:t>
            </w:r>
          </w:p>
        </w:tc>
        <w:tc>
          <w:tcPr>
            <w:tcW w:w="2048"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05"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50" w:type="dxa"/>
            <w:tcBorders>
              <w:top w:val="nil"/>
              <w:left w:val="nil"/>
              <w:bottom w:val="single" w:color="000000" w:sz="8" w:space="0"/>
              <w:right w:val="single" w:color="000000" w:sz="8" w:space="0"/>
            </w:tcBorders>
            <w:shd w:val="clear" w:color="auto" w:fill="auto"/>
            <w:noWrap/>
            <w:vAlign w:val="bottom"/>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30399</w:t>
            </w:r>
          </w:p>
        </w:tc>
        <w:tc>
          <w:tcPr>
            <w:tcW w:w="2138"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其他对个人和家庭的补助</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30240</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税金及附加费用</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2048"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05"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50" w:type="dxa"/>
            <w:tcBorders>
              <w:top w:val="nil"/>
              <w:left w:val="nil"/>
              <w:bottom w:val="single" w:color="000000" w:sz="8" w:space="0"/>
              <w:right w:val="single" w:color="000000" w:sz="8" w:space="0"/>
            </w:tcBorders>
            <w:shd w:val="clear" w:color="auto" w:fill="auto"/>
            <w:noWrap/>
            <w:vAlign w:val="bottom"/>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38"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281" w:type="dxa"/>
            <w:tcBorders>
              <w:top w:val="nil"/>
              <w:left w:val="nil"/>
              <w:bottom w:val="single" w:color="000000" w:sz="8" w:space="0"/>
              <w:right w:val="single" w:color="000000" w:sz="8" w:space="0"/>
            </w:tcBorders>
            <w:shd w:val="clear" w:color="auto" w:fill="auto"/>
            <w:noWrap/>
            <w:vAlign w:val="bottom"/>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23"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30299</w:t>
            </w:r>
          </w:p>
        </w:tc>
        <w:tc>
          <w:tcPr>
            <w:tcW w:w="16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其他商品和服务支出</w:t>
            </w:r>
          </w:p>
        </w:tc>
        <w:tc>
          <w:tcPr>
            <w:tcW w:w="150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5.33</w:t>
            </w:r>
          </w:p>
        </w:tc>
        <w:tc>
          <w:tcPr>
            <w:tcW w:w="2048"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05"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50" w:type="dxa"/>
            <w:tcBorders>
              <w:top w:val="nil"/>
              <w:left w:val="nil"/>
              <w:bottom w:val="single" w:color="000000" w:sz="8" w:space="0"/>
              <w:right w:val="single" w:color="000000" w:sz="8" w:space="0"/>
            </w:tcBorders>
            <w:shd w:val="clear" w:color="auto" w:fill="auto"/>
            <w:noWrap/>
            <w:vAlign w:val="bottom"/>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531" w:type="dxa"/>
            <w:gridSpan w:val="2"/>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人员经费合计</w:t>
            </w:r>
          </w:p>
        </w:tc>
        <w:tc>
          <w:tcPr>
            <w:tcW w:w="128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380.38</w:t>
            </w:r>
          </w:p>
        </w:tc>
        <w:tc>
          <w:tcPr>
            <w:tcW w:w="9252" w:type="dxa"/>
            <w:gridSpan w:val="5"/>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公用经费合计</w:t>
            </w:r>
          </w:p>
        </w:tc>
        <w:tc>
          <w:tcPr>
            <w:tcW w:w="15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97.34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614" w:type="dxa"/>
            <w:gridSpan w:val="9"/>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注：本表反映部门本年度一般公共预算财政拨款基本支出明细情况。</w:t>
            </w:r>
          </w:p>
        </w:tc>
      </w:tr>
    </w:tbl>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kern w:val="0"/>
          <w:sz w:val="36"/>
          <w:szCs w:val="36"/>
        </w:rPr>
      </w:pPr>
      <w:bookmarkStart w:id="0" w:name="RANGE_A1_I22"/>
      <w:bookmarkEnd w:id="0"/>
      <w:bookmarkStart w:id="1" w:name="RANGE_A1_F16"/>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tbl>
      <w:tblPr>
        <w:tblStyle w:val="6"/>
        <w:tblW w:w="4999" w:type="pct"/>
        <w:tblInd w:w="0" w:type="dxa"/>
        <w:shd w:val="clear" w:color="auto" w:fill="auto"/>
        <w:tblLayout w:type="autofit"/>
        <w:tblCellMar>
          <w:top w:w="0" w:type="dxa"/>
          <w:left w:w="108" w:type="dxa"/>
          <w:bottom w:w="0" w:type="dxa"/>
          <w:right w:w="108" w:type="dxa"/>
        </w:tblCellMar>
      </w:tblPr>
      <w:tblGrid>
        <w:gridCol w:w="2416"/>
        <w:gridCol w:w="1151"/>
        <w:gridCol w:w="1151"/>
        <w:gridCol w:w="1152"/>
        <w:gridCol w:w="1165"/>
        <w:gridCol w:w="1177"/>
        <w:gridCol w:w="1152"/>
        <w:gridCol w:w="1152"/>
        <w:gridCol w:w="1152"/>
        <w:gridCol w:w="1152"/>
        <w:gridCol w:w="1171"/>
        <w:gridCol w:w="1620"/>
      </w:tblGrid>
      <w:tr>
        <w:tblPrEx>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themeColor="text1"/>
                <w:kern w:val="0"/>
                <w:sz w:val="30"/>
                <w:szCs w:val="30"/>
                <w:u w:val="none"/>
                <w:lang w:val="en-US" w:eastAsia="zh-CN" w:bidi="ar"/>
                <w14:textFill>
                  <w14:solidFill>
                    <w14:schemeClr w14:val="tx1"/>
                  </w14:solidFill>
                </w14:textFill>
              </w:rPr>
              <w:t>一般公共预算财政拨款“三公”经费支出决算表</w:t>
            </w:r>
          </w:p>
        </w:tc>
      </w:tr>
      <w:tr>
        <w:tblPrEx>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1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1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2628" w:type="pct"/>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2371" w:type="pct"/>
            <w:gridSpan w:val="6"/>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决算数</w:t>
            </w:r>
          </w:p>
        </w:tc>
      </w:tr>
      <w:tr>
        <w:tblPrEx>
          <w:tblCellMar>
            <w:top w:w="0" w:type="dxa"/>
            <w:left w:w="108" w:type="dxa"/>
            <w:bottom w:w="0" w:type="dxa"/>
            <w:right w:w="108" w:type="dxa"/>
          </w:tblCellMar>
        </w:tblPrEx>
        <w:trPr>
          <w:trHeight w:val="308" w:hRule="atLeast"/>
        </w:trPr>
        <w:tc>
          <w:tcPr>
            <w:tcW w:w="773" w:type="pct"/>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369"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因公出国（境）费</w:t>
            </w:r>
          </w:p>
        </w:tc>
        <w:tc>
          <w:tcPr>
            <w:tcW w:w="1111" w:type="pct"/>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公务用车购置及运行费</w:t>
            </w:r>
          </w:p>
        </w:tc>
        <w:tc>
          <w:tcPr>
            <w:tcW w:w="373"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公务接待费</w:t>
            </w:r>
          </w:p>
        </w:tc>
        <w:tc>
          <w:tcPr>
            <w:tcW w:w="369"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369"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因公出国（境）费</w:t>
            </w:r>
          </w:p>
        </w:tc>
        <w:tc>
          <w:tcPr>
            <w:tcW w:w="1113" w:type="pct"/>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公务用车购置及运行费</w:t>
            </w:r>
          </w:p>
        </w:tc>
        <w:tc>
          <w:tcPr>
            <w:tcW w:w="517"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公务接待费</w:t>
            </w:r>
          </w:p>
        </w:tc>
      </w:tr>
      <w:tr>
        <w:tblPrEx>
          <w:tblCellMar>
            <w:top w:w="0" w:type="dxa"/>
            <w:left w:w="108" w:type="dxa"/>
            <w:bottom w:w="0" w:type="dxa"/>
            <w:right w:w="108" w:type="dxa"/>
          </w:tblCellMar>
        </w:tblPrEx>
        <w:trPr>
          <w:trHeight w:val="615" w:hRule="atLeast"/>
        </w:trPr>
        <w:tc>
          <w:tcPr>
            <w:tcW w:w="773" w:type="pct"/>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369"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公务用车购置费</w:t>
            </w:r>
          </w:p>
        </w:tc>
        <w:tc>
          <w:tcPr>
            <w:tcW w:w="37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公务用车运行费</w:t>
            </w:r>
          </w:p>
        </w:tc>
        <w:tc>
          <w:tcPr>
            <w:tcW w:w="373"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369"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369"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公务用车购置费</w:t>
            </w:r>
          </w:p>
        </w:tc>
        <w:tc>
          <w:tcPr>
            <w:tcW w:w="37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公务用车运行费</w:t>
            </w:r>
          </w:p>
        </w:tc>
        <w:tc>
          <w:tcPr>
            <w:tcW w:w="517"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308" w:hRule="atLeast"/>
        </w:trPr>
        <w:tc>
          <w:tcPr>
            <w:tcW w:w="773" w:type="pc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7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73"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7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17"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CellMar>
            <w:top w:w="0" w:type="dxa"/>
            <w:left w:w="108" w:type="dxa"/>
            <w:bottom w:w="0" w:type="dxa"/>
            <w:right w:w="108" w:type="dxa"/>
          </w:tblCellMar>
        </w:tblPrEx>
        <w:trPr>
          <w:trHeight w:val="308" w:hRule="atLeast"/>
        </w:trPr>
        <w:tc>
          <w:tcPr>
            <w:tcW w:w="77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5.30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5.30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w:t>
            </w:r>
            <w:r>
              <w:rPr>
                <w:rFonts w:hint="eastAsia" w:ascii="宋体" w:hAnsi="宋体" w:cs="宋体"/>
                <w:i w:val="0"/>
                <w:iCs w:val="0"/>
                <w:color w:val="000000"/>
                <w:kern w:val="0"/>
                <w:sz w:val="22"/>
                <w:szCs w:val="22"/>
                <w:u w:val="none"/>
                <w:lang w:val="en-US" w:eastAsia="zh-CN" w:bidi="ar"/>
              </w:rPr>
              <w:t>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w:t>
            </w:r>
            <w:r>
              <w:rPr>
                <w:rFonts w:hint="eastAsia" w:ascii="宋体" w:hAnsi="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615" w:hRule="atLeast"/>
        </w:trPr>
        <w:tc>
          <w:tcPr>
            <w:tcW w:w="5000" w:type="pct"/>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both"/>
        <w:rPr>
          <w:rFonts w:ascii="Times New Roman" w:hAnsi="Times New Roman" w:eastAsia="方正小标宋_GBK" w:cs="Times New Roman"/>
          <w:kern w:val="0"/>
          <w:sz w:val="36"/>
          <w:szCs w:val="36"/>
        </w:rPr>
      </w:pPr>
    </w:p>
    <w:p>
      <w:pPr>
        <w:widowControl/>
        <w:jc w:val="both"/>
        <w:rPr>
          <w:rFonts w:ascii="Times New Roman" w:hAnsi="Times New Roman" w:eastAsia="方正小标宋_GBK" w:cs="Times New Roman"/>
          <w:kern w:val="0"/>
          <w:sz w:val="36"/>
          <w:szCs w:val="36"/>
        </w:rPr>
      </w:pPr>
    </w:p>
    <w:tbl>
      <w:tblPr>
        <w:tblStyle w:val="6"/>
        <w:tblW w:w="5000" w:type="pct"/>
        <w:tblInd w:w="0" w:type="dxa"/>
        <w:shd w:val="clear" w:color="auto" w:fill="auto"/>
        <w:tblLayout w:type="autofit"/>
        <w:tblCellMar>
          <w:top w:w="0" w:type="dxa"/>
          <w:left w:w="108" w:type="dxa"/>
          <w:bottom w:w="0" w:type="dxa"/>
          <w:right w:w="108" w:type="dxa"/>
        </w:tblCellMar>
      </w:tblPr>
      <w:tblGrid>
        <w:gridCol w:w="3597"/>
        <w:gridCol w:w="328"/>
        <w:gridCol w:w="331"/>
        <w:gridCol w:w="1633"/>
        <w:gridCol w:w="1458"/>
        <w:gridCol w:w="1458"/>
        <w:gridCol w:w="1458"/>
        <w:gridCol w:w="1461"/>
        <w:gridCol w:w="1466"/>
        <w:gridCol w:w="2424"/>
      </w:tblGrid>
      <w:tr>
        <w:tblPrEx>
          <w:shd w:val="clear" w:color="auto" w:fill="auto"/>
          <w:tblCellMar>
            <w:top w:w="0" w:type="dxa"/>
            <w:left w:w="108" w:type="dxa"/>
            <w:bottom w:w="0" w:type="dxa"/>
            <w:right w:w="108" w:type="dxa"/>
          </w:tblCellMar>
        </w:tblPrEx>
        <w:trPr>
          <w:trHeight w:val="390" w:hRule="atLeast"/>
        </w:trPr>
        <w:tc>
          <w:tcPr>
            <w:tcW w:w="5000" w:type="pct"/>
            <w:gridSpan w:val="10"/>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tblPrEx>
          <w:tblCellMar>
            <w:top w:w="0" w:type="dxa"/>
            <w:left w:w="108" w:type="dxa"/>
            <w:bottom w:w="0" w:type="dxa"/>
            <w:right w:w="108" w:type="dxa"/>
          </w:tblCellMar>
        </w:tblPrEx>
        <w:trPr>
          <w:trHeight w:val="255" w:hRule="atLeast"/>
        </w:trPr>
        <w:tc>
          <w:tcPr>
            <w:tcW w:w="115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2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7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tblPrEx>
          <w:tblCellMar>
            <w:top w:w="0" w:type="dxa"/>
            <w:left w:w="108" w:type="dxa"/>
            <w:bottom w:w="0" w:type="dxa"/>
            <w:right w:w="108" w:type="dxa"/>
          </w:tblCellMar>
        </w:tblPrEx>
        <w:trPr>
          <w:trHeight w:val="255" w:hRule="atLeast"/>
        </w:trPr>
        <w:tc>
          <w:tcPr>
            <w:tcW w:w="1152"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10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2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7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1886"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467"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年初结转和结余</w:t>
            </w:r>
          </w:p>
        </w:tc>
        <w:tc>
          <w:tcPr>
            <w:tcW w:w="467"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本年收入</w:t>
            </w:r>
          </w:p>
        </w:tc>
        <w:tc>
          <w:tcPr>
            <w:tcW w:w="1404" w:type="pct"/>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w:t>
            </w:r>
          </w:p>
        </w:tc>
        <w:tc>
          <w:tcPr>
            <w:tcW w:w="773"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年末结转和结余</w:t>
            </w:r>
          </w:p>
        </w:tc>
      </w:tr>
      <w:tr>
        <w:tblPrEx>
          <w:tblCellMar>
            <w:top w:w="0" w:type="dxa"/>
            <w:left w:w="108" w:type="dxa"/>
            <w:bottom w:w="0" w:type="dxa"/>
            <w:right w:w="108" w:type="dxa"/>
          </w:tblCellMar>
        </w:tblPrEx>
        <w:trPr>
          <w:trHeight w:val="308" w:hRule="atLeast"/>
        </w:trPr>
        <w:tc>
          <w:tcPr>
            <w:tcW w:w="1363"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功能分类科目编码</w:t>
            </w:r>
          </w:p>
        </w:tc>
        <w:tc>
          <w:tcPr>
            <w:tcW w:w="522"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467"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468"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468"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c>
          <w:tcPr>
            <w:tcW w:w="77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308" w:hRule="atLeast"/>
        </w:trPr>
        <w:tc>
          <w:tcPr>
            <w:tcW w:w="1363"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522"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4"/>
                <w:szCs w:val="24"/>
                <w:u w:val="none"/>
              </w:rPr>
            </w:pP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467"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468"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468"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77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312" w:hRule="atLeast"/>
        </w:trPr>
        <w:tc>
          <w:tcPr>
            <w:tcW w:w="1363"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522"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4"/>
                <w:szCs w:val="24"/>
                <w:u w:val="none"/>
              </w:rPr>
            </w:pP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467"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468"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468"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c>
          <w:tcPr>
            <w:tcW w:w="77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308" w:hRule="atLeast"/>
        </w:trPr>
        <w:tc>
          <w:tcPr>
            <w:tcW w:w="1886"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栏次</w:t>
            </w:r>
          </w:p>
        </w:tc>
        <w:tc>
          <w:tcPr>
            <w:tcW w:w="46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6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6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46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46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77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CellMar>
            <w:top w:w="0" w:type="dxa"/>
            <w:left w:w="108" w:type="dxa"/>
            <w:bottom w:w="0" w:type="dxa"/>
            <w:right w:w="108" w:type="dxa"/>
          </w:tblCellMar>
        </w:tblPrEx>
        <w:trPr>
          <w:trHeight w:val="308" w:hRule="atLeast"/>
        </w:trPr>
        <w:tc>
          <w:tcPr>
            <w:tcW w:w="1886"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合计</w:t>
            </w:r>
          </w:p>
        </w:tc>
        <w:tc>
          <w:tcPr>
            <w:tcW w:w="467" w:type="pct"/>
            <w:tcBorders>
              <w:top w:val="nil"/>
              <w:left w:val="nil"/>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sz w:val="22"/>
                <w:szCs w:val="22"/>
                <w:u w:val="none"/>
                <w:lang w:val="en-US" w:eastAsia="zh-CN"/>
              </w:rPr>
            </w:pPr>
            <w:r>
              <w:rPr>
                <w:rFonts w:hint="eastAsia" w:ascii="宋体" w:hAnsi="宋体" w:cs="宋体"/>
                <w:b w:val="0"/>
                <w:bCs w:val="0"/>
                <w:i w:val="0"/>
                <w:iCs w:val="0"/>
                <w:color w:val="000000"/>
                <w:sz w:val="22"/>
                <w:szCs w:val="22"/>
                <w:u w:val="none"/>
                <w:lang w:val="en-US" w:eastAsia="zh-CN"/>
              </w:rPr>
              <w:t>0.00</w:t>
            </w:r>
          </w:p>
        </w:tc>
        <w:tc>
          <w:tcPr>
            <w:tcW w:w="467" w:type="pct"/>
            <w:tcBorders>
              <w:top w:val="nil"/>
              <w:left w:val="nil"/>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sz w:val="22"/>
                <w:szCs w:val="22"/>
                <w:u w:val="none"/>
                <w:lang w:val="en-US" w:eastAsia="zh-CN"/>
              </w:rPr>
            </w:pPr>
            <w:r>
              <w:rPr>
                <w:rFonts w:hint="eastAsia" w:ascii="宋体" w:hAnsi="宋体" w:cs="宋体"/>
                <w:b w:val="0"/>
                <w:bCs w:val="0"/>
                <w:i w:val="0"/>
                <w:iCs w:val="0"/>
                <w:color w:val="000000"/>
                <w:sz w:val="22"/>
                <w:szCs w:val="22"/>
                <w:u w:val="none"/>
                <w:lang w:val="en-US" w:eastAsia="zh-CN"/>
              </w:rPr>
              <w:t>0.00</w:t>
            </w:r>
          </w:p>
        </w:tc>
        <w:tc>
          <w:tcPr>
            <w:tcW w:w="467" w:type="pct"/>
            <w:tcBorders>
              <w:top w:val="nil"/>
              <w:left w:val="nil"/>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sz w:val="22"/>
                <w:szCs w:val="22"/>
                <w:u w:val="none"/>
                <w:lang w:val="en-US" w:eastAsia="zh-CN"/>
              </w:rPr>
            </w:pPr>
            <w:r>
              <w:rPr>
                <w:rFonts w:hint="eastAsia" w:ascii="宋体" w:hAnsi="宋体" w:cs="宋体"/>
                <w:b w:val="0"/>
                <w:bCs w:val="0"/>
                <w:i w:val="0"/>
                <w:iCs w:val="0"/>
                <w:color w:val="000000"/>
                <w:sz w:val="22"/>
                <w:szCs w:val="22"/>
                <w:u w:val="none"/>
                <w:lang w:val="en-US" w:eastAsia="zh-CN"/>
              </w:rPr>
              <w:t>0.00</w:t>
            </w:r>
          </w:p>
        </w:tc>
        <w:tc>
          <w:tcPr>
            <w:tcW w:w="468" w:type="pct"/>
            <w:tcBorders>
              <w:top w:val="nil"/>
              <w:left w:val="nil"/>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sz w:val="22"/>
                <w:szCs w:val="22"/>
                <w:u w:val="none"/>
                <w:lang w:val="en-US" w:eastAsia="zh-CN"/>
              </w:rPr>
            </w:pPr>
            <w:r>
              <w:rPr>
                <w:rFonts w:hint="eastAsia" w:ascii="宋体" w:hAnsi="宋体" w:cs="宋体"/>
                <w:b w:val="0"/>
                <w:bCs w:val="0"/>
                <w:i w:val="0"/>
                <w:iCs w:val="0"/>
                <w:color w:val="000000"/>
                <w:sz w:val="22"/>
                <w:szCs w:val="22"/>
                <w:u w:val="none"/>
                <w:lang w:val="en-US" w:eastAsia="zh-CN"/>
              </w:rPr>
              <w:t>0.00</w:t>
            </w:r>
          </w:p>
        </w:tc>
        <w:tc>
          <w:tcPr>
            <w:tcW w:w="468" w:type="pct"/>
            <w:tcBorders>
              <w:top w:val="nil"/>
              <w:left w:val="nil"/>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sz w:val="22"/>
                <w:szCs w:val="22"/>
                <w:u w:val="none"/>
                <w:lang w:val="en-US" w:eastAsia="zh-CN"/>
              </w:rPr>
            </w:pPr>
            <w:r>
              <w:rPr>
                <w:rFonts w:hint="eastAsia" w:ascii="宋体" w:hAnsi="宋体" w:cs="宋体"/>
                <w:b w:val="0"/>
                <w:bCs w:val="0"/>
                <w:i w:val="0"/>
                <w:iCs w:val="0"/>
                <w:color w:val="000000"/>
                <w:sz w:val="22"/>
                <w:szCs w:val="22"/>
                <w:u w:val="none"/>
                <w:lang w:val="en-US" w:eastAsia="zh-CN"/>
              </w:rPr>
              <w:t>0.00</w:t>
            </w:r>
          </w:p>
        </w:tc>
        <w:tc>
          <w:tcPr>
            <w:tcW w:w="773" w:type="pct"/>
            <w:tcBorders>
              <w:top w:val="nil"/>
              <w:left w:val="nil"/>
              <w:bottom w:val="single" w:color="000000" w:sz="4" w:space="0"/>
              <w:right w:val="single" w:color="000000" w:sz="4" w:space="0"/>
            </w:tcBorders>
            <w:shd w:val="clear" w:color="auto" w:fill="auto"/>
            <w:noWrap/>
            <w:vAlign w:val="center"/>
          </w:tcPr>
          <w:p>
            <w:pPr>
              <w:jc w:val="center"/>
              <w:rPr>
                <w:rFonts w:hint="default" w:ascii="宋体" w:hAnsi="宋体" w:eastAsia="宋体" w:cs="宋体"/>
                <w:b w:val="0"/>
                <w:bCs w:val="0"/>
                <w:i w:val="0"/>
                <w:iCs w:val="0"/>
                <w:color w:val="000000"/>
                <w:sz w:val="22"/>
                <w:szCs w:val="22"/>
                <w:u w:val="none"/>
                <w:lang w:val="en-US" w:eastAsia="zh-CN"/>
              </w:rPr>
            </w:pPr>
            <w:r>
              <w:rPr>
                <w:rFonts w:hint="eastAsia" w:ascii="宋体" w:hAnsi="宋体" w:cs="宋体"/>
                <w:b w:val="0"/>
                <w:bCs w:val="0"/>
                <w:i w:val="0"/>
                <w:iCs w:val="0"/>
                <w:color w:val="000000"/>
                <w:sz w:val="22"/>
                <w:szCs w:val="22"/>
                <w:u w:val="none"/>
                <w:lang w:val="en-US" w:eastAsia="zh-CN"/>
              </w:rPr>
              <w:t>0.00</w:t>
            </w:r>
          </w:p>
        </w:tc>
      </w:tr>
      <w:tr>
        <w:tblPrEx>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注：本表反映部门本年度政府性基金预算财政拨款收入、支出及结转和结余情况。</w:t>
            </w:r>
          </w:p>
        </w:tc>
      </w:tr>
    </w:tbl>
    <w:p>
      <w:pPr>
        <w:widowControl/>
        <w:jc w:val="center"/>
        <w:rPr>
          <w:rFonts w:ascii="Times New Roman" w:hAnsi="Times New Roman" w:eastAsia="方正小标宋_GBK" w:cs="Times New Roman"/>
          <w:kern w:val="0"/>
          <w:sz w:val="36"/>
          <w:szCs w:val="36"/>
        </w:rPr>
      </w:pPr>
    </w:p>
    <w:bookmarkEnd w:id="1"/>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p>
      <w:pPr>
        <w:widowControl/>
        <w:jc w:val="left"/>
        <w:rPr>
          <w:rFonts w:ascii="Times New Roman" w:hAnsi="Times New Roman" w:eastAsia="仿宋_GB2312" w:cs="Times New Roman"/>
          <w:kern w:val="0"/>
          <w:sz w:val="32"/>
          <w:szCs w:val="32"/>
        </w:rPr>
      </w:pPr>
    </w:p>
    <w:tbl>
      <w:tblPr>
        <w:tblStyle w:val="6"/>
        <w:tblW w:w="5000" w:type="pct"/>
        <w:tblInd w:w="0" w:type="dxa"/>
        <w:tblLayout w:type="autofit"/>
        <w:tblCellMar>
          <w:top w:w="0" w:type="dxa"/>
          <w:left w:w="108" w:type="dxa"/>
          <w:bottom w:w="0" w:type="dxa"/>
          <w:right w:w="108" w:type="dxa"/>
        </w:tblCellMar>
      </w:tblPr>
      <w:tblGrid>
        <w:gridCol w:w="1165"/>
        <w:gridCol w:w="615"/>
        <w:gridCol w:w="1199"/>
        <w:gridCol w:w="2339"/>
        <w:gridCol w:w="1346"/>
        <w:gridCol w:w="1458"/>
        <w:gridCol w:w="1421"/>
        <w:gridCol w:w="1852"/>
        <w:gridCol w:w="4219"/>
      </w:tblGrid>
      <w:tr>
        <w:tblPrEx>
          <w:tblCellMar>
            <w:top w:w="0" w:type="dxa"/>
            <w:left w:w="108" w:type="dxa"/>
            <w:bottom w:w="0" w:type="dxa"/>
            <w:right w:w="108" w:type="dxa"/>
          </w:tblCellMar>
        </w:tblPrEx>
        <w:trPr>
          <w:trHeight w:val="720" w:hRule="atLeast"/>
        </w:trPr>
        <w:tc>
          <w:tcPr>
            <w:tcW w:w="5000" w:type="pct"/>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宋体" w:hAnsi="宋体" w:eastAsia="宋体" w:cs="宋体"/>
                <w:i w:val="0"/>
                <w:iCs w:val="0"/>
                <w:color w:val="000000"/>
                <w:kern w:val="0"/>
                <w:sz w:val="30"/>
                <w:szCs w:val="30"/>
                <w:u w:val="none"/>
                <w:lang w:val="en-US" w:eastAsia="zh-CN" w:bidi="ar"/>
              </w:rPr>
              <w:t>国有资本经营预算财政拨款支出决算表</w:t>
            </w:r>
          </w:p>
        </w:tc>
      </w:tr>
      <w:tr>
        <w:tblPrEx>
          <w:tblCellMar>
            <w:top w:w="0" w:type="dxa"/>
            <w:left w:w="108" w:type="dxa"/>
            <w:bottom w:w="0" w:type="dxa"/>
            <w:right w:w="108" w:type="dxa"/>
          </w:tblCellMar>
        </w:tblPrEx>
        <w:trPr>
          <w:trHeight w:val="387" w:hRule="atLeast"/>
        </w:trPr>
        <w:tc>
          <w:tcPr>
            <w:tcW w:w="373" w:type="pct"/>
            <w:tcBorders>
              <w:top w:val="nil"/>
              <w:left w:val="nil"/>
              <w:bottom w:val="nil"/>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97" w:type="pct"/>
            <w:tcBorders>
              <w:top w:val="nil"/>
              <w:left w:val="nil"/>
              <w:bottom w:val="nil"/>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132" w:type="pct"/>
            <w:gridSpan w:val="2"/>
            <w:tcBorders>
              <w:top w:val="nil"/>
              <w:left w:val="nil"/>
              <w:bottom w:val="nil"/>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431" w:type="pct"/>
            <w:tcBorders>
              <w:top w:val="nil"/>
              <w:left w:val="nil"/>
              <w:bottom w:val="nil"/>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922" w:type="pct"/>
            <w:gridSpan w:val="2"/>
            <w:tcBorders>
              <w:top w:val="nil"/>
              <w:left w:val="nil"/>
              <w:bottom w:val="nil"/>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942" w:type="pct"/>
            <w:gridSpan w:val="2"/>
            <w:tcBorders>
              <w:top w:val="nil"/>
              <w:left w:val="nil"/>
              <w:bottom w:val="nil"/>
              <w:right w:val="nil"/>
            </w:tcBorders>
            <w:shd w:val="clear" w:color="000000" w:fill="FFFFFF"/>
            <w:noWrap/>
            <w:vAlign w:val="center"/>
          </w:tcPr>
          <w:p>
            <w:pPr>
              <w:keepNext w:val="0"/>
              <w:keepLines w:val="0"/>
              <w:widowControl/>
              <w:suppressLineNumbers w:val="0"/>
              <w:jc w:val="right"/>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公开</w:t>
            </w:r>
            <w:r>
              <w:rPr>
                <w:rFonts w:hint="default" w:ascii="宋体" w:hAnsi="宋体" w:eastAsia="宋体" w:cs="宋体"/>
                <w:i w:val="0"/>
                <w:iCs w:val="0"/>
                <w:color w:val="000000"/>
                <w:kern w:val="0"/>
                <w:sz w:val="20"/>
                <w:szCs w:val="20"/>
                <w:u w:val="none"/>
                <w:lang w:val="en-US" w:eastAsia="zh-CN" w:bidi="ar"/>
              </w:rPr>
              <w:t>09</w:t>
            </w:r>
            <w:r>
              <w:rPr>
                <w:rFonts w:hint="eastAsia" w:ascii="宋体" w:hAnsi="宋体" w:eastAsia="宋体" w:cs="宋体"/>
                <w:i w:val="0"/>
                <w:iCs w:val="0"/>
                <w:color w:val="000000"/>
                <w:kern w:val="0"/>
                <w:sz w:val="20"/>
                <w:szCs w:val="20"/>
                <w:u w:val="none"/>
                <w:lang w:val="en-US" w:eastAsia="zh-CN" w:bidi="ar"/>
              </w:rPr>
              <w:t>表</w:t>
            </w:r>
          </w:p>
        </w:tc>
      </w:tr>
      <w:tr>
        <w:tblPrEx>
          <w:tblCellMar>
            <w:top w:w="0" w:type="dxa"/>
            <w:left w:w="108" w:type="dxa"/>
            <w:bottom w:w="0" w:type="dxa"/>
            <w:right w:w="108" w:type="dxa"/>
          </w:tblCellMar>
        </w:tblPrEx>
        <w:trPr>
          <w:trHeight w:val="411" w:hRule="atLeast"/>
        </w:trPr>
        <w:tc>
          <w:tcPr>
            <w:tcW w:w="1703" w:type="pct"/>
            <w:gridSpan w:val="4"/>
            <w:tcBorders>
              <w:top w:val="nil"/>
              <w:left w:val="nil"/>
              <w:bottom w:val="nil"/>
              <w:right w:val="nil"/>
            </w:tcBorders>
            <w:shd w:val="clear" w:color="000000" w:fill="FFFFFF"/>
            <w:noWrap/>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部门：湘潭县医疗保障局　　</w:t>
            </w:r>
          </w:p>
        </w:tc>
        <w:tc>
          <w:tcPr>
            <w:tcW w:w="431" w:type="pct"/>
            <w:tcBorders>
              <w:top w:val="nil"/>
              <w:left w:val="nil"/>
              <w:bottom w:val="single" w:color="auto" w:sz="8" w:space="0"/>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922" w:type="pct"/>
            <w:gridSpan w:val="2"/>
            <w:tcBorders>
              <w:top w:val="nil"/>
              <w:left w:val="nil"/>
              <w:bottom w:val="single" w:color="auto" w:sz="8" w:space="0"/>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942" w:type="pct"/>
            <w:gridSpan w:val="2"/>
            <w:tcBorders>
              <w:top w:val="nil"/>
              <w:left w:val="nil"/>
              <w:bottom w:val="nil"/>
              <w:right w:val="nil"/>
            </w:tcBorders>
            <w:shd w:val="clear" w:color="000000" w:fill="FFFFFF"/>
            <w:noWrap/>
            <w:vAlign w:val="center"/>
          </w:tcPr>
          <w:p>
            <w:pPr>
              <w:keepNext w:val="0"/>
              <w:keepLines w:val="0"/>
              <w:widowControl/>
              <w:suppressLineNumbers w:val="0"/>
              <w:jc w:val="right"/>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单位：万元</w:t>
            </w:r>
          </w:p>
        </w:tc>
      </w:tr>
      <w:tr>
        <w:tblPrEx>
          <w:tblCellMar>
            <w:top w:w="0" w:type="dxa"/>
            <w:left w:w="108" w:type="dxa"/>
            <w:bottom w:w="0" w:type="dxa"/>
            <w:right w:w="108" w:type="dxa"/>
          </w:tblCellMar>
        </w:tblPrEx>
        <w:trPr>
          <w:trHeight w:val="402" w:hRule="atLeast"/>
        </w:trPr>
        <w:tc>
          <w:tcPr>
            <w:tcW w:w="1703" w:type="pct"/>
            <w:gridSpan w:val="4"/>
            <w:tcBorders>
              <w:top w:val="single" w:color="auto" w:sz="8"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w:t>
            </w:r>
          </w:p>
        </w:tc>
        <w:tc>
          <w:tcPr>
            <w:tcW w:w="3296" w:type="pct"/>
            <w:gridSpan w:val="5"/>
            <w:tcBorders>
              <w:top w:val="single" w:color="auto" w:sz="8" w:space="0"/>
              <w:left w:val="nil"/>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本年支出</w:t>
            </w:r>
          </w:p>
        </w:tc>
      </w:tr>
      <w:tr>
        <w:tblPrEx>
          <w:tblCellMar>
            <w:top w:w="0" w:type="dxa"/>
            <w:left w:w="108" w:type="dxa"/>
            <w:bottom w:w="0" w:type="dxa"/>
            <w:right w:w="108" w:type="dxa"/>
          </w:tblCellMar>
        </w:tblPrEx>
        <w:trPr>
          <w:trHeight w:val="402" w:hRule="atLeast"/>
        </w:trPr>
        <w:tc>
          <w:tcPr>
            <w:tcW w:w="954" w:type="pct"/>
            <w:gridSpan w:val="3"/>
            <w:vMerge w:val="restart"/>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功能分类科目编码</w:t>
            </w:r>
          </w:p>
        </w:tc>
        <w:tc>
          <w:tcPr>
            <w:tcW w:w="749" w:type="pct"/>
            <w:vMerge w:val="restart"/>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科目名称</w:t>
            </w:r>
          </w:p>
        </w:tc>
        <w:tc>
          <w:tcPr>
            <w:tcW w:w="898" w:type="pct"/>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w:t>
            </w:r>
          </w:p>
        </w:tc>
        <w:tc>
          <w:tcPr>
            <w:tcW w:w="1048" w:type="pct"/>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基本支出  </w:t>
            </w:r>
          </w:p>
        </w:tc>
        <w:tc>
          <w:tcPr>
            <w:tcW w:w="1349" w:type="pct"/>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项目支出</w:t>
            </w:r>
          </w:p>
        </w:tc>
      </w:tr>
      <w:tr>
        <w:tblPrEx>
          <w:tblCellMar>
            <w:top w:w="0" w:type="dxa"/>
            <w:left w:w="108" w:type="dxa"/>
            <w:bottom w:w="0" w:type="dxa"/>
            <w:right w:w="108" w:type="dxa"/>
          </w:tblCellMar>
        </w:tblPrEx>
        <w:trPr>
          <w:trHeight w:val="402" w:hRule="atLeast"/>
        </w:trPr>
        <w:tc>
          <w:tcPr>
            <w:tcW w:w="954" w:type="pct"/>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49" w:type="pct"/>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98" w:type="pct"/>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1048" w:type="pct"/>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1349" w:type="pct"/>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312" w:hRule="atLeast"/>
        </w:trPr>
        <w:tc>
          <w:tcPr>
            <w:tcW w:w="954" w:type="pct"/>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49" w:type="pct"/>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98" w:type="pct"/>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1048" w:type="pct"/>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1349" w:type="pct"/>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1703" w:type="pct"/>
            <w:gridSpan w:val="4"/>
            <w:tcBorders>
              <w:top w:val="single" w:color="auto" w:sz="4" w:space="0"/>
              <w:left w:val="single" w:color="auto" w:sz="8" w:space="0"/>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栏次</w:t>
            </w:r>
          </w:p>
        </w:tc>
        <w:tc>
          <w:tcPr>
            <w:tcW w:w="898" w:type="pct"/>
            <w:gridSpan w:val="2"/>
            <w:tcBorders>
              <w:top w:val="nil"/>
              <w:left w:val="nil"/>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048" w:type="pct"/>
            <w:gridSpan w:val="2"/>
            <w:tcBorders>
              <w:top w:val="nil"/>
              <w:left w:val="nil"/>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349" w:type="pct"/>
            <w:tcBorders>
              <w:top w:val="nil"/>
              <w:left w:val="nil"/>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r>
      <w:tr>
        <w:tblPrEx>
          <w:tblCellMar>
            <w:top w:w="0" w:type="dxa"/>
            <w:left w:w="108" w:type="dxa"/>
            <w:bottom w:w="0" w:type="dxa"/>
            <w:right w:w="108" w:type="dxa"/>
          </w:tblCellMar>
        </w:tblPrEx>
        <w:trPr>
          <w:trHeight w:val="402" w:hRule="atLeast"/>
        </w:trPr>
        <w:tc>
          <w:tcPr>
            <w:tcW w:w="1703" w:type="pct"/>
            <w:gridSpan w:val="4"/>
            <w:tcBorders>
              <w:top w:val="nil"/>
              <w:left w:val="single" w:color="auto" w:sz="8" w:space="0"/>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合计</w:t>
            </w:r>
          </w:p>
        </w:tc>
        <w:tc>
          <w:tcPr>
            <w:tcW w:w="898" w:type="pct"/>
            <w:gridSpan w:val="2"/>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48" w:type="pct"/>
            <w:gridSpan w:val="2"/>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349" w:type="pct"/>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89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89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5000" w:type="pct"/>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eastAsia="宋体" w:cs="宋体"/>
                <w:i w:val="0"/>
                <w:iCs w:val="0"/>
                <w:color w:val="000000"/>
                <w:kern w:val="0"/>
                <w:sz w:val="20"/>
                <w:szCs w:val="20"/>
                <w:u w:val="none"/>
                <w:lang w:val="en-US" w:eastAsia="zh-CN" w:bidi="ar"/>
              </w:rPr>
              <w:t>注：本表反映部门本年度国有资本经营预算财政拨款支出情况。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sectPr>
          <w:pgSz w:w="16838" w:h="11906" w:orient="landscape"/>
          <w:pgMar w:top="720" w:right="720" w:bottom="720" w:left="720" w:header="851" w:footer="992" w:gutter="0"/>
          <w:cols w:space="425" w:num="1"/>
          <w:docGrid w:type="linesAndChars" w:linePitch="312" w:charSpace="0"/>
        </w:sectPr>
      </w:pPr>
    </w:p>
    <w:p>
      <w:pPr>
        <w:pStyle w:val="11"/>
        <w:jc w:val="center"/>
        <w:rPr>
          <w:rFonts w:ascii="宋体" w:hAnsi="宋体" w:eastAsia="宋体" w:cs="Times New Roman"/>
          <w:sz w:val="52"/>
          <w:szCs w:val="52"/>
        </w:rPr>
      </w:pPr>
      <w:r>
        <w:rPr>
          <w:rFonts w:hint="eastAsia" w:ascii="宋体" w:hAnsi="宋体" w:eastAsia="宋体" w:cs="宋体"/>
          <w:sz w:val="52"/>
          <w:szCs w:val="52"/>
        </w:rPr>
        <w:t>第三部分</w:t>
      </w:r>
    </w:p>
    <w:p>
      <w:pPr>
        <w:pStyle w:val="11"/>
        <w:jc w:val="center"/>
        <w:rPr>
          <w:rFonts w:hint="eastAsia" w:ascii="宋体" w:hAnsi="宋体" w:eastAsia="宋体" w:cs="宋体"/>
          <w:sz w:val="52"/>
          <w:szCs w:val="52"/>
          <w:lang w:val="en-US" w:eastAsia="zh-CN"/>
        </w:rPr>
      </w:pPr>
      <w:r>
        <w:rPr>
          <w:rFonts w:ascii="宋体" w:hAnsi="宋体" w:eastAsia="宋体" w:cs="宋体"/>
          <w:sz w:val="52"/>
          <w:szCs w:val="52"/>
        </w:rPr>
        <w:t>2021</w:t>
      </w:r>
      <w:r>
        <w:rPr>
          <w:rFonts w:hint="eastAsia" w:ascii="宋体" w:hAnsi="宋体" w:eastAsia="宋体" w:cs="宋体"/>
          <w:sz w:val="52"/>
          <w:szCs w:val="52"/>
        </w:rPr>
        <w:t>年度部门决算情况</w:t>
      </w:r>
      <w:r>
        <w:rPr>
          <w:rFonts w:hint="eastAsia" w:ascii="宋体" w:hAnsi="宋体" w:eastAsia="宋体" w:cs="宋体"/>
          <w:sz w:val="52"/>
          <w:szCs w:val="52"/>
          <w:lang w:val="en-US" w:eastAsia="zh-CN"/>
        </w:rPr>
        <w:t>明</w:t>
      </w:r>
    </w:p>
    <w:p>
      <w:pPr>
        <w:pStyle w:val="11"/>
        <w:rPr>
          <w:rFonts w:hint="eastAsia" w:hAnsi="黑体"/>
          <w:b/>
          <w:bCs/>
          <w:sz w:val="32"/>
          <w:szCs w:val="32"/>
        </w:rPr>
      </w:pPr>
    </w:p>
    <w:p>
      <w:pPr>
        <w:pStyle w:val="11"/>
        <w:rPr>
          <w:rFonts w:hAnsi="黑体" w:cs="Times New Roman"/>
          <w:b/>
          <w:bCs/>
          <w:sz w:val="32"/>
          <w:szCs w:val="32"/>
        </w:rPr>
      </w:pPr>
      <w:r>
        <w:rPr>
          <w:rFonts w:hint="eastAsia" w:hAnsi="黑体"/>
          <w:b/>
          <w:bCs/>
          <w:sz w:val="32"/>
          <w:szCs w:val="32"/>
        </w:rPr>
        <w:t>一、收入支出决算总体情况说明</w:t>
      </w:r>
    </w:p>
    <w:p>
      <w:pPr>
        <w:pStyle w:val="11"/>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2021年度收、支总计7812.13万元。与上年相比，增加4047.98万元，增长107.54%，主要是因为我单位卫生健康收入、支出增加。</w:t>
      </w:r>
    </w:p>
    <w:p>
      <w:pPr>
        <w:pStyle w:val="11"/>
        <w:rPr>
          <w:rFonts w:hAnsi="黑体" w:cs="Times New Roman"/>
          <w:b/>
          <w:bCs/>
          <w:sz w:val="32"/>
          <w:szCs w:val="32"/>
        </w:rPr>
      </w:pPr>
      <w:r>
        <w:rPr>
          <w:rFonts w:hint="eastAsia" w:hAnsi="黑体"/>
          <w:b/>
          <w:bCs/>
          <w:sz w:val="32"/>
          <w:szCs w:val="32"/>
        </w:rPr>
        <w:t>二、收入决算情况说明</w:t>
      </w:r>
    </w:p>
    <w:p>
      <w:pPr>
        <w:pStyle w:val="11"/>
        <w:ind w:firstLine="640" w:firstLineChars="200"/>
        <w:rPr>
          <w:rFonts w:ascii="宋体" w:hAnsi="宋体" w:eastAsia="宋体" w:cs="Times New Roman"/>
          <w:sz w:val="32"/>
          <w:szCs w:val="32"/>
        </w:rPr>
      </w:pPr>
      <w:r>
        <w:rPr>
          <w:rFonts w:hint="eastAsia" w:ascii="仿宋_GB2312" w:hAnsi="仿宋_GB2312" w:eastAsia="仿宋_GB2312" w:cs="仿宋_GB2312"/>
          <w:sz w:val="32"/>
          <w:szCs w:val="32"/>
          <w:lang w:val="en-US" w:eastAsia="zh-CN"/>
        </w:rPr>
        <w:t>本年收入合计7582.51万元，其中：财政拨款收入7372.22万元，占97.22%；上级补助收入0万元，占0%；事业收入0万元，占0%；经营收入0万元，占0%；附属单位上缴收入0万元，占0%；其他收入210.29万元，占2.78%。</w:t>
      </w:r>
    </w:p>
    <w:p>
      <w:pPr>
        <w:pStyle w:val="11"/>
        <w:rPr>
          <w:rFonts w:hAnsi="黑体" w:cs="Times New Roman"/>
          <w:b/>
          <w:bCs/>
          <w:sz w:val="32"/>
          <w:szCs w:val="32"/>
        </w:rPr>
      </w:pPr>
      <w:r>
        <w:rPr>
          <w:rFonts w:hint="eastAsia" w:hAnsi="黑体"/>
          <w:b/>
          <w:bCs/>
          <w:sz w:val="32"/>
          <w:szCs w:val="32"/>
        </w:rPr>
        <w:t>三、支出决算情况说明</w:t>
      </w:r>
    </w:p>
    <w:p>
      <w:pPr>
        <w:pStyle w:val="11"/>
        <w:ind w:firstLine="640" w:firstLineChars="200"/>
        <w:rPr>
          <w:rFonts w:ascii="宋体" w:hAnsi="宋体" w:eastAsia="宋体" w:cs="Times New Roman"/>
          <w:sz w:val="32"/>
          <w:szCs w:val="32"/>
        </w:rPr>
      </w:pPr>
      <w:r>
        <w:rPr>
          <w:rFonts w:hint="eastAsia" w:ascii="仿宋_GB2312" w:hAnsi="仿宋_GB2312" w:eastAsia="仿宋_GB2312" w:cs="仿宋_GB2312"/>
          <w:sz w:val="32"/>
          <w:szCs w:val="32"/>
          <w:lang w:val="en-US" w:eastAsia="zh-CN"/>
        </w:rPr>
        <w:t>本年支出合计7554.57万元，其中：基本支出660.07万元，占8.74%；项目支出6894.50万元，占91.26%；上缴上级支出0万元，占0%；经营支出0万元，占0%；对附属单位补助支出0万元，占0%。</w:t>
      </w:r>
    </w:p>
    <w:p>
      <w:pPr>
        <w:pStyle w:val="11"/>
        <w:rPr>
          <w:rFonts w:hAnsi="黑体" w:cs="Times New Roman"/>
          <w:b/>
          <w:bCs/>
          <w:sz w:val="32"/>
          <w:szCs w:val="32"/>
        </w:rPr>
      </w:pPr>
      <w:r>
        <w:rPr>
          <w:rFonts w:hint="eastAsia" w:hAnsi="黑体"/>
          <w:b/>
          <w:bCs/>
          <w:sz w:val="32"/>
          <w:szCs w:val="32"/>
        </w:rPr>
        <w:t>四、财政拨款收入支出决算总体情况说明</w:t>
      </w:r>
    </w:p>
    <w:p>
      <w:pPr>
        <w:pStyle w:val="11"/>
        <w:rPr>
          <w:rFonts w:hint="eastAsia" w:hAnsi="黑体"/>
          <w:b/>
          <w:bCs/>
          <w:sz w:val="32"/>
          <w:szCs w:val="32"/>
        </w:rPr>
      </w:pPr>
      <w:r>
        <w:rPr>
          <w:rFonts w:ascii="宋体" w:hAnsi="宋体" w:eastAsia="宋体" w:cs="宋体"/>
          <w:sz w:val="32"/>
          <w:szCs w:val="32"/>
        </w:rPr>
        <w:t xml:space="preserve">   </w:t>
      </w:r>
      <w:r>
        <w:rPr>
          <w:rFonts w:hint="eastAsia" w:ascii="仿宋_GB2312" w:hAnsi="仿宋_GB2312" w:eastAsia="仿宋_GB2312" w:cs="仿宋_GB2312"/>
          <w:sz w:val="32"/>
          <w:szCs w:val="32"/>
          <w:lang w:val="en-US" w:eastAsia="zh-CN"/>
        </w:rPr>
        <w:t xml:space="preserve">  2021年度财政拨款收、支总计7372.22万元，与上年相比，增加3946.54万元,增长115.21%，主要是因为年中追加预算。</w:t>
      </w:r>
    </w:p>
    <w:p>
      <w:pPr>
        <w:pStyle w:val="11"/>
        <w:rPr>
          <w:rFonts w:hAnsi="黑体" w:cs="Times New Roman"/>
          <w:b/>
          <w:bCs/>
          <w:sz w:val="32"/>
          <w:szCs w:val="32"/>
        </w:rPr>
      </w:pPr>
      <w:r>
        <w:rPr>
          <w:rFonts w:hint="eastAsia" w:hAnsi="黑体"/>
          <w:b/>
          <w:bCs/>
          <w:sz w:val="32"/>
          <w:szCs w:val="32"/>
        </w:rPr>
        <w:t>五、一般公共预算财政拨款支出决算情况说明</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pPr>
        <w:pStyle w:val="11"/>
        <w:ind w:firstLine="800" w:firstLineChars="25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2021年度一般公共预算财政拨款支出7372.22万元，占本年支出合计的97.59%，与上年相比，财政拨款支出增加3939.65万元，增长114.77%，主要是因为年中追加预算。</w:t>
      </w:r>
    </w:p>
    <w:p>
      <w:pPr>
        <w:pStyle w:val="11"/>
        <w:ind w:firstLine="800" w:firstLineChars="25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pPr>
        <w:pStyle w:val="11"/>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2021年度一般公共预算财政拨款支出7372.22万元，主要用于以下方面：一般公共服务（类）支出42.72万元，占0.58%；社会保障和就业支出883.22万元，占11.98%;卫生健康支6446.28万元，占比87.44%。</w:t>
      </w:r>
    </w:p>
    <w:p>
      <w:pPr>
        <w:pStyle w:val="11"/>
        <w:ind w:firstLine="800" w:firstLineChars="25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2021年度一般公共预算财政拨款支出年初预算数为11340.89万元，支出决算数为7372.22万元，完成年初预算的65%，其中：</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1、一般公共服务支出（类）政府办公厅（室）及相关机构事务（款）行政运行（项）。</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年初预算为650.35万元，支出决算为42.72万元，完成年初预算的6.57%，决算数小于年初预算数的主要原因是：预算调整。</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2、社会保障和就业支出（类）人力资源和社会保障管理事务（款）行政运行（项）。</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年初预算为18.16万元，支出决算为</w:t>
      </w:r>
      <w:r>
        <w:rPr>
          <w:rFonts w:hint="eastAsia" w:ascii="仿宋_GB2312" w:hAnsi="仿宋_GB2312" w:eastAsia="仿宋_GB2312" w:cs="仿宋_GB2312"/>
          <w:sz w:val="32"/>
          <w:szCs w:val="32"/>
          <w:highlight w:val="none"/>
          <w:lang w:val="en-US" w:eastAsia="zh-CN"/>
        </w:rPr>
        <w:t>435</w:t>
      </w:r>
      <w:r>
        <w:rPr>
          <w:rFonts w:hint="eastAsia" w:ascii="仿宋_GB2312" w:hAnsi="仿宋_GB2312" w:eastAsia="仿宋_GB2312" w:cs="仿宋_GB2312"/>
          <w:sz w:val="32"/>
          <w:szCs w:val="32"/>
          <w:lang w:val="en-US" w:eastAsia="zh-CN"/>
        </w:rPr>
        <w:t>万元，完成年初预算的2395.37%，决算数大于年初预算数的主要原因是：年中追加预算。</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3、社会保障和就业支出（类）人力资源和社会保障管理事务（款）一般行政管理事务（项）。</w:t>
      </w:r>
    </w:p>
    <w:p>
      <w:pPr>
        <w:pStyle w:val="11"/>
        <w:numPr>
          <w:ilvl w:val="0"/>
          <w:numId w:val="0"/>
        </w:numPr>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年初预算为0万元，支出决算为5.82万元，决算数大于年初预算数的主要原因是：年中追加预算。</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4、社会保障和就业支出（类）人力资源和社会保障管理事务（款）社会保险业务管理事务（项）。</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年初预算为0万元，支出决算为30.84万元，决算数大于年初预算数的主要原因是：年中追加预算。</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5、社会保障和就业支出（类）财政对其他社会保险基金的补助（款）其他财政对社会保险基金的补助（项）。</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年初预算为0万元，支出决算为411.56万元，决算数大于年初预算数的主要原因是：年中追加预算。</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6、卫生健康支出（类）财政对其他社会保障基金的补助（款）财政对城乡居民基本医疗保险基金的补助（项）。</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年初预算为5104万元，支出决算为5104万元，完成年初预算的100%。</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7、卫生健康支出（类）财政对其他社会保障基金的补助（款）财政对其他基本医疗保险基金的补助（项）。</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年初预算为1920.8万元，支出决算为1214.60万元，决算数小于年初预算数的主要原因是：预算调整。</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8、卫生健康支出（类）医疗救助（款）城乡医疗救助（项）。</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年初预算为3060.47万元，支出决算为0.99万元，决算数小于年初预算数的主要原因是：预算调整。</w:t>
      </w:r>
    </w:p>
    <w:p>
      <w:pPr>
        <w:pStyle w:val="11"/>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9、卫生健康支出（类）医疗保障管理事务（款）其他医疗保障管理事务支出（项）。</w:t>
      </w:r>
    </w:p>
    <w:p>
      <w:pPr>
        <w:pStyle w:val="11"/>
        <w:numPr>
          <w:ilvl w:val="0"/>
          <w:numId w:val="0"/>
        </w:numPr>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年初预算为587.11万元，支出决算为126.69万元，决算数小于年初预算数的主要原因是：预算调整。</w:t>
      </w:r>
    </w:p>
    <w:p>
      <w:pPr>
        <w:pStyle w:val="11"/>
        <w:rPr>
          <w:rFonts w:hAnsi="黑体" w:cs="Times New Roman"/>
          <w:b/>
          <w:bCs/>
          <w:sz w:val="32"/>
          <w:szCs w:val="32"/>
        </w:rPr>
      </w:pPr>
      <w:r>
        <w:rPr>
          <w:rFonts w:hint="eastAsia" w:hAnsi="黑体"/>
          <w:b/>
          <w:bCs/>
          <w:sz w:val="32"/>
          <w:szCs w:val="32"/>
        </w:rPr>
        <w:t>六、一般公共预算财政拨款基本支出决算情况说明</w:t>
      </w:r>
    </w:p>
    <w:p>
      <w:pPr>
        <w:pStyle w:val="11"/>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2021年度一般公共预算财政拨款基本支出477.72万元，其中：人员经费380.38万元，占基本支出的79.62%,主要包括基本工资、津贴补贴、奖金、伙食补助费、绩效工资、机关事业单位基本养老保险缴费、职业年金缴费、职工基本医疗保险缴费、住房公积金、其他社会保障缴费、其他工资福利支出、生活补助、</w:t>
      </w:r>
      <w:bookmarkStart w:id="2" w:name="_GoBack"/>
      <w:bookmarkEnd w:id="2"/>
      <w:r>
        <w:rPr>
          <w:rFonts w:hint="eastAsia" w:ascii="仿宋_GB2312" w:hAnsi="仿宋_GB2312" w:eastAsia="仿宋_GB2312" w:cs="仿宋_GB2312"/>
          <w:sz w:val="32"/>
          <w:szCs w:val="32"/>
          <w:lang w:val="en-US" w:eastAsia="zh-CN"/>
        </w:rPr>
        <w:t>奖励金等；公用经费97.34万元，占基本支出的20.38%，</w:t>
      </w:r>
      <w:r>
        <w:rPr>
          <w:rFonts w:hint="eastAsia" w:ascii="仿宋_GB2312" w:hAnsi="仿宋_GB2312" w:eastAsia="仿宋_GB2312" w:cs="仿宋_GB2312"/>
          <w:sz w:val="32"/>
          <w:szCs w:val="32"/>
          <w:lang w:eastAsia="zh-CN"/>
        </w:rPr>
        <w:t>主要包括办公费、印刷费、咨询费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收费、差旅费、维修费、租赁费、劳务费、委托业务费、公会经费、福利费、其他交通费用、其他商品和服务支出等</w:t>
      </w:r>
      <w:r>
        <w:rPr>
          <w:rFonts w:hint="eastAsia" w:ascii="仿宋_GB2312" w:hAnsi="仿宋_GB2312" w:eastAsia="仿宋_GB2312" w:cs="仿宋_GB2312"/>
          <w:sz w:val="32"/>
          <w:szCs w:val="32"/>
        </w:rPr>
        <w:t>。</w:t>
      </w:r>
    </w:p>
    <w:p>
      <w:pPr>
        <w:pStyle w:val="11"/>
        <w:rPr>
          <w:rFonts w:hAnsi="黑体" w:cs="Times New Roman"/>
          <w:b/>
          <w:bCs/>
          <w:sz w:val="32"/>
          <w:szCs w:val="32"/>
        </w:rPr>
      </w:pPr>
      <w:r>
        <w:rPr>
          <w:rFonts w:hint="eastAsia" w:hAnsi="黑体"/>
          <w:b/>
          <w:bCs/>
          <w:sz w:val="32"/>
          <w:szCs w:val="32"/>
        </w:rPr>
        <w:t>七、一般公共预算财政拨款三公经费支出决算情况说明</w:t>
      </w:r>
    </w:p>
    <w:p>
      <w:pPr>
        <w:pStyle w:val="11"/>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1"/>
        <w:ind w:firstLine="640" w:firstLineChars="200"/>
        <w:rPr>
          <w:rFonts w:hint="eastAsia" w:ascii="仿宋_GB2312" w:hAnsi="仿宋_GB2312" w:eastAsia="仿宋_GB2312" w:cs="仿宋_GB2312"/>
          <w:sz w:val="32"/>
          <w:szCs w:val="32"/>
          <w:lang w:val="en-US" w:eastAsia="zh-CN"/>
        </w:rPr>
      </w:pPr>
      <w:r>
        <w:rPr>
          <w:rFonts w:hint="eastAsia" w:ascii="宋体" w:hAnsi="宋体" w:eastAsia="宋体" w:cs="宋体"/>
          <w:sz w:val="32"/>
          <w:szCs w:val="32"/>
        </w:rPr>
        <w:t>“</w:t>
      </w:r>
      <w:r>
        <w:rPr>
          <w:rFonts w:hint="eastAsia" w:ascii="仿宋_GB2312" w:hAnsi="仿宋_GB2312" w:eastAsia="仿宋_GB2312" w:cs="仿宋_GB2312"/>
          <w:sz w:val="32"/>
          <w:szCs w:val="32"/>
          <w:lang w:val="en-US" w:eastAsia="zh-CN"/>
        </w:rPr>
        <w:t>三公”经费财政拨款支出预算为5.3万元，支出决算为0万元，完成预算的0%，其中：</w:t>
      </w:r>
    </w:p>
    <w:p>
      <w:pPr>
        <w:pStyle w:val="11"/>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因公出国（境）费支出预算为0万元，支出决算为0万元，完成预算的0%，决算数等于预算数，与上年相比增加0万元，增长0%，主要原因是我单位暂无因公出国（境）情况。</w:t>
      </w:r>
    </w:p>
    <w:p>
      <w:pPr>
        <w:pStyle w:val="11"/>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公务接待费支出预算为5.3万元，支出决算为0万元，完成预算的0%，决算数小于预算数的主要原因是我单位暂无公务接待开支情况，与上年相比减少0.06万元，减少100%,减少的主要原因是我单位无此项安排。</w:t>
      </w:r>
    </w:p>
    <w:p>
      <w:pPr>
        <w:pStyle w:val="11"/>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公务用车购置费及运行维护费支出预算为0万元，支出决算为0万元，完成预算的0%，决算数等于预算数，与上年相比增加0万元，增长0%。</w:t>
      </w:r>
    </w:p>
    <w:p>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1"/>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2021年度“三公”经费财政拨款支出决算中，公务接待费支出决算0万元，占0%,因公出国（境）费支出决算0万元，占0%,公务用车购置费及运行维护费支出决算0万元，占0%。其中：</w:t>
      </w:r>
    </w:p>
    <w:p>
      <w:pPr>
        <w:pStyle w:val="11"/>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1、因公出国（境）费支出决算为0万元，全年安排因公出国（境）团组0个，累计0人次。</w:t>
      </w:r>
    </w:p>
    <w:p>
      <w:pPr>
        <w:pStyle w:val="11"/>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2、公务接待费支出决算为0万元，全年共接待来访团组0个、来宾0人次。</w:t>
      </w:r>
    </w:p>
    <w:p>
      <w:pPr>
        <w:pStyle w:val="11"/>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3、公务用车购置费及运行维护费支出决算为0万元，其中：公务用车购置费0万元，更新公务用车0辆。公务用车运行维护费0万元，截止2021年12月31日，我单位开支财政拨款的公务用车保有量为0辆。</w:t>
      </w:r>
    </w:p>
    <w:p>
      <w:pPr>
        <w:pStyle w:val="11"/>
        <w:rPr>
          <w:rFonts w:hAnsi="黑体" w:cs="Times New Roman"/>
          <w:b/>
          <w:bCs/>
          <w:sz w:val="32"/>
          <w:szCs w:val="32"/>
        </w:rPr>
      </w:pPr>
      <w:r>
        <w:rPr>
          <w:rFonts w:hint="eastAsia" w:hAnsi="黑体"/>
          <w:b/>
          <w:bCs/>
          <w:sz w:val="32"/>
          <w:szCs w:val="32"/>
        </w:rPr>
        <w:t>八、政府性基金预算收入支出决算情况</w:t>
      </w:r>
    </w:p>
    <w:p>
      <w:pPr>
        <w:pStyle w:val="11"/>
        <w:ind w:firstLine="640" w:firstLineChars="200"/>
        <w:rPr>
          <w:rFonts w:hint="eastAsia" w:ascii="仿宋_GB2312" w:hAnsi="仿宋_GB2312" w:eastAsia="仿宋_GB2312" w:cs="仿宋_GB2312"/>
          <w:i/>
          <w:iCs/>
          <w:color w:val="FF0000"/>
          <w:sz w:val="32"/>
          <w:szCs w:val="32"/>
          <w:lang w:eastAsia="zh-CN"/>
        </w:rPr>
      </w:pPr>
      <w:r>
        <w:rPr>
          <w:rFonts w:hint="eastAsia" w:ascii="仿宋_GB2312" w:hAnsi="仿宋_GB2312" w:eastAsia="仿宋_GB2312" w:cs="仿宋_GB2312"/>
          <w:color w:val="auto"/>
          <w:kern w:val="2"/>
          <w:sz w:val="32"/>
          <w:szCs w:val="32"/>
          <w:lang w:val="en-US" w:eastAsia="zh-CN" w:bidi="ar-SA"/>
        </w:rPr>
        <w:t>我单位无政府性基金收支。</w:t>
      </w:r>
    </w:p>
    <w:p>
      <w:pPr>
        <w:pStyle w:val="11"/>
        <w:rPr>
          <w:rFonts w:hAnsi="黑体" w:cs="Times New Roman"/>
          <w:b/>
          <w:bCs/>
          <w:sz w:val="32"/>
          <w:szCs w:val="32"/>
        </w:rPr>
      </w:pPr>
      <w:r>
        <w:rPr>
          <w:rFonts w:hint="eastAsia" w:hAnsi="黑体"/>
          <w:b/>
          <w:bCs/>
          <w:sz w:val="32"/>
          <w:szCs w:val="32"/>
        </w:rPr>
        <w:t>九、关于机关运行经费支出说明</w:t>
      </w:r>
    </w:p>
    <w:p>
      <w:pPr>
        <w:pStyle w:val="11"/>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本部门2021年度机关运行经费支出97.34万元，比上年决算数减少29.38万元，降低23.18%。主要原因是：需求缩减，相应经费减少。</w:t>
      </w:r>
    </w:p>
    <w:p>
      <w:pPr>
        <w:pStyle w:val="11"/>
        <w:rPr>
          <w:rFonts w:hAnsi="黑体" w:cs="Times New Roman"/>
          <w:b/>
          <w:bCs/>
          <w:sz w:val="32"/>
          <w:szCs w:val="32"/>
        </w:rPr>
      </w:pPr>
      <w:r>
        <w:rPr>
          <w:rFonts w:hint="eastAsia" w:hAnsi="黑体"/>
          <w:b/>
          <w:bCs/>
          <w:sz w:val="32"/>
          <w:szCs w:val="32"/>
        </w:rPr>
        <w:t>十、一般性支出情况</w:t>
      </w:r>
    </w:p>
    <w:p>
      <w:pPr>
        <w:pStyle w:val="11"/>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2021年本部门开支会议费0.21万元，用于召开全县医保工作会议、乡镇医保站长工作总结会议；开支培训费0.9万元，用于开展韶山党建培训，人数30人，内容为学习毛泽东主席红色文化精神。</w:t>
      </w:r>
    </w:p>
    <w:p>
      <w:pPr>
        <w:pStyle w:val="11"/>
        <w:rPr>
          <w:rFonts w:hAnsi="黑体" w:cs="Times New Roman"/>
          <w:b/>
          <w:bCs/>
          <w:sz w:val="32"/>
          <w:szCs w:val="32"/>
        </w:rPr>
      </w:pPr>
      <w:r>
        <w:rPr>
          <w:rFonts w:hint="eastAsia" w:hAnsi="黑体"/>
          <w:b/>
          <w:bCs/>
          <w:sz w:val="32"/>
          <w:szCs w:val="32"/>
        </w:rPr>
        <w:t>十一、关于政府采购支出说明</w:t>
      </w:r>
    </w:p>
    <w:p>
      <w:pPr>
        <w:pStyle w:val="11"/>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部门2021年度政府采购支出总额84.48万元，其中：政府采购货物支出25万元、政府采购工程支出0万元、政府采购服务支出59.48万元。授予中小企业合同金额72.81万元，占政府采购支出总额的86.19%，其中：授予小微企业合同金额54.45万元，占政府采购支出总额的64.45%。</w:t>
      </w:r>
    </w:p>
    <w:p>
      <w:pPr>
        <w:pStyle w:val="11"/>
        <w:rPr>
          <w:rFonts w:hAnsi="黑体" w:cs="Times New Roman"/>
          <w:b/>
          <w:bCs/>
          <w:sz w:val="32"/>
          <w:szCs w:val="32"/>
        </w:rPr>
      </w:pPr>
      <w:r>
        <w:rPr>
          <w:rFonts w:hint="eastAsia" w:hAnsi="黑体"/>
          <w:b/>
          <w:bCs/>
          <w:sz w:val="32"/>
          <w:szCs w:val="32"/>
        </w:rPr>
        <w:t>十二、关于国有资产占用情况说明</w:t>
      </w:r>
    </w:p>
    <w:p>
      <w:pPr>
        <w:pStyle w:val="11"/>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截至2021年12月31日，本单位共有车辆0辆，其中，主要领导干部用车0辆，机要通信用车0辆、应急保障用车0辆、执法执勤用车0辆、特种专业技术用车0辆、其他用车0辆，；单位价值50万元以上通用设备0台（套）；单位价值100万元以上专用设备0台（套）。</w:t>
      </w:r>
    </w:p>
    <w:p>
      <w:pPr>
        <w:pStyle w:val="11"/>
        <w:rPr>
          <w:rFonts w:hAnsi="黑体" w:cs="Times New Roman"/>
          <w:b/>
          <w:bCs/>
          <w:sz w:val="32"/>
          <w:szCs w:val="32"/>
        </w:rPr>
      </w:pPr>
      <w:r>
        <w:rPr>
          <w:rFonts w:hint="eastAsia" w:hAnsi="黑体"/>
          <w:b/>
          <w:bCs/>
          <w:sz w:val="32"/>
          <w:szCs w:val="32"/>
        </w:rPr>
        <w:t>十三、关于</w:t>
      </w:r>
      <w:r>
        <w:rPr>
          <w:rFonts w:hAnsi="黑体"/>
          <w:b/>
          <w:bCs/>
          <w:sz w:val="32"/>
          <w:szCs w:val="32"/>
        </w:rPr>
        <w:t>2021</w:t>
      </w:r>
      <w:r>
        <w:rPr>
          <w:rFonts w:hint="eastAsia" w:hAnsi="黑体"/>
          <w:b/>
          <w:bCs/>
          <w:sz w:val="32"/>
          <w:szCs w:val="32"/>
        </w:rPr>
        <w:t>年度预算绩效情况的说明</w:t>
      </w:r>
    </w:p>
    <w:p>
      <w:pPr>
        <w:pStyle w:val="11"/>
        <w:ind w:firstLine="640" w:firstLineChars="200"/>
        <w:rPr>
          <w:rFonts w:hAnsi="黑体" w:cs="Times New Roman"/>
          <w:b/>
          <w:bCs/>
          <w:sz w:val="32"/>
          <w:szCs w:val="32"/>
        </w:rPr>
      </w:pPr>
      <w:r>
        <w:rPr>
          <w:rFonts w:hint="eastAsia" w:ascii="仿宋_GB2312" w:hAnsi="仿宋_GB2312" w:eastAsia="仿宋_GB2312" w:cs="仿宋_GB2312"/>
          <w:sz w:val="32"/>
          <w:szCs w:val="32"/>
          <w:lang w:eastAsia="zh-CN"/>
        </w:rPr>
        <w:t>本部门为一级预算单位，严格执行并积极开展预算管理及预算绩效评价工作。全年预算绩效评价部门整体支出</w:t>
      </w:r>
      <w:r>
        <w:rPr>
          <w:rFonts w:hint="eastAsia" w:ascii="仿宋_GB2312" w:hAnsi="仿宋_GB2312" w:eastAsia="仿宋_GB2312" w:cs="仿宋_GB2312"/>
          <w:sz w:val="32"/>
          <w:szCs w:val="32"/>
          <w:lang w:val="en-US" w:eastAsia="zh-CN"/>
        </w:rPr>
        <w:t>1个。无重点绩效目标。</w:t>
      </w: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1"/>
        <w:jc w:val="center"/>
        <w:rPr>
          <w:rFonts w:hint="eastAsia" w:ascii="宋体" w:hAnsi="宋体" w:eastAsia="宋体" w:cs="宋体"/>
          <w:sz w:val="72"/>
          <w:szCs w:val="72"/>
        </w:rPr>
      </w:pPr>
      <w:r>
        <w:rPr>
          <w:rFonts w:hint="eastAsia" w:ascii="宋体" w:hAnsi="宋体" w:eastAsia="宋体" w:cs="宋体"/>
          <w:sz w:val="72"/>
          <w:szCs w:val="72"/>
        </w:rPr>
        <w:t>第四部分</w:t>
      </w:r>
    </w:p>
    <w:p>
      <w:pPr>
        <w:jc w:val="center"/>
        <w:rPr>
          <w:rFonts w:hint="eastAsia" w:ascii="宋体" w:hAnsi="宋体" w:cs="宋体"/>
          <w:color w:val="000000"/>
          <w:kern w:val="0"/>
          <w:sz w:val="56"/>
          <w:szCs w:val="56"/>
        </w:rPr>
      </w:pPr>
      <w:r>
        <w:rPr>
          <w:rFonts w:hint="eastAsia" w:ascii="宋体" w:hAnsi="宋体" w:cs="宋体"/>
          <w:color w:val="000000"/>
          <w:kern w:val="0"/>
          <w:sz w:val="72"/>
          <w:szCs w:val="72"/>
        </w:rPr>
        <w:t>名</w:t>
      </w:r>
      <w:r>
        <w:rPr>
          <w:rFonts w:hint="eastAsia" w:ascii="宋体" w:hAnsi="宋体" w:cs="宋体"/>
          <w:color w:val="000000"/>
          <w:kern w:val="0"/>
          <w:sz w:val="72"/>
          <w:szCs w:val="72"/>
          <w:lang w:val="en-US" w:eastAsia="zh-CN"/>
        </w:rPr>
        <w:t xml:space="preserve"> </w:t>
      </w:r>
      <w:r>
        <w:rPr>
          <w:rFonts w:hint="eastAsia" w:ascii="宋体" w:hAnsi="宋体" w:cs="宋体"/>
          <w:color w:val="000000"/>
          <w:kern w:val="0"/>
          <w:sz w:val="72"/>
          <w:szCs w:val="72"/>
        </w:rPr>
        <w:t>词</w:t>
      </w:r>
      <w:r>
        <w:rPr>
          <w:rFonts w:hint="eastAsia" w:ascii="宋体" w:hAnsi="宋体" w:cs="宋体"/>
          <w:color w:val="000000"/>
          <w:kern w:val="0"/>
          <w:sz w:val="72"/>
          <w:szCs w:val="72"/>
          <w:lang w:val="en-US" w:eastAsia="zh-CN"/>
        </w:rPr>
        <w:t xml:space="preserve"> </w:t>
      </w:r>
      <w:r>
        <w:rPr>
          <w:rFonts w:hint="eastAsia" w:ascii="宋体" w:hAnsi="宋体" w:cs="宋体"/>
          <w:color w:val="000000"/>
          <w:kern w:val="0"/>
          <w:sz w:val="72"/>
          <w:szCs w:val="72"/>
        </w:rPr>
        <w:t>解</w:t>
      </w:r>
      <w:r>
        <w:rPr>
          <w:rFonts w:hint="eastAsia" w:ascii="宋体" w:hAnsi="宋体" w:cs="宋体"/>
          <w:color w:val="000000"/>
          <w:kern w:val="0"/>
          <w:sz w:val="72"/>
          <w:szCs w:val="72"/>
          <w:lang w:val="en-US" w:eastAsia="zh-CN"/>
        </w:rPr>
        <w:t xml:space="preserve"> </w:t>
      </w:r>
      <w:r>
        <w:rPr>
          <w:rFonts w:hint="eastAsia" w:ascii="宋体" w:hAnsi="宋体" w:cs="宋体"/>
          <w:color w:val="000000"/>
          <w:kern w:val="0"/>
          <w:sz w:val="72"/>
          <w:szCs w:val="72"/>
        </w:rPr>
        <w:t>释</w:t>
      </w:r>
    </w:p>
    <w:p>
      <w:pPr>
        <w:rPr>
          <w:rFonts w:hint="eastAsia" w:ascii="仿宋_GB2312" w:hAnsi="仿宋_GB2312" w:eastAsia="仿宋_GB2312" w:cs="仿宋_GB2312"/>
          <w:color w:val="000000"/>
          <w:kern w:val="0"/>
          <w:sz w:val="32"/>
          <w:szCs w:val="32"/>
          <w:lang w:val="en-US" w:eastAsia="zh-CN" w:bidi="ar-SA"/>
        </w:rPr>
      </w:pPr>
      <w:r>
        <w:rPr>
          <w:rFonts w:hint="eastAsia" w:ascii="方正小标宋简体" w:hAnsi="方正小标宋简体" w:eastAsia="方正小标宋简体" w:cs="方正小标宋简体"/>
          <w:color w:val="000000"/>
          <w:kern w:val="0"/>
          <w:sz w:val="52"/>
          <w:szCs w:val="52"/>
          <w:lang w:val="en-US" w:eastAsia="zh-CN"/>
        </w:rPr>
        <w:t xml:space="preserve"> </w:t>
      </w:r>
      <w:r>
        <w:rPr>
          <w:rFonts w:hint="eastAsia" w:ascii="仿宋_GB2312" w:hAnsi="仿宋_GB2312" w:eastAsia="仿宋_GB2312" w:cs="仿宋_GB2312"/>
          <w:color w:val="000000"/>
          <w:kern w:val="0"/>
          <w:sz w:val="32"/>
          <w:szCs w:val="32"/>
          <w:lang w:val="en-US" w:eastAsia="zh-CN" w:bidi="ar-SA"/>
        </w:rPr>
        <w:t>一、机关运行经费：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60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三公”经费：纳入财政预算管理的“三公经费”，是指用一般公共预算拨款安排的公务接待费、公务用车购置及运行费和因公出国（境）费。其中，公务接待费反映单位按规定开支的各类公务接待支出；公务用车购置及运行费反映单位公务用车购置支出（含车辆购置税），以及燃料费、维修费、保险费等支出；因公出国（境）费反映单位公务出国（境）的国际旅费、国外城市间交通费、食宿费等支出。</w:t>
      </w: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both"/>
        <w:rPr>
          <w:rFonts w:cs="Times New Roman"/>
          <w:sz w:val="72"/>
          <w:szCs w:val="72"/>
        </w:rPr>
      </w:pPr>
    </w:p>
    <w:p>
      <w:pPr>
        <w:pStyle w:val="11"/>
        <w:jc w:val="center"/>
        <w:rPr>
          <w:rFonts w:ascii="宋体" w:cs="Times New Roman"/>
          <w:color w:val="000000"/>
          <w:kern w:val="0"/>
          <w:sz w:val="72"/>
          <w:szCs w:val="72"/>
        </w:rPr>
      </w:pPr>
      <w:r>
        <w:rPr>
          <w:rFonts w:hint="eastAsia" w:ascii="宋体" w:hAnsi="宋体" w:eastAsia="宋体" w:cs="宋体"/>
          <w:sz w:val="72"/>
          <w:szCs w:val="72"/>
        </w:rPr>
        <w:t>第五部分</w:t>
      </w:r>
    </w:p>
    <w:p>
      <w:pPr>
        <w:jc w:val="center"/>
        <w:rPr>
          <w:rFonts w:hint="eastAsia" w:ascii="方正小标宋简体" w:hAnsi="方正小标宋简体" w:eastAsia="方正小标宋简体" w:cs="方正小标宋简体"/>
          <w:b w:val="0"/>
          <w:bCs w:val="0"/>
          <w:color w:val="000000"/>
          <w:kern w:val="0"/>
          <w:sz w:val="44"/>
          <w:szCs w:val="44"/>
        </w:rPr>
      </w:pPr>
      <w:r>
        <w:rPr>
          <w:rFonts w:hint="eastAsia" w:ascii="宋体" w:hAnsi="宋体" w:cs="宋体"/>
          <w:color w:val="000000"/>
          <w:kern w:val="0"/>
          <w:sz w:val="72"/>
          <w:szCs w:val="72"/>
        </w:rPr>
        <w:t>附件</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lang w:eastAsia="zh-CN"/>
        </w:rPr>
      </w:pPr>
      <w:r>
        <w:rPr>
          <w:rFonts w:hint="eastAsia" w:ascii="方正小标宋简体" w:hAnsi="方正小标宋简体" w:eastAsia="方正小标宋简体" w:cs="方正小标宋简体"/>
          <w:b w:val="0"/>
          <w:bCs w:val="0"/>
          <w:color w:val="000000"/>
          <w:kern w:val="0"/>
          <w:sz w:val="44"/>
          <w:szCs w:val="44"/>
        </w:rPr>
        <w:t>202</w:t>
      </w:r>
      <w:r>
        <w:rPr>
          <w:rFonts w:hint="eastAsia" w:ascii="方正小标宋简体" w:hAnsi="方正小标宋简体" w:eastAsia="方正小标宋简体" w:cs="方正小标宋简体"/>
          <w:b w:val="0"/>
          <w:bCs w:val="0"/>
          <w:color w:val="000000"/>
          <w:kern w:val="0"/>
          <w:sz w:val="44"/>
          <w:szCs w:val="44"/>
          <w:lang w:val="en-US" w:eastAsia="zh-CN"/>
        </w:rPr>
        <w:t>1</w:t>
      </w:r>
      <w:r>
        <w:rPr>
          <w:rFonts w:hint="eastAsia" w:ascii="方正小标宋简体" w:hAnsi="方正小标宋简体" w:eastAsia="方正小标宋简体" w:cs="方正小标宋简体"/>
          <w:b w:val="0"/>
          <w:bCs w:val="0"/>
          <w:color w:val="000000"/>
          <w:kern w:val="0"/>
          <w:sz w:val="44"/>
          <w:szCs w:val="44"/>
        </w:rPr>
        <w:t>年度</w:t>
      </w:r>
      <w:r>
        <w:rPr>
          <w:rFonts w:hint="eastAsia" w:ascii="方正小标宋简体" w:hAnsi="方正小标宋简体" w:eastAsia="方正小标宋简体" w:cs="方正小标宋简体"/>
          <w:b w:val="0"/>
          <w:bCs w:val="0"/>
          <w:color w:val="000000"/>
          <w:kern w:val="0"/>
          <w:sz w:val="44"/>
          <w:szCs w:val="44"/>
          <w:lang w:eastAsia="zh-CN"/>
        </w:rPr>
        <w:t>湘潭县医疗保障局</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color w:val="000000"/>
          <w:kern w:val="0"/>
          <w:sz w:val="32"/>
          <w:szCs w:val="32"/>
        </w:rPr>
      </w:pPr>
      <w:r>
        <w:rPr>
          <w:rFonts w:hint="eastAsia" w:ascii="方正小标宋简体" w:hAnsi="方正小标宋简体" w:eastAsia="方正小标宋简体" w:cs="方正小标宋简体"/>
          <w:b w:val="0"/>
          <w:bCs w:val="0"/>
          <w:color w:val="000000"/>
          <w:kern w:val="0"/>
          <w:sz w:val="44"/>
          <w:szCs w:val="44"/>
        </w:rPr>
        <w:t>部门整体支出绩效评价报告</w:t>
      </w:r>
    </w:p>
    <w:p>
      <w:pPr>
        <w:widowControl/>
        <w:ind w:firstLine="960" w:firstLineChars="300"/>
        <w:jc w:val="center"/>
        <w:rPr>
          <w:rFonts w:hint="eastAsia" w:ascii="宋体" w:hAnsi="宋体" w:cs="宋体"/>
          <w:b/>
          <w:bCs/>
          <w:color w:val="000000"/>
          <w:kern w:val="0"/>
          <w:sz w:val="32"/>
          <w:szCs w:val="32"/>
        </w:rPr>
      </w:pPr>
    </w:p>
    <w:p>
      <w:pPr>
        <w:pStyle w:val="14"/>
        <w:spacing w:line="560" w:lineRule="exact"/>
        <w:ind w:firstLine="640" w:firstLineChars="200"/>
        <w:rPr>
          <w:rFonts w:ascii="黑体" w:hAnsi="黑体" w:eastAsia="黑体"/>
          <w:b w:val="0"/>
          <w:bCs/>
          <w:kern w:val="0"/>
          <w:sz w:val="32"/>
          <w:szCs w:val="32"/>
        </w:rPr>
      </w:pPr>
      <w:r>
        <w:rPr>
          <w:rFonts w:hint="eastAsia" w:ascii="黑体" w:hAnsi="黑体" w:eastAsia="黑体"/>
          <w:b w:val="0"/>
          <w:bCs/>
          <w:kern w:val="0"/>
          <w:sz w:val="32"/>
          <w:szCs w:val="32"/>
        </w:rPr>
        <w:t>一、</w:t>
      </w:r>
      <w:r>
        <w:rPr>
          <w:rFonts w:hint="eastAsia" w:ascii="黑体" w:hAnsi="黑体" w:eastAsia="黑体"/>
          <w:b w:val="0"/>
          <w:bCs/>
          <w:kern w:val="0"/>
          <w:sz w:val="32"/>
          <w:szCs w:val="32"/>
          <w:lang w:eastAsia="zh-CN"/>
        </w:rPr>
        <w:t>单位</w:t>
      </w:r>
      <w:r>
        <w:rPr>
          <w:rFonts w:hint="eastAsia" w:ascii="黑体" w:hAnsi="黑体" w:eastAsia="黑体"/>
          <w:b w:val="0"/>
          <w:bCs/>
          <w:kern w:val="0"/>
          <w:sz w:val="32"/>
          <w:szCs w:val="32"/>
        </w:rPr>
        <w:t>基本情况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湘潭县医疗保障局（以下简称县医保局）是县人民政府的工作部门，主管全县的医疗保障工作，下设办公室、规划财务和法规股、待遇保障和医药服务管理股、医药价格和招标采购股、基金监管股五个股室和二级事业单位湘潭县医疗保障事务中心，现有工作人员37人。县医保局承担的主要职责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1.贯彻执行国家和省市医疗保险、生育保险、医疗救助等医疗保障法律法规和政策制度，按规定起草全县医疗保险、生育保险、医疗救助等医疗保障规范性文件并组织落实。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2.组织实施省市医疗保障基金监督管理办法，监督管理相关医疗保障基金，建立健全医疗保障基金安全防控机制，推进医疗保障基金支付方式改革。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3.组织实施省市医疗保障筹资和待遇政策，完善全县动态调整和区域调剂平衡机制，统筹全县城乡医疗保障待遇标准，建立健全与筹资水平相适应的待遇调整机制，组织实施长期护理保险制度改革。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4.组织实施全省统一制定的药品、医用耗材、医疗服务项目、医疗服务设施等医保目录和支付标准，落实动态调整机制，组织实施省制定的医保目录准入谈判规则。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5.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6.组织实施省市制定的药品、医用耗材的招标采购政策并监督实施，承担药品、医用耗材招标采购平台建设。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7.组织实施省市县定点医药机构协议和支付管理办法，建立健全医疗保障信用评价体系和信息披露制度，监督管理纳入医保范围内的医疗服务行为和医疗费用，依法查处医疗保障领域违法违规行为。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8.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9.完成县委、县人民政府交办的其他任务。</w:t>
      </w:r>
    </w:p>
    <w:p>
      <w:pPr>
        <w:pStyle w:val="14"/>
        <w:spacing w:line="560" w:lineRule="exact"/>
        <w:ind w:firstLine="640" w:firstLineChars="200"/>
        <w:rPr>
          <w:rFonts w:ascii="黑体" w:hAnsi="黑体" w:eastAsia="黑体"/>
          <w:b w:val="0"/>
          <w:bCs/>
          <w:kern w:val="0"/>
          <w:sz w:val="32"/>
          <w:szCs w:val="32"/>
        </w:rPr>
      </w:pPr>
      <w:r>
        <w:rPr>
          <w:rFonts w:hint="eastAsia" w:ascii="黑体" w:hAnsi="黑体" w:eastAsia="黑体"/>
          <w:b w:val="0"/>
          <w:bCs/>
          <w:kern w:val="0"/>
          <w:sz w:val="32"/>
          <w:szCs w:val="32"/>
          <w:lang w:eastAsia="zh-CN"/>
        </w:rPr>
        <w:t>二</w:t>
      </w:r>
      <w:r>
        <w:rPr>
          <w:rFonts w:hint="eastAsia" w:ascii="黑体" w:hAnsi="黑体" w:eastAsia="黑体"/>
          <w:b w:val="0"/>
          <w:bCs/>
          <w:kern w:val="0"/>
          <w:sz w:val="32"/>
          <w:szCs w:val="32"/>
        </w:rPr>
        <w:t>、绩效评价工作情况</w:t>
      </w:r>
    </w:p>
    <w:p>
      <w:pPr>
        <w:pStyle w:val="14"/>
        <w:spacing w:line="56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楷体" w:hAnsi="楷体" w:eastAsia="楷体" w:cs="楷体"/>
          <w:color w:val="000000"/>
          <w:kern w:val="0"/>
          <w:sz w:val="32"/>
          <w:szCs w:val="32"/>
          <w:lang w:val="en-US" w:eastAsia="zh-CN" w:bidi="ar-SA"/>
        </w:rPr>
        <w:t>（一）</w:t>
      </w:r>
      <w:r>
        <w:rPr>
          <w:rFonts w:hint="eastAsia" w:ascii="仿宋_GB2312" w:hAnsi="仿宋_GB2312" w:eastAsia="仿宋_GB2312" w:cs="仿宋_GB2312"/>
          <w:color w:val="000000"/>
          <w:kern w:val="0"/>
          <w:sz w:val="32"/>
          <w:szCs w:val="32"/>
          <w:lang w:val="en-US" w:eastAsia="zh-CN" w:bidi="ar-SA"/>
        </w:rPr>
        <w:t>绩效评价目的</w:t>
      </w:r>
    </w:p>
    <w:p>
      <w:pPr>
        <w:tabs>
          <w:tab w:val="left" w:pos="870"/>
        </w:tabs>
        <w:spacing w:line="560" w:lineRule="exac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通过绩效评价，一是进一步加强医保资金管理，节约财政预算资金，强化预算支出的责任和效率，提高财政资金的使用效益，为下一年财政预算安排提供依据；二是落实国家医疗待遇政策，维护社会的安定和谐稳定。</w:t>
      </w:r>
    </w:p>
    <w:p>
      <w:pPr>
        <w:pStyle w:val="14"/>
        <w:spacing w:line="56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楷体" w:hAnsi="楷体" w:eastAsia="楷体" w:cs="楷体"/>
          <w:color w:val="000000"/>
          <w:kern w:val="0"/>
          <w:sz w:val="32"/>
          <w:szCs w:val="32"/>
          <w:lang w:val="en-US" w:eastAsia="zh-CN" w:bidi="ar-SA"/>
        </w:rPr>
        <w:t>（二）绩</w:t>
      </w:r>
      <w:r>
        <w:rPr>
          <w:rFonts w:hint="eastAsia" w:ascii="仿宋_GB2312" w:hAnsi="仿宋_GB2312" w:eastAsia="仿宋_GB2312" w:cs="仿宋_GB2312"/>
          <w:color w:val="000000"/>
          <w:kern w:val="0"/>
          <w:sz w:val="32"/>
          <w:szCs w:val="32"/>
          <w:lang w:val="en-US" w:eastAsia="zh-CN" w:bidi="ar-SA"/>
        </w:rPr>
        <w:t>效评价工作过程</w:t>
      </w:r>
    </w:p>
    <w:p>
      <w:pPr>
        <w:tabs>
          <w:tab w:val="left" w:pos="870"/>
        </w:tabs>
        <w:spacing w:line="560" w:lineRule="exac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1.前期准备。我单位收到县财政局下发的关于绩效评价5个文件后，局党组高度重视，财务规划和采规股组织相关财务人员认真地学习文件精神，熟练掌握绩效管理内部操作流程，梳理相关资料，</w:t>
      </w:r>
    </w:p>
    <w:p>
      <w:pPr>
        <w:tabs>
          <w:tab w:val="left" w:pos="870"/>
        </w:tabs>
        <w:spacing w:line="560" w:lineRule="exac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2.组织实施。由湘潭县医疗保障局成立绩效评价领导小组，我局财务规划和法规股负责具体实施。</w:t>
      </w:r>
    </w:p>
    <w:p>
      <w:pPr>
        <w:tabs>
          <w:tab w:val="left" w:pos="870"/>
        </w:tabs>
        <w:spacing w:line="560" w:lineRule="exac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3.分析评价。一是确立绩效评价原则。（1）科学规范原则。绩效评价应当严格执行规定的程序，按照科学可行的要求，采用定量与定性分析相结合的方法；（2）公正公开原则。绩效评价应当符合真实、客观、公正的要求，依法公开并接受监督；（3）绩效相关原则。绩效评价应当针对具体支出和产出绩效进行，评价结果应当清晰反映支出和产出绩效之间的紧密对应关系。二是确立评价指标体系。该项目设项目决策、管理、绩效</w:t>
      </w:r>
      <w:r>
        <w:rPr>
          <w:rFonts w:hint="default" w:ascii="仿宋_GB2312" w:hAnsi="仿宋_GB2312" w:eastAsia="仿宋_GB2312" w:cs="仿宋_GB2312"/>
          <w:color w:val="000000"/>
          <w:kern w:val="0"/>
          <w:sz w:val="32"/>
          <w:szCs w:val="32"/>
          <w:lang w:val="en-US" w:eastAsia="zh-CN" w:bidi="ar-SA"/>
        </w:rPr>
        <w:t>3</w:t>
      </w:r>
      <w:r>
        <w:rPr>
          <w:rFonts w:hint="eastAsia" w:ascii="仿宋_GB2312" w:hAnsi="仿宋_GB2312" w:eastAsia="仿宋_GB2312" w:cs="仿宋_GB2312"/>
          <w:color w:val="000000"/>
          <w:kern w:val="0"/>
          <w:sz w:val="32"/>
          <w:szCs w:val="32"/>
          <w:lang w:val="en-US" w:eastAsia="zh-CN" w:bidi="ar-SA"/>
        </w:rPr>
        <w:t>个一级指标；项目目标、决策过程、资金分配、资金到位、资金管理、组织实施、项目产出、项目效果6个二级指标；目标内容、决策依据等19个三级指标。三是确立评价方法。本次评价主要对部门整体支出进行评价，对社会满意度按服务对象调查问卷来评价。</w:t>
      </w:r>
    </w:p>
    <w:p>
      <w:pPr>
        <w:pStyle w:val="14"/>
        <w:spacing w:line="560" w:lineRule="exact"/>
        <w:ind w:firstLine="640" w:firstLineChars="200"/>
        <w:rPr>
          <w:rFonts w:hint="eastAsia" w:ascii="黑体" w:hAnsi="黑体" w:eastAsia="黑体"/>
          <w:b/>
          <w:kern w:val="0"/>
          <w:sz w:val="32"/>
          <w:szCs w:val="32"/>
          <w:lang w:eastAsia="zh-CN"/>
        </w:rPr>
      </w:pPr>
      <w:r>
        <w:rPr>
          <w:rFonts w:hint="eastAsia" w:ascii="黑体" w:hAnsi="黑体" w:eastAsia="黑体"/>
          <w:b w:val="0"/>
          <w:bCs/>
          <w:kern w:val="0"/>
          <w:sz w:val="32"/>
          <w:szCs w:val="32"/>
        </w:rPr>
        <w:t>三、</w:t>
      </w:r>
      <w:r>
        <w:rPr>
          <w:rFonts w:hint="eastAsia" w:ascii="黑体" w:hAnsi="黑体" w:eastAsia="黑体"/>
          <w:b w:val="0"/>
          <w:bCs/>
          <w:kern w:val="0"/>
          <w:sz w:val="32"/>
          <w:szCs w:val="32"/>
          <w:lang w:eastAsia="zh-CN"/>
        </w:rPr>
        <w:t>绩效完成情况</w:t>
      </w:r>
    </w:p>
    <w:p>
      <w:pPr>
        <w:pStyle w:val="14"/>
        <w:spacing w:line="56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（一）部门整体支出完成情况</w:t>
      </w:r>
    </w:p>
    <w:p>
      <w:pPr>
        <w:pStyle w:val="14"/>
        <w:spacing w:line="56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1.全年预算情况：年初结转资金229.62万元。本年收入合计7582.51万元，其中年度财政拨款收入7372.22万元，其他收入210.29万元。</w:t>
      </w:r>
    </w:p>
    <w:p>
      <w:pPr>
        <w:widowControl/>
        <w:spacing w:line="60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2.预算执行情况：本年支出合计7554.57万元，其中，基本支出660.07万元，项目支出6894.50万元。</w:t>
      </w:r>
    </w:p>
    <w:p>
      <w:pPr>
        <w:widowControl/>
        <w:spacing w:line="60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3.“三公经费”支出合计0万元。无公务接待费，无公务用车运行维护费,无因公出国（境）费用。</w:t>
      </w:r>
    </w:p>
    <w:p>
      <w:pPr>
        <w:pStyle w:val="14"/>
        <w:spacing w:line="56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（二）绩效目标完成情况</w:t>
      </w:r>
    </w:p>
    <w:p>
      <w:pPr>
        <w:pStyle w:val="14"/>
        <w:spacing w:line="56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1.医保参保覆盖率方面。建立社会保险全覆盖是党和政府惠民政策的重要内容，为实现城乡居民医保参保缴费完成95%的指标，我们向上积极争取县委、县政府支持，通过制定征缴工作方案，加强与税务等部门协调，加大政府宣传力度，压实乡镇工作责任等措施，调动镇村干部积极性。2021年全县参保人数为833989人，其中城镇职工医保参保人数为51585人，城乡居民医保参保人数为782404人，参保率稳定在95%以上。2021年人均筹资达到860元，其中个人缴费280元，各级财政补助580元，共筹资67286.74万元，为提高待遇保障提供了有力支撑。</w:t>
      </w:r>
    </w:p>
    <w:p>
      <w:pPr>
        <w:widowControl/>
        <w:spacing w:line="60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医保待遇落实方面。2021年城乡居民医保基金支出48770.19万元，其中住院统筹基金支出39490.62万元，门诊统筹（含特殊病门诊）支出4265.42万元，大病保险支出5014.15万元。城镇职工医保基金支出20393.28万元，其中住院费用8528.41万元，门诊费用6258.26万元。特殊人群财政补助收入982.11万元（离休干部232.11万元，荣残军人750万元），支出1008.29万元。</w:t>
      </w:r>
    </w:p>
    <w:p>
      <w:pPr>
        <w:widowControl/>
        <w:spacing w:line="600" w:lineRule="exact"/>
        <w:ind w:firstLine="640" w:firstLineChars="200"/>
        <w:rPr>
          <w:rFonts w:hint="default"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3.健康扶贫方面。2021年，我县建档立卡贫困户43811人全额资助参保，参保率100%。全年，建档立卡人员县域内结算10078人次，总费用3767.26万元，个人支付382.41万元，实际报销比例90%；县域外结算1498人次，总费用1021.34万元，个人支付370.21万元，实际报销比例64%，有效防止因病返贫现象。今年健康扶贫国检、省检均顺利通过。</w:t>
      </w:r>
    </w:p>
    <w:p>
      <w:pPr>
        <w:widowControl/>
        <w:spacing w:line="60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4.协议管理方面。对协议医药机构、医疗机构合同签订率达100%，全年与75家医疗机构、近300家零售药店、（特殊）门诊点签订管理协议，对被管理机构人员从业资质、执行医保用药目录范围、医保卡刷卡流程、医保目录范围内药品进货渠道等进行管理。</w:t>
      </w:r>
    </w:p>
    <w:p>
      <w:pPr>
        <w:tabs>
          <w:tab w:val="left" w:pos="870"/>
        </w:tabs>
        <w:spacing w:line="560" w:lineRule="exact"/>
        <w:ind w:firstLine="640" w:firstLineChars="200"/>
        <w:jc w:val="both"/>
        <w:rPr>
          <w:rFonts w:ascii="黑体" w:hAnsi="黑体" w:eastAsia="黑体"/>
          <w:b w:val="0"/>
          <w:bCs/>
          <w:sz w:val="32"/>
          <w:szCs w:val="32"/>
        </w:rPr>
      </w:pPr>
      <w:r>
        <w:rPr>
          <w:rFonts w:hint="eastAsia" w:ascii="黑体" w:hAnsi="黑体" w:eastAsia="黑体"/>
          <w:b w:val="0"/>
          <w:bCs/>
          <w:sz w:val="32"/>
          <w:szCs w:val="32"/>
        </w:rPr>
        <w:t>四、绩效评价结果</w:t>
      </w:r>
    </w:p>
    <w:p>
      <w:pPr>
        <w:pStyle w:val="14"/>
        <w:spacing w:line="56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根据财政项目支出自评体系要求，</w:t>
      </w:r>
      <w:r>
        <w:rPr>
          <w:rFonts w:hint="eastAsia" w:ascii="仿宋_GB2312" w:eastAsia="仿宋_GB2312"/>
          <w:sz w:val="32"/>
          <w:szCs w:val="32"/>
        </w:rPr>
        <w:t>对照部门整体支出绩效评价指标体系及《2021年湘潭县预算绩效管理工（作考核办法》，</w:t>
      </w:r>
      <w:r>
        <w:rPr>
          <w:rFonts w:hint="eastAsia" w:ascii="仿宋_GB2312" w:hAnsi="仿宋_GB2312" w:eastAsia="仿宋_GB2312" w:cs="仿宋_GB2312"/>
          <w:color w:val="000000"/>
          <w:kern w:val="0"/>
          <w:sz w:val="32"/>
          <w:szCs w:val="32"/>
          <w:lang w:val="en-US" w:eastAsia="zh-CN" w:bidi="ar-SA"/>
        </w:rPr>
        <w:t>自评得分</w:t>
      </w:r>
      <w:r>
        <w:rPr>
          <w:rFonts w:hint="eastAsia" w:ascii="Times New Roman" w:hAnsi="Times New Roman" w:eastAsia="仿宋_GB2312" w:cs="Times New Roman"/>
          <w:kern w:val="0"/>
          <w:sz w:val="32"/>
          <w:szCs w:val="32"/>
          <w:lang w:val="en-US" w:eastAsia="zh-CN" w:bidi="ar-SA"/>
        </w:rPr>
        <w:t>99</w:t>
      </w:r>
      <w:r>
        <w:rPr>
          <w:rFonts w:hint="eastAsia" w:ascii="仿宋_GB2312" w:hAnsi="仿宋_GB2312" w:eastAsia="仿宋_GB2312" w:cs="仿宋_GB2312"/>
          <w:color w:val="000000"/>
          <w:kern w:val="0"/>
          <w:sz w:val="32"/>
          <w:szCs w:val="32"/>
          <w:lang w:val="en-US" w:eastAsia="zh-CN" w:bidi="ar-SA"/>
        </w:rPr>
        <w:t>分，自评结论为优秀。</w:t>
      </w:r>
    </w:p>
    <w:p>
      <w:pPr>
        <w:pStyle w:val="14"/>
        <w:spacing w:line="560" w:lineRule="exact"/>
        <w:ind w:firstLine="640" w:firstLineChars="200"/>
        <w:rPr>
          <w:rFonts w:ascii="黑体" w:hAnsi="黑体" w:eastAsia="黑体"/>
          <w:b w:val="0"/>
          <w:bCs/>
          <w:kern w:val="0"/>
          <w:sz w:val="32"/>
          <w:szCs w:val="32"/>
        </w:rPr>
      </w:pPr>
      <w:r>
        <w:rPr>
          <w:rFonts w:hint="eastAsia" w:ascii="黑体" w:hAnsi="黑体" w:eastAsia="黑体"/>
          <w:b w:val="0"/>
          <w:bCs/>
          <w:kern w:val="0"/>
          <w:sz w:val="32"/>
          <w:szCs w:val="32"/>
        </w:rPr>
        <w:t>五、主要经验及做法</w:t>
      </w:r>
    </w:p>
    <w:p>
      <w:pPr>
        <w:pStyle w:val="14"/>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lang w:val="en-US" w:eastAsia="zh-CN" w:bidi="ar-SA"/>
        </w:rPr>
        <w:t>我局的项目资金都由医疗保障事务中心财务提供资金申请材料，并对其真实性合规性负责，局财务统一向财政局申请指标和资金拨付。资金到账后，由医疗保障事务中心根据基金实际需要进行资金安排。</w:t>
      </w:r>
    </w:p>
    <w:p>
      <w:pPr>
        <w:pStyle w:val="14"/>
        <w:numPr>
          <w:ilvl w:val="0"/>
          <w:numId w:val="0"/>
        </w:numPr>
        <w:spacing w:line="560" w:lineRule="exact"/>
        <w:ind w:leftChars="0" w:firstLine="640" w:firstLineChars="200"/>
        <w:rPr>
          <w:rFonts w:ascii="黑体" w:hAnsi="黑体" w:eastAsia="黑体"/>
          <w:b w:val="0"/>
          <w:bCs/>
          <w:kern w:val="0"/>
          <w:sz w:val="32"/>
          <w:szCs w:val="32"/>
        </w:rPr>
      </w:pPr>
      <w:r>
        <w:rPr>
          <w:rFonts w:hint="eastAsia" w:ascii="黑体" w:hAnsi="黑体" w:eastAsia="黑体"/>
          <w:b w:val="0"/>
          <w:bCs/>
          <w:kern w:val="0"/>
          <w:sz w:val="32"/>
          <w:szCs w:val="32"/>
          <w:lang w:val="en-US" w:eastAsia="zh-CN"/>
        </w:rPr>
        <w:t>六、</w:t>
      </w:r>
      <w:r>
        <w:rPr>
          <w:rFonts w:hint="eastAsia" w:ascii="黑体" w:hAnsi="黑体" w:eastAsia="黑体"/>
          <w:b w:val="0"/>
          <w:bCs/>
          <w:kern w:val="0"/>
          <w:sz w:val="32"/>
          <w:szCs w:val="32"/>
        </w:rPr>
        <w:t>存在的问题及建议</w:t>
      </w:r>
    </w:p>
    <w:p>
      <w:pPr>
        <w:widowControl w:val="0"/>
        <w:adjustRightInd/>
        <w:snapToGrid/>
        <w:spacing w:after="0" w:line="560" w:lineRule="exact"/>
        <w:ind w:firstLine="640" w:firstLineChars="200"/>
        <w:jc w:val="both"/>
        <w:rPr>
          <w:rFonts w:ascii="黑体" w:hAnsi="宋体" w:eastAsia="黑体"/>
          <w:sz w:val="32"/>
          <w:szCs w:val="32"/>
        </w:rPr>
      </w:pPr>
      <w:r>
        <w:rPr>
          <w:rFonts w:hint="eastAsia" w:ascii="仿宋_GB2312" w:hAnsi="仿宋_GB2312" w:eastAsia="仿宋_GB2312" w:cs="仿宋_GB2312"/>
          <w:sz w:val="32"/>
          <w:szCs w:val="32"/>
        </w:rPr>
        <w:t>存在的问题：</w:t>
      </w:r>
    </w:p>
    <w:p>
      <w:pPr>
        <w:spacing w:line="576" w:lineRule="exact"/>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 w:eastAsia="仿宋_GB2312" w:cs="Times New Roman"/>
          <w:kern w:val="0"/>
          <w:sz w:val="32"/>
          <w:szCs w:val="32"/>
          <w:lang w:val="en-US" w:eastAsia="zh-CN" w:bidi="ar-SA"/>
        </w:rPr>
        <w:t xml:space="preserve">    </w:t>
      </w:r>
      <w:r>
        <w:rPr>
          <w:rFonts w:hint="eastAsia" w:ascii="仿宋_GB2312" w:hAnsi="仿宋_GB2312" w:cs="仿宋_GB2312"/>
          <w:kern w:val="0"/>
          <w:sz w:val="32"/>
          <w:szCs w:val="32"/>
          <w:lang w:val="en-US" w:eastAsia="zh-CN" w:bidi="ar-SA"/>
        </w:rPr>
        <w:t>1.</w:t>
      </w:r>
      <w:r>
        <w:rPr>
          <w:rFonts w:hint="eastAsia" w:ascii="仿宋_GB2312" w:hAnsi="仿宋_GB2312" w:eastAsia="仿宋_GB2312" w:cs="仿宋_GB2312"/>
          <w:color w:val="000000"/>
          <w:kern w:val="0"/>
          <w:sz w:val="32"/>
          <w:szCs w:val="32"/>
          <w:lang w:val="en-US" w:eastAsia="zh-CN" w:bidi="ar-SA"/>
        </w:rPr>
        <w:t>预算控制有待加强：由于不可预见性政策调整、单位社保专项资金政策变化、财政资金紧张等各项因素，造成一是经费预算在年初预算的基础上，调整幅度较大；二是决算执行出现偏差，同预算目标差距较大。</w:t>
      </w:r>
    </w:p>
    <w:p>
      <w:pPr>
        <w:pStyle w:val="14"/>
        <w:spacing w:line="560" w:lineRule="exac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财务管理存在一定的风险：由于我局专项资金项目种类繁多，涉及面广，各项支出的上级政策口径难于把握，特别是认真贯彻执行中央八项规定后，原有的政策制度跟不上来，造成在实际执行中尺度把握不准，故财务整体监管难度偏大。</w:t>
      </w:r>
    </w:p>
    <w:p>
      <w:pPr>
        <w:pStyle w:val="14"/>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建议</w:t>
      </w:r>
      <w:r>
        <w:rPr>
          <w:rFonts w:hint="eastAsia" w:ascii="仿宋_GB2312" w:hAnsi="仿宋_GB2312" w:eastAsia="仿宋_GB2312" w:cs="仿宋_GB2312"/>
          <w:kern w:val="0"/>
          <w:sz w:val="32"/>
          <w:szCs w:val="32"/>
        </w:rPr>
        <w:t>：</w:t>
      </w:r>
    </w:p>
    <w:p>
      <w:pPr>
        <w:spacing w:line="576" w:lineRule="exac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1.</w:t>
      </w:r>
      <w:r>
        <w:rPr>
          <w:rFonts w:hint="eastAsia" w:ascii="仿宋_GB2312" w:hAnsi="仿宋_GB2312" w:eastAsia="仿宋_GB2312" w:cs="仿宋_GB2312"/>
          <w:color w:val="000000"/>
          <w:kern w:val="0"/>
          <w:sz w:val="32"/>
          <w:szCs w:val="32"/>
          <w:lang w:val="en-US" w:eastAsia="zh-CN" w:bidi="ar-SA"/>
        </w:rPr>
        <w:t>规范部门预算收支核算，及时了解预算执行差异，合理调整、纠正预算执行偏差，我单位应根据实际情况，定期做好预算执行分析，掌握预算执行进度，及时找出预算实际执行情况与预算目标之间存在的差距，切实提高部门预算收支管理水平。</w:t>
      </w:r>
    </w:p>
    <w:p>
      <w:pPr>
        <w:spacing w:line="576" w:lineRule="exac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2.</w:t>
      </w:r>
      <w:r>
        <w:rPr>
          <w:rFonts w:hint="eastAsia" w:ascii="仿宋_GB2312" w:hAnsi="仿宋_GB2312" w:eastAsia="仿宋_GB2312" w:cs="仿宋_GB2312"/>
          <w:color w:val="000000"/>
          <w:kern w:val="0"/>
          <w:sz w:val="32"/>
          <w:szCs w:val="32"/>
          <w:lang w:val="en-US" w:eastAsia="zh-CN" w:bidi="ar-SA"/>
        </w:rPr>
        <w:t>进一步贯彻落实中央八项规定和省委九条规定，建立本部门“三公经费”等公务支出管理制度及厉行节约制度，加强经费审批和控制，规范支出标准与范围，并严格执行。</w:t>
      </w:r>
    </w:p>
    <w:p>
      <w:pPr>
        <w:spacing w:line="576" w:lineRule="exact"/>
        <w:ind w:firstLine="640" w:firstLineChars="200"/>
        <w:jc w:val="both"/>
        <w:rPr>
          <w:rFonts w:hint="eastAsia" w:ascii="宋体" w:hAnsi="宋体" w:eastAsia="宋体" w:cs="宋体"/>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3.</w:t>
      </w:r>
      <w:r>
        <w:rPr>
          <w:rFonts w:hint="eastAsia" w:ascii="仿宋_GB2312" w:hAnsi="仿宋_GB2312" w:eastAsia="仿宋_GB2312" w:cs="仿宋_GB2312"/>
          <w:color w:val="000000"/>
          <w:kern w:val="0"/>
          <w:sz w:val="32"/>
          <w:szCs w:val="32"/>
          <w:lang w:val="en-US" w:eastAsia="zh-CN" w:bidi="ar-SA"/>
        </w:rPr>
        <w:t>加强财务监督和管理，建立健全内控制度。对各业务股室和二级机构的专项经济活动实施必要的预算控制和过程监督，加强财务管理力度。</w:t>
      </w:r>
    </w:p>
    <w:p>
      <w:pPr>
        <w:ind w:firstLine="640" w:firstLineChars="200"/>
        <w:jc w:val="left"/>
        <w:rPr>
          <w:rFonts w:ascii="宋体" w:cs="Times New Roman"/>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lOGRiMzI5OWQyMTY4ZjM2MTJmZTlhZDMwMzEwNDE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17B2D69"/>
    <w:rsid w:val="04AA591C"/>
    <w:rsid w:val="076B2DCE"/>
    <w:rsid w:val="09077801"/>
    <w:rsid w:val="096867B1"/>
    <w:rsid w:val="0F2B26EE"/>
    <w:rsid w:val="10111CB3"/>
    <w:rsid w:val="10EE19D3"/>
    <w:rsid w:val="11F1099F"/>
    <w:rsid w:val="135950FD"/>
    <w:rsid w:val="13AE369B"/>
    <w:rsid w:val="1560771A"/>
    <w:rsid w:val="16C44B97"/>
    <w:rsid w:val="198F37EF"/>
    <w:rsid w:val="1AE15E74"/>
    <w:rsid w:val="1BA47801"/>
    <w:rsid w:val="1E2A5713"/>
    <w:rsid w:val="1E844802"/>
    <w:rsid w:val="20875058"/>
    <w:rsid w:val="20A16408"/>
    <w:rsid w:val="20E30711"/>
    <w:rsid w:val="21747CD2"/>
    <w:rsid w:val="21E734BE"/>
    <w:rsid w:val="24AB603A"/>
    <w:rsid w:val="25512802"/>
    <w:rsid w:val="26E74CBE"/>
    <w:rsid w:val="284E65ED"/>
    <w:rsid w:val="28C36E49"/>
    <w:rsid w:val="29C63C11"/>
    <w:rsid w:val="2A1326D0"/>
    <w:rsid w:val="2A351FC9"/>
    <w:rsid w:val="2B2B6F28"/>
    <w:rsid w:val="2B944ACD"/>
    <w:rsid w:val="2D976C2A"/>
    <w:rsid w:val="2E7157C2"/>
    <w:rsid w:val="2F7818ED"/>
    <w:rsid w:val="31934200"/>
    <w:rsid w:val="32F25636"/>
    <w:rsid w:val="33316FC3"/>
    <w:rsid w:val="33435756"/>
    <w:rsid w:val="35894D48"/>
    <w:rsid w:val="379F0F1F"/>
    <w:rsid w:val="39D43588"/>
    <w:rsid w:val="3AFD5A1C"/>
    <w:rsid w:val="3C46480D"/>
    <w:rsid w:val="3CC40730"/>
    <w:rsid w:val="3ECA2888"/>
    <w:rsid w:val="3EF73899"/>
    <w:rsid w:val="40082068"/>
    <w:rsid w:val="41397CDD"/>
    <w:rsid w:val="41EF0857"/>
    <w:rsid w:val="43B34232"/>
    <w:rsid w:val="444C058A"/>
    <w:rsid w:val="46433032"/>
    <w:rsid w:val="473647D9"/>
    <w:rsid w:val="474B2221"/>
    <w:rsid w:val="47523ABF"/>
    <w:rsid w:val="47AF4D11"/>
    <w:rsid w:val="47E75E36"/>
    <w:rsid w:val="480558D9"/>
    <w:rsid w:val="481C49F5"/>
    <w:rsid w:val="485821B4"/>
    <w:rsid w:val="49524E19"/>
    <w:rsid w:val="4AF15640"/>
    <w:rsid w:val="507C775A"/>
    <w:rsid w:val="51234079"/>
    <w:rsid w:val="51FA74D0"/>
    <w:rsid w:val="54F944E8"/>
    <w:rsid w:val="561F2DC7"/>
    <w:rsid w:val="569A014C"/>
    <w:rsid w:val="57D32355"/>
    <w:rsid w:val="59764178"/>
    <w:rsid w:val="598B04DE"/>
    <w:rsid w:val="59EA7E2A"/>
    <w:rsid w:val="5A4E652D"/>
    <w:rsid w:val="5A875679"/>
    <w:rsid w:val="5AE52032"/>
    <w:rsid w:val="5B2B4256"/>
    <w:rsid w:val="5CE419CF"/>
    <w:rsid w:val="5E1A5510"/>
    <w:rsid w:val="5EED57F7"/>
    <w:rsid w:val="5F242C1B"/>
    <w:rsid w:val="5F63491D"/>
    <w:rsid w:val="615A7643"/>
    <w:rsid w:val="636D5D54"/>
    <w:rsid w:val="63C45248"/>
    <w:rsid w:val="646A272A"/>
    <w:rsid w:val="65E91B04"/>
    <w:rsid w:val="66376E8C"/>
    <w:rsid w:val="674F751F"/>
    <w:rsid w:val="69372896"/>
    <w:rsid w:val="6BE91CF0"/>
    <w:rsid w:val="6C94136F"/>
    <w:rsid w:val="6EB74033"/>
    <w:rsid w:val="6EBD1446"/>
    <w:rsid w:val="712F0AD2"/>
    <w:rsid w:val="73851F5A"/>
    <w:rsid w:val="74C23A26"/>
    <w:rsid w:val="77B6552E"/>
    <w:rsid w:val="790E0FE8"/>
    <w:rsid w:val="7BDD7C76"/>
    <w:rsid w:val="7C6A6C95"/>
    <w:rsid w:val="7D2863F0"/>
    <w:rsid w:val="7DA55C93"/>
    <w:rsid w:val="7E2B7728"/>
    <w:rsid w:val="7F7E679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semiHidden/>
    <w:qFormat/>
    <w:locked/>
    <w:uiPriority w:val="99"/>
    <w:rPr>
      <w:sz w:val="18"/>
      <w:szCs w:val="18"/>
    </w:rPr>
  </w:style>
  <w:style w:type="character" w:customStyle="1" w:styleId="9">
    <w:name w:val="Footer Char"/>
    <w:basedOn w:val="7"/>
    <w:link w:val="3"/>
    <w:qFormat/>
    <w:locked/>
    <w:uiPriority w:val="99"/>
    <w:rPr>
      <w:sz w:val="18"/>
      <w:szCs w:val="18"/>
    </w:rPr>
  </w:style>
  <w:style w:type="character" w:customStyle="1" w:styleId="10">
    <w:name w:val="Header Char"/>
    <w:basedOn w:val="7"/>
    <w:link w:val="4"/>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 w:type="paragraph" w:customStyle="1" w:styleId="13">
    <w:name w:val="List Paragraph1"/>
    <w:basedOn w:val="1"/>
    <w:qFormat/>
    <w:uiPriority w:val="99"/>
    <w:pPr>
      <w:ind w:firstLine="420" w:firstLineChars="200"/>
    </w:pPr>
  </w:style>
  <w:style w:type="paragraph" w:styleId="14">
    <w:name w:val="No Spacing"/>
    <w:qFormat/>
    <w:uiPriority w:val="0"/>
    <w:pPr>
      <w:widowControl w:val="0"/>
      <w:spacing w:after="0" w:line="240" w:lineRule="auto"/>
      <w:jc w:val="both"/>
    </w:pPr>
    <w:rPr>
      <w:rFonts w:ascii="Calibri" w:hAnsi="Calibri" w:eastAsia="宋体" w:cs="Times New Roman"/>
      <w:kern w:val="2"/>
      <w:sz w:val="21"/>
      <w:szCs w:val="22"/>
      <w:lang w:val="en-US" w:eastAsia="zh-CN" w:bidi="ar-SA"/>
    </w:rPr>
  </w:style>
  <w:style w:type="character" w:customStyle="1" w:styleId="15">
    <w:name w:val="font11"/>
    <w:basedOn w:val="7"/>
    <w:qFormat/>
    <w:uiPriority w:val="0"/>
    <w:rPr>
      <w:rFonts w:hint="eastAsia" w:ascii="宋体" w:hAnsi="宋体" w:eastAsia="宋体" w:cs="宋体"/>
      <w:color w:val="000000"/>
      <w:sz w:val="24"/>
      <w:szCs w:val="24"/>
      <w:u w:val="none"/>
    </w:rPr>
  </w:style>
  <w:style w:type="character" w:customStyle="1" w:styleId="16">
    <w:name w:val="font21"/>
    <w:basedOn w:val="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33</Pages>
  <Words>10829</Words>
  <Characters>13871</Characters>
  <Lines>0</Lines>
  <Paragraphs>0</Paragraphs>
  <TotalTime>15</TotalTime>
  <ScaleCrop>false</ScaleCrop>
  <LinksUpToDate>false</LinksUpToDate>
  <CharactersWithSpaces>14751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洛</cp:lastModifiedBy>
  <cp:lastPrinted>2022-08-04T09:10:00Z</cp:lastPrinted>
  <dcterms:modified xsi:type="dcterms:W3CDTF">2023-09-05T00:11:07Z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2052-12.1.0.15120</vt:lpwstr>
  </property>
  <property fmtid="{D5CDD505-2E9C-101B-9397-08002B2CF9AE}" pid="4" name="ICV">
    <vt:lpwstr>F12AEFE1DAD44122814A53C3861BA550</vt:lpwstr>
  </property>
</Properties>
</file>