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ind w:firstLine="1325" w:firstLineChars="300"/>
        <w:jc w:val="both"/>
        <w:rPr>
          <w:rFonts w:ascii="宋体" w:hAnsi="宋体" w:eastAsia="宋体" w:cs="宋体"/>
          <w:b/>
          <w:bCs/>
          <w:sz w:val="44"/>
          <w:szCs w:val="44"/>
          <w:highlight w:val="none"/>
        </w:rPr>
      </w:pPr>
    </w:p>
    <w:p>
      <w:pPr>
        <w:pStyle w:val="8"/>
        <w:ind w:firstLine="1446" w:firstLineChars="300"/>
        <w:jc w:val="both"/>
        <w:rPr>
          <w:rFonts w:hAnsi="黑体"/>
          <w:b/>
          <w:bCs/>
          <w:sz w:val="48"/>
          <w:szCs w:val="48"/>
          <w:highlight w:val="none"/>
        </w:rPr>
      </w:pPr>
      <w:r>
        <w:rPr>
          <w:rFonts w:hint="eastAsia" w:hAnsi="黑体"/>
          <w:b/>
          <w:bCs/>
          <w:sz w:val="48"/>
          <w:szCs w:val="48"/>
          <w:highlight w:val="none"/>
        </w:rPr>
        <w:t>2021年度湘潭县行政审批服务局</w:t>
      </w:r>
    </w:p>
    <w:p>
      <w:pPr>
        <w:pStyle w:val="8"/>
        <w:ind w:firstLine="3373" w:firstLineChars="700"/>
        <w:jc w:val="both"/>
        <w:rPr>
          <w:rFonts w:hAnsi="黑体"/>
          <w:b/>
          <w:bCs/>
          <w:sz w:val="48"/>
          <w:szCs w:val="48"/>
          <w:highlight w:val="none"/>
        </w:rPr>
      </w:pPr>
      <w:r>
        <w:rPr>
          <w:rFonts w:hint="eastAsia" w:hAnsi="黑体"/>
          <w:b/>
          <w:bCs/>
          <w:sz w:val="48"/>
          <w:szCs w:val="48"/>
          <w:highlight w:val="none"/>
        </w:rPr>
        <w:t>部门决算</w:t>
      </w:r>
    </w:p>
    <w:p>
      <w:pPr>
        <w:pStyle w:val="8"/>
        <w:ind w:firstLine="3534" w:firstLineChars="1100"/>
        <w:jc w:val="both"/>
        <w:rPr>
          <w:rFonts w:ascii="仿宋" w:hAnsi="仿宋" w:eastAsia="仿宋" w:cs="仿宋"/>
          <w:b/>
          <w:bCs/>
          <w:sz w:val="32"/>
          <w:szCs w:val="32"/>
          <w:highlight w:val="none"/>
        </w:rPr>
      </w:pPr>
    </w:p>
    <w:p>
      <w:pPr>
        <w:pStyle w:val="8"/>
        <w:ind w:firstLine="3534" w:firstLineChars="1100"/>
        <w:jc w:val="both"/>
        <w:rPr>
          <w:rFonts w:ascii="仿宋" w:hAnsi="仿宋" w:eastAsia="仿宋" w:cs="仿宋"/>
          <w:b/>
          <w:bCs/>
          <w:sz w:val="32"/>
          <w:szCs w:val="32"/>
          <w:highlight w:val="none"/>
        </w:rPr>
      </w:pPr>
      <w:r>
        <w:rPr>
          <w:rFonts w:hint="eastAsia" w:ascii="仿宋" w:hAnsi="仿宋" w:eastAsia="仿宋" w:cs="仿宋"/>
          <w:b/>
          <w:bCs/>
          <w:sz w:val="32"/>
          <w:szCs w:val="32"/>
          <w:highlight w:val="none"/>
        </w:rPr>
        <w:t>目  录</w:t>
      </w:r>
    </w:p>
    <w:p>
      <w:pPr>
        <w:pStyle w:val="8"/>
        <w:spacing w:line="460" w:lineRule="exact"/>
        <w:rPr>
          <w:rFonts w:ascii="仿宋" w:hAnsi="仿宋" w:eastAsia="仿宋" w:cs="仿宋"/>
          <w:b/>
          <w:bCs/>
          <w:sz w:val="32"/>
          <w:szCs w:val="32"/>
          <w:highlight w:val="none"/>
        </w:rPr>
      </w:pPr>
    </w:p>
    <w:p>
      <w:pPr>
        <w:pStyle w:val="8"/>
        <w:spacing w:line="460" w:lineRule="exact"/>
        <w:rPr>
          <w:rFonts w:ascii="仿宋" w:hAnsi="仿宋" w:eastAsia="仿宋" w:cs="仿宋"/>
          <w:b/>
          <w:bCs/>
          <w:sz w:val="32"/>
          <w:szCs w:val="32"/>
          <w:highlight w:val="none"/>
        </w:rPr>
      </w:pPr>
      <w:r>
        <w:rPr>
          <w:rFonts w:hint="eastAsia" w:ascii="仿宋" w:hAnsi="仿宋" w:eastAsia="仿宋" w:cs="仿宋"/>
          <w:b/>
          <w:bCs/>
          <w:sz w:val="32"/>
          <w:szCs w:val="32"/>
          <w:highlight w:val="none"/>
        </w:rPr>
        <w:t>第一部分  单位概况</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一、部门职责</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二、机构设置</w:t>
      </w:r>
    </w:p>
    <w:p>
      <w:pPr>
        <w:pStyle w:val="8"/>
        <w:spacing w:line="460" w:lineRule="exact"/>
        <w:rPr>
          <w:rFonts w:ascii="仿宋" w:hAnsi="仿宋" w:eastAsia="仿宋" w:cs="仿宋"/>
          <w:b/>
          <w:bCs/>
          <w:sz w:val="32"/>
          <w:szCs w:val="32"/>
          <w:highlight w:val="none"/>
        </w:rPr>
      </w:pPr>
      <w:r>
        <w:rPr>
          <w:rFonts w:hint="eastAsia" w:ascii="仿宋" w:hAnsi="仿宋" w:eastAsia="仿宋" w:cs="仿宋"/>
          <w:b/>
          <w:bCs/>
          <w:sz w:val="32"/>
          <w:szCs w:val="32"/>
          <w:highlight w:val="none"/>
        </w:rPr>
        <w:t>第二部分  2021年度部门决算表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一、收入支出决算总表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二、收入决算表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三、支出决算表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四、财政拨款收入支出决算总表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五、一般公共预算财政拨款支出决算表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六、一般公共预算财政拨款基本支出决算表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七、一般公共预算财政拨款“三公”经费支出决算表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八、政府性基金预算财政拨款收入支出决算表</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九、国有资本经营预算财政拨款支出决算表</w:t>
      </w:r>
    </w:p>
    <w:p>
      <w:pPr>
        <w:pStyle w:val="8"/>
        <w:spacing w:line="460" w:lineRule="exact"/>
        <w:rPr>
          <w:rFonts w:ascii="仿宋" w:hAnsi="仿宋" w:eastAsia="仿宋" w:cs="仿宋"/>
          <w:b/>
          <w:bCs/>
          <w:sz w:val="32"/>
          <w:szCs w:val="32"/>
          <w:highlight w:val="none"/>
        </w:rPr>
      </w:pPr>
      <w:r>
        <w:rPr>
          <w:rFonts w:hint="eastAsia" w:ascii="仿宋" w:hAnsi="仿宋" w:eastAsia="仿宋" w:cs="仿宋"/>
          <w:b/>
          <w:bCs/>
          <w:sz w:val="32"/>
          <w:szCs w:val="32"/>
          <w:highlight w:val="none"/>
        </w:rPr>
        <w:t>第三部分  2021年度部门决算情况说明</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一、收入支出决算总体情况说明</w:t>
      </w:r>
    </w:p>
    <w:p>
      <w:pPr>
        <w:spacing w:line="460" w:lineRule="exact"/>
        <w:ind w:firstLine="320" w:firstLineChars="100"/>
        <w:jc w:val="left"/>
        <w:rPr>
          <w:rFonts w:ascii="仿宋" w:hAnsi="仿宋" w:eastAsia="仿宋" w:cs="仿宋"/>
          <w:sz w:val="32"/>
          <w:szCs w:val="32"/>
          <w:highlight w:val="none"/>
        </w:rPr>
      </w:pPr>
      <w:r>
        <w:rPr>
          <w:rFonts w:hint="eastAsia" w:ascii="仿宋" w:hAnsi="仿宋" w:eastAsia="仿宋" w:cs="仿宋"/>
          <w:sz w:val="32"/>
          <w:szCs w:val="32"/>
          <w:highlight w:val="none"/>
        </w:rPr>
        <w:t>二、收入决算情况说明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三、支出决算情况说明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四、财政拨款收入支出决算总体情况说明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五、一般公共预算财政拨款支出决算情况说明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六、一般公共预算财政拨款基本支出决算情况说明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七、一般公共预算财政拨款三公经费支出决算情况说明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八、政府性基金预算收入支出决算情况</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九、关于机关运行经费支出说明</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十、一般性支出情况</w:t>
      </w:r>
    </w:p>
    <w:p>
      <w:pPr>
        <w:autoSpaceDE w:val="0"/>
        <w:autoSpaceDN w:val="0"/>
        <w:adjustRightInd w:val="0"/>
        <w:spacing w:line="460" w:lineRule="exact"/>
        <w:ind w:firstLine="320" w:firstLineChars="100"/>
        <w:jc w:val="left"/>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十一、关于政府采购支出说明</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十二、关于国有资产占用情况说明</w:t>
      </w:r>
    </w:p>
    <w:p>
      <w:pPr>
        <w:pStyle w:val="8"/>
        <w:spacing w:line="460" w:lineRule="exact"/>
        <w:ind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十三、关于2021年度预算绩效情况的说明</w:t>
      </w:r>
    </w:p>
    <w:p>
      <w:pPr>
        <w:autoSpaceDE w:val="0"/>
        <w:autoSpaceDN w:val="0"/>
        <w:adjustRightInd w:val="0"/>
        <w:spacing w:line="460" w:lineRule="exact"/>
        <w:jc w:val="left"/>
        <w:rPr>
          <w:rFonts w:ascii="仿宋" w:hAnsi="仿宋" w:eastAsia="仿宋" w:cs="仿宋"/>
          <w:b/>
          <w:bCs/>
          <w:color w:val="000000"/>
          <w:kern w:val="0"/>
          <w:sz w:val="32"/>
          <w:szCs w:val="32"/>
          <w:highlight w:val="none"/>
        </w:rPr>
      </w:pPr>
    </w:p>
    <w:p>
      <w:pPr>
        <w:autoSpaceDE w:val="0"/>
        <w:autoSpaceDN w:val="0"/>
        <w:adjustRightInd w:val="0"/>
        <w:spacing w:line="460" w:lineRule="exact"/>
        <w:jc w:val="left"/>
        <w:rPr>
          <w:rFonts w:ascii="仿宋" w:hAnsi="仿宋" w:eastAsia="仿宋" w:cs="仿宋"/>
          <w:b/>
          <w:bCs/>
          <w:color w:val="000000"/>
          <w:kern w:val="0"/>
          <w:sz w:val="32"/>
          <w:szCs w:val="32"/>
          <w:highlight w:val="none"/>
        </w:rPr>
      </w:pPr>
      <w:r>
        <w:rPr>
          <w:rFonts w:hint="eastAsia" w:ascii="仿宋" w:hAnsi="仿宋" w:eastAsia="仿宋" w:cs="仿宋"/>
          <w:b/>
          <w:bCs/>
          <w:color w:val="000000"/>
          <w:kern w:val="0"/>
          <w:sz w:val="32"/>
          <w:szCs w:val="32"/>
          <w:highlight w:val="none"/>
        </w:rPr>
        <w:t>第四部分名词解释</w:t>
      </w:r>
    </w:p>
    <w:p>
      <w:pPr>
        <w:autoSpaceDE w:val="0"/>
        <w:autoSpaceDN w:val="0"/>
        <w:adjustRightInd w:val="0"/>
        <w:spacing w:line="460" w:lineRule="exact"/>
        <w:jc w:val="left"/>
        <w:rPr>
          <w:rFonts w:ascii="仿宋" w:hAnsi="仿宋" w:eastAsia="仿宋" w:cs="仿宋"/>
          <w:b/>
          <w:bCs/>
          <w:color w:val="000000"/>
          <w:kern w:val="0"/>
          <w:sz w:val="32"/>
          <w:szCs w:val="32"/>
          <w:highlight w:val="none"/>
        </w:rPr>
      </w:pPr>
    </w:p>
    <w:p>
      <w:pPr>
        <w:autoSpaceDE w:val="0"/>
        <w:autoSpaceDN w:val="0"/>
        <w:adjustRightInd w:val="0"/>
        <w:spacing w:line="460" w:lineRule="exact"/>
        <w:jc w:val="left"/>
        <w:rPr>
          <w:rFonts w:ascii="仿宋" w:hAnsi="仿宋" w:eastAsia="仿宋" w:cs="仿宋"/>
          <w:b/>
          <w:bCs/>
          <w:color w:val="000000"/>
          <w:kern w:val="0"/>
          <w:sz w:val="32"/>
          <w:szCs w:val="32"/>
          <w:highlight w:val="none"/>
        </w:rPr>
      </w:pPr>
      <w:r>
        <w:rPr>
          <w:rFonts w:hint="eastAsia" w:ascii="仿宋" w:hAnsi="仿宋" w:eastAsia="仿宋" w:cs="仿宋"/>
          <w:b/>
          <w:bCs/>
          <w:color w:val="000000"/>
          <w:kern w:val="0"/>
          <w:sz w:val="32"/>
          <w:szCs w:val="32"/>
          <w:highlight w:val="none"/>
        </w:rPr>
        <w:t>第五部分附件</w:t>
      </w:r>
    </w:p>
    <w:p>
      <w:pPr>
        <w:rPr>
          <w:highlight w:val="none"/>
        </w:rPr>
      </w:pPr>
    </w:p>
    <w:p>
      <w:pPr>
        <w:rPr>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3213" w:firstLineChars="800"/>
        <w:rPr>
          <w:rFonts w:ascii="仿宋" w:hAnsi="仿宋" w:eastAsia="仿宋" w:cs="仿宋"/>
          <w:b/>
          <w:sz w:val="40"/>
          <w:szCs w:val="40"/>
          <w:highlight w:val="none"/>
        </w:rPr>
      </w:pPr>
    </w:p>
    <w:p>
      <w:pPr>
        <w:spacing w:before="37" w:afterLines="50" w:line="20" w:lineRule="atLeast"/>
        <w:ind w:right="1575" w:firstLine="2650" w:firstLineChars="600"/>
        <w:rPr>
          <w:rFonts w:ascii="黑体" w:hAnsi="黑体" w:eastAsia="黑体" w:cs="黑体"/>
          <w:b/>
          <w:sz w:val="44"/>
          <w:szCs w:val="44"/>
          <w:highlight w:val="none"/>
        </w:rPr>
      </w:pPr>
      <w:r>
        <w:rPr>
          <w:rFonts w:hint="eastAsia" w:ascii="黑体" w:hAnsi="黑体" w:eastAsia="黑体" w:cs="黑体"/>
          <w:b/>
          <w:sz w:val="44"/>
          <w:szCs w:val="44"/>
          <w:highlight w:val="none"/>
        </w:rPr>
        <w:t>第一部分</w:t>
      </w:r>
    </w:p>
    <w:p>
      <w:pPr>
        <w:spacing w:before="61" w:afterLines="50" w:line="20" w:lineRule="atLeast"/>
        <w:ind w:right="1950" w:firstLine="442" w:firstLineChars="100"/>
        <w:rPr>
          <w:rFonts w:ascii="黑体" w:hAnsi="黑体" w:eastAsia="黑体" w:cs="黑体"/>
          <w:b/>
          <w:sz w:val="44"/>
          <w:szCs w:val="44"/>
          <w:highlight w:val="none"/>
        </w:rPr>
      </w:pPr>
    </w:p>
    <w:p>
      <w:pPr>
        <w:spacing w:before="61" w:afterLines="50" w:line="20" w:lineRule="atLeast"/>
        <w:ind w:right="1950"/>
        <w:jc w:val="right"/>
        <w:rPr>
          <w:rFonts w:ascii="黑体" w:hAnsi="黑体" w:eastAsia="黑体" w:cs="黑体"/>
          <w:b/>
          <w:sz w:val="44"/>
          <w:szCs w:val="44"/>
          <w:highlight w:val="none"/>
        </w:rPr>
      </w:pPr>
      <w:r>
        <w:rPr>
          <w:rFonts w:hint="eastAsia" w:ascii="黑体" w:hAnsi="黑体" w:eastAsia="黑体" w:cs="黑体"/>
          <w:b/>
          <w:sz w:val="44"/>
          <w:szCs w:val="44"/>
          <w:highlight w:val="none"/>
        </w:rPr>
        <w:t>湘潭县行政审批服务局单位概况</w:t>
      </w:r>
    </w:p>
    <w:p>
      <w:pPr>
        <w:spacing w:before="61" w:afterLines="50" w:line="20" w:lineRule="atLeast"/>
        <w:ind w:right="1950" w:firstLine="1325" w:firstLineChars="300"/>
        <w:rPr>
          <w:rFonts w:ascii="黑体" w:hAnsi="黑体" w:eastAsia="黑体" w:cs="黑体"/>
          <w:b/>
          <w:sz w:val="44"/>
          <w:szCs w:val="44"/>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spacing w:before="61" w:afterLines="50" w:line="20" w:lineRule="atLeast"/>
        <w:ind w:right="1950" w:firstLine="1205" w:firstLineChars="300"/>
        <w:rPr>
          <w:rFonts w:ascii="仿宋" w:hAnsi="仿宋" w:eastAsia="仿宋" w:cs="仿宋"/>
          <w:b/>
          <w:sz w:val="40"/>
          <w:szCs w:val="40"/>
          <w:highlight w:val="none"/>
        </w:rPr>
      </w:pPr>
    </w:p>
    <w:p>
      <w:pPr>
        <w:pStyle w:val="9"/>
        <w:numPr>
          <w:ilvl w:val="0"/>
          <w:numId w:val="1"/>
        </w:numPr>
        <w:spacing w:afterLines="50" w:line="360" w:lineRule="auto"/>
        <w:ind w:firstLineChars="0"/>
        <w:jc w:val="left"/>
        <w:rPr>
          <w:rFonts w:ascii="仿宋" w:hAnsi="仿宋" w:eastAsia="仿宋" w:cs="仿宋"/>
          <w:b/>
          <w:sz w:val="32"/>
          <w:szCs w:val="32"/>
          <w:highlight w:val="none"/>
        </w:rPr>
      </w:pPr>
      <w:r>
        <w:rPr>
          <w:rFonts w:hint="eastAsia" w:ascii="仿宋" w:hAnsi="仿宋" w:eastAsia="仿宋" w:cs="仿宋"/>
          <w:b/>
          <w:bCs/>
          <w:sz w:val="32"/>
          <w:szCs w:val="32"/>
          <w:highlight w:val="none"/>
        </w:rPr>
        <w:t>部门职责</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1.负责组织拟订全县行政审批制度改革、政务公开协调、政务服务、电子政务管理、县长热线管理相关政策，制定、起草有关规定、制度和管理办法，并组织实施。对县直单位和乡镇进行业务指导。</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4.统筹推进、协调、监督全县政府系统电子政务、“互联网+政务服务”、政务数据资源体系建设与管理工作。</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5.统筹推进县长热线和“县长信箱”工作。负责市民通过县长热线向县政府进行的咨询建议、投诉、求助等事项的处理。</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6.负责全县中介超市管理工作，承担中介超市标准化建设和管理职能，指导、协调、考评各单位中介超市管理机构业务工作。</w:t>
      </w:r>
    </w:p>
    <w:p>
      <w:pPr>
        <w:widowControl/>
        <w:shd w:val="clear" w:color="auto" w:fill="FFFFFF"/>
        <w:spacing w:line="480" w:lineRule="auto"/>
        <w:ind w:firstLine="480"/>
        <w:rPr>
          <w:rFonts w:ascii="仿宋" w:hAnsi="仿宋" w:eastAsia="仿宋"/>
          <w:sz w:val="32"/>
          <w:szCs w:val="24"/>
          <w:highlight w:val="none"/>
        </w:rPr>
      </w:pPr>
      <w:r>
        <w:rPr>
          <w:rFonts w:hint="eastAsia" w:ascii="仿宋" w:hAnsi="仿宋" w:eastAsia="仿宋"/>
          <w:sz w:val="32"/>
          <w:szCs w:val="24"/>
          <w:highlight w:val="none"/>
        </w:rPr>
        <w:t>7.完成县委、县人民政府交办的其他任务。</w:t>
      </w:r>
    </w:p>
    <w:p>
      <w:pPr>
        <w:widowControl/>
        <w:shd w:val="clear" w:color="auto" w:fill="FFFFFF"/>
        <w:spacing w:line="480" w:lineRule="auto"/>
        <w:ind w:firstLine="480"/>
        <w:rPr>
          <w:rFonts w:ascii="仿宋" w:hAnsi="仿宋" w:eastAsia="仿宋"/>
          <w:sz w:val="32"/>
          <w:szCs w:val="24"/>
          <w:highlight w:val="none"/>
        </w:rPr>
      </w:pPr>
    </w:p>
    <w:p>
      <w:pPr>
        <w:widowControl/>
        <w:spacing w:line="360" w:lineRule="auto"/>
        <w:rPr>
          <w:rFonts w:ascii="仿宋" w:hAnsi="仿宋" w:eastAsia="仿宋" w:cs="仿宋"/>
          <w:kern w:val="0"/>
          <w:sz w:val="32"/>
          <w:szCs w:val="32"/>
          <w:highlight w:val="none"/>
        </w:rPr>
      </w:pPr>
      <w:r>
        <w:rPr>
          <w:rFonts w:hint="eastAsia" w:ascii="仿宋" w:hAnsi="仿宋" w:eastAsia="仿宋" w:cs="仿宋"/>
          <w:b/>
          <w:bCs/>
          <w:kern w:val="0"/>
          <w:sz w:val="32"/>
          <w:szCs w:val="32"/>
          <w:highlight w:val="none"/>
        </w:rPr>
        <w:t>二、机构设置及决算单位构成</w:t>
      </w:r>
    </w:p>
    <w:p>
      <w:pPr>
        <w:widowControl/>
        <w:spacing w:line="360" w:lineRule="auto"/>
        <w:rPr>
          <w:rFonts w:ascii="仿宋" w:hAnsi="仿宋" w:eastAsia="仿宋"/>
          <w:sz w:val="32"/>
          <w:szCs w:val="24"/>
          <w:highlight w:val="none"/>
        </w:rPr>
      </w:pPr>
      <w:r>
        <w:rPr>
          <w:rFonts w:hint="eastAsia" w:ascii="仿宋" w:hAnsi="仿宋" w:eastAsia="仿宋"/>
          <w:sz w:val="32"/>
          <w:szCs w:val="24"/>
          <w:highlight w:val="none"/>
        </w:rPr>
        <w:t>（一）内设机构设置。</w:t>
      </w:r>
    </w:p>
    <w:p>
      <w:pPr>
        <w:widowControl/>
        <w:spacing w:line="360" w:lineRule="auto"/>
        <w:ind w:firstLine="640" w:firstLineChars="200"/>
        <w:rPr>
          <w:rFonts w:ascii="仿宋" w:hAnsi="仿宋" w:eastAsia="仿宋"/>
          <w:sz w:val="32"/>
          <w:szCs w:val="24"/>
          <w:highlight w:val="none"/>
        </w:rPr>
      </w:pPr>
      <w:r>
        <w:rPr>
          <w:rFonts w:ascii="仿宋" w:hAnsi="仿宋" w:eastAsia="仿宋"/>
          <w:sz w:val="32"/>
          <w:szCs w:val="24"/>
          <w:highlight w:val="none"/>
        </w:rPr>
        <w:t>局内设办公室、行政审批改革股、政务公开股、政务服务股4个股室；下设政务服务中心（副科级）、电子政务管理中心（副科级）、12345公共服务与投诉举报平台3个二级机构。</w:t>
      </w:r>
    </w:p>
    <w:p>
      <w:pPr>
        <w:widowControl/>
        <w:numPr>
          <w:ilvl w:val="0"/>
          <w:numId w:val="2"/>
        </w:numPr>
        <w:spacing w:line="360" w:lineRule="auto"/>
        <w:rPr>
          <w:rFonts w:ascii="仿宋" w:hAnsi="仿宋" w:eastAsia="仿宋" w:cs="仿宋"/>
          <w:kern w:val="0"/>
          <w:sz w:val="32"/>
          <w:szCs w:val="32"/>
          <w:highlight w:val="none"/>
        </w:rPr>
      </w:pPr>
      <w:r>
        <w:rPr>
          <w:rFonts w:hint="eastAsia" w:ascii="仿宋" w:hAnsi="仿宋" w:eastAsia="仿宋" w:cs="仿宋"/>
          <w:kern w:val="0"/>
          <w:sz w:val="32"/>
          <w:szCs w:val="32"/>
          <w:highlight w:val="none"/>
        </w:rPr>
        <w:t>决算单位构成。</w:t>
      </w:r>
    </w:p>
    <w:p>
      <w:pPr>
        <w:spacing w:line="360" w:lineRule="auto"/>
        <w:ind w:firstLine="640" w:firstLineChars="200"/>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湘潭县行政审批服务局2021年部门决算汇总公开单位构成包括：湘潭县行政审批服务局本级。</w:t>
      </w:r>
    </w:p>
    <w:p>
      <w:pPr>
        <w:spacing w:line="360" w:lineRule="auto"/>
        <w:ind w:firstLine="640" w:firstLineChars="200"/>
        <w:jc w:val="left"/>
        <w:rPr>
          <w:rFonts w:ascii="仿宋" w:hAnsi="仿宋" w:eastAsia="仿宋" w:cs="仿宋"/>
          <w:kern w:val="0"/>
          <w:sz w:val="32"/>
          <w:szCs w:val="32"/>
          <w:highlight w:val="none"/>
        </w:rPr>
      </w:pPr>
    </w:p>
    <w:p>
      <w:pPr>
        <w:jc w:val="center"/>
        <w:rPr>
          <w:rFonts w:ascii="仿宋" w:hAnsi="仿宋" w:eastAsia="仿宋" w:cs="仿宋"/>
          <w:b/>
          <w:bCs/>
          <w:sz w:val="48"/>
          <w:szCs w:val="48"/>
          <w:highlight w:val="none"/>
        </w:rPr>
      </w:pPr>
    </w:p>
    <w:p>
      <w:pPr>
        <w:jc w:val="center"/>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2891" w:firstLineChars="600"/>
        <w:rPr>
          <w:rFonts w:ascii="仿宋" w:hAnsi="仿宋" w:eastAsia="仿宋" w:cs="仿宋"/>
          <w:b/>
          <w:bCs/>
          <w:sz w:val="48"/>
          <w:szCs w:val="48"/>
          <w:highlight w:val="none"/>
        </w:rPr>
      </w:pPr>
    </w:p>
    <w:p>
      <w:pPr>
        <w:ind w:firstLine="3132" w:firstLineChars="600"/>
        <w:rPr>
          <w:rFonts w:ascii="黑体" w:hAnsi="黑体" w:eastAsia="黑体" w:cs="黑体"/>
          <w:b/>
          <w:bCs/>
          <w:sz w:val="56"/>
          <w:szCs w:val="56"/>
          <w:highlight w:val="none"/>
        </w:rPr>
      </w:pPr>
      <w:r>
        <w:rPr>
          <w:rFonts w:hint="eastAsia" w:ascii="黑体" w:hAnsi="黑体" w:eastAsia="黑体" w:cs="黑体"/>
          <w:b/>
          <w:bCs/>
          <w:sz w:val="52"/>
          <w:szCs w:val="52"/>
          <w:highlight w:val="none"/>
        </w:rPr>
        <w:t>第二部分</w:t>
      </w:r>
    </w:p>
    <w:p>
      <w:pPr>
        <w:rPr>
          <w:rFonts w:ascii="黑体" w:hAnsi="黑体" w:eastAsia="黑体" w:cs="黑体"/>
          <w:b/>
          <w:bCs/>
          <w:sz w:val="56"/>
          <w:szCs w:val="56"/>
          <w:highlight w:val="none"/>
        </w:rPr>
      </w:pPr>
    </w:p>
    <w:p>
      <w:pPr>
        <w:ind w:firstLine="2811" w:firstLineChars="500"/>
        <w:rPr>
          <w:rFonts w:ascii="黑体" w:hAnsi="黑体" w:eastAsia="黑体" w:cs="黑体"/>
          <w:b/>
          <w:bCs/>
          <w:sz w:val="56"/>
          <w:szCs w:val="56"/>
          <w:highlight w:val="none"/>
        </w:rPr>
      </w:pPr>
      <w:r>
        <w:rPr>
          <w:rFonts w:hint="eastAsia" w:ascii="黑体" w:hAnsi="黑体" w:eastAsia="黑体" w:cs="黑体"/>
          <w:b/>
          <w:bCs/>
          <w:sz w:val="56"/>
          <w:szCs w:val="56"/>
          <w:highlight w:val="none"/>
        </w:rPr>
        <w:t>部门决算表</w:t>
      </w: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ind w:firstLine="2610" w:firstLineChars="500"/>
        <w:rPr>
          <w:rFonts w:ascii="仿宋" w:hAnsi="仿宋" w:eastAsia="仿宋" w:cs="仿宋"/>
          <w:b/>
          <w:bCs/>
          <w:sz w:val="52"/>
          <w:szCs w:val="52"/>
          <w:highlight w:val="none"/>
        </w:rPr>
      </w:pPr>
    </w:p>
    <w:p>
      <w:pPr>
        <w:spacing w:line="360" w:lineRule="auto"/>
        <w:jc w:val="left"/>
        <w:rPr>
          <w:rFonts w:ascii="仿宋" w:hAnsi="仿宋" w:eastAsia="仿宋" w:cs="仿宋"/>
          <w:kern w:val="0"/>
          <w:sz w:val="32"/>
          <w:szCs w:val="32"/>
          <w:highlight w:val="none"/>
        </w:rPr>
        <w:sectPr>
          <w:pgSz w:w="11906" w:h="16838"/>
          <w:pgMar w:top="1440" w:right="1800" w:bottom="1440" w:left="1800" w:header="851" w:footer="992" w:gutter="0"/>
          <w:cols w:space="425" w:num="1"/>
          <w:docGrid w:type="lines" w:linePitch="312" w:charSpace="0"/>
        </w:sectPr>
      </w:pPr>
    </w:p>
    <w:tbl>
      <w:tblPr>
        <w:tblStyle w:val="6"/>
        <w:tblW w:w="13621" w:type="dxa"/>
        <w:tblInd w:w="-106" w:type="dxa"/>
        <w:tblLayout w:type="fixed"/>
        <w:tblCellMar>
          <w:top w:w="0" w:type="dxa"/>
          <w:left w:w="108" w:type="dxa"/>
          <w:bottom w:w="0" w:type="dxa"/>
          <w:right w:w="108" w:type="dxa"/>
        </w:tblCellMar>
      </w:tblPr>
      <w:tblGrid>
        <w:gridCol w:w="4126"/>
        <w:gridCol w:w="449"/>
        <w:gridCol w:w="631"/>
        <w:gridCol w:w="697"/>
        <w:gridCol w:w="763"/>
        <w:gridCol w:w="3218"/>
        <w:gridCol w:w="723"/>
        <w:gridCol w:w="1301"/>
        <w:gridCol w:w="657"/>
        <w:gridCol w:w="1056"/>
      </w:tblGrid>
      <w:tr>
        <w:tblPrEx>
          <w:tblCellMar>
            <w:top w:w="0" w:type="dxa"/>
            <w:left w:w="108" w:type="dxa"/>
            <w:bottom w:w="0" w:type="dxa"/>
            <w:right w:w="108" w:type="dxa"/>
          </w:tblCellMar>
        </w:tblPrEx>
        <w:trPr>
          <w:trHeight w:val="360" w:hRule="atLeast"/>
        </w:trPr>
        <w:tc>
          <w:tcPr>
            <w:tcW w:w="13621" w:type="dxa"/>
            <w:gridSpan w:val="10"/>
            <w:tcBorders>
              <w:top w:val="nil"/>
              <w:left w:val="nil"/>
              <w:bottom w:val="nil"/>
              <w:right w:val="nil"/>
            </w:tcBorders>
            <w:noWrap/>
            <w:vAlign w:val="center"/>
          </w:tcPr>
          <w:p>
            <w:pPr>
              <w:widowControl/>
              <w:jc w:val="center"/>
              <w:rPr>
                <w:rFonts w:ascii="华文中宋" w:hAnsi="华文中宋" w:eastAsia="华文中宋" w:cs="Times New Roman"/>
                <w:color w:val="000000"/>
                <w:kern w:val="0"/>
                <w:sz w:val="32"/>
                <w:szCs w:val="32"/>
                <w:highlight w:val="none"/>
              </w:rPr>
            </w:pPr>
            <w:r>
              <w:rPr>
                <w:rFonts w:hint="eastAsia" w:ascii="华文中宋" w:hAnsi="华文中宋" w:eastAsia="华文中宋" w:cs="华文中宋"/>
                <w:color w:val="000000"/>
                <w:kern w:val="0"/>
                <w:sz w:val="32"/>
                <w:szCs w:val="32"/>
                <w:highlight w:val="none"/>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7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5242"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056" w:type="dxa"/>
            <w:tcBorders>
              <w:top w:val="nil"/>
              <w:left w:val="nil"/>
              <w:bottom w:val="nil"/>
              <w:right w:val="nil"/>
            </w:tcBorders>
            <w:shd w:val="clear" w:color="000000" w:fill="FFFFFF"/>
            <w:noWrap/>
            <w:vAlign w:val="center"/>
          </w:tcPr>
          <w:p>
            <w:pPr>
              <w:widowControl/>
              <w:jc w:val="center"/>
              <w:rPr>
                <w:rFonts w:ascii="宋体" w:cs="Times New Roman"/>
                <w:color w:val="000000"/>
                <w:kern w:val="0"/>
                <w:sz w:val="18"/>
                <w:szCs w:val="18"/>
                <w:highlight w:val="none"/>
              </w:rPr>
            </w:pPr>
            <w:r>
              <w:rPr>
                <w:rFonts w:hint="eastAsia" w:ascii="宋体" w:hAnsi="宋体" w:cs="宋体"/>
                <w:color w:val="000000"/>
                <w:kern w:val="0"/>
                <w:sz w:val="18"/>
                <w:szCs w:val="18"/>
                <w:highlight w:val="none"/>
              </w:rPr>
              <w:t>公开</w:t>
            </w:r>
            <w:r>
              <w:rPr>
                <w:rFonts w:ascii="宋体" w:hAnsi="宋体" w:cs="宋体"/>
                <w:color w:val="000000"/>
                <w:kern w:val="0"/>
                <w:sz w:val="18"/>
                <w:szCs w:val="18"/>
                <w:highlight w:val="none"/>
              </w:rPr>
              <w:t>01</w:t>
            </w:r>
            <w:r>
              <w:rPr>
                <w:rFonts w:hint="eastAsia" w:ascii="宋体" w:hAnsi="宋体" w:cs="宋体"/>
                <w:color w:val="000000"/>
                <w:kern w:val="0"/>
                <w:sz w:val="18"/>
                <w:szCs w:val="18"/>
                <w:highlight w:val="none"/>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部门：</w:t>
            </w:r>
            <w:r>
              <w:rPr>
                <w:rFonts w:ascii="宋体" w:hAnsi="宋体" w:cs="宋体"/>
                <w:color w:val="000000"/>
                <w:kern w:val="0"/>
                <w:sz w:val="20"/>
                <w:szCs w:val="20"/>
                <w:highlight w:val="none"/>
              </w:rPr>
              <w:t xml:space="preserve"> </w:t>
            </w:r>
            <w:r>
              <w:rPr>
                <w:rFonts w:hint="eastAsia" w:ascii="宋体" w:hAnsi="宋体" w:cs="宋体"/>
                <w:color w:val="000000"/>
                <w:kern w:val="0"/>
                <w:sz w:val="20"/>
                <w:szCs w:val="20"/>
                <w:highlight w:val="none"/>
              </w:rPr>
              <w:t>湘潭县行政审批服务局</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76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5242"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65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05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18"/>
                <w:szCs w:val="18"/>
                <w:highlight w:val="none"/>
              </w:rPr>
            </w:pPr>
            <w:r>
              <w:rPr>
                <w:rFonts w:hint="eastAsia" w:ascii="宋体" w:hAnsi="宋体" w:cs="宋体"/>
                <w:color w:val="000000"/>
                <w:kern w:val="0"/>
                <w:sz w:val="18"/>
                <w:szCs w:val="18"/>
                <w:highlight w:val="none"/>
              </w:rPr>
              <w:t>单位：万元</w:t>
            </w:r>
          </w:p>
        </w:tc>
      </w:tr>
      <w:tr>
        <w:tblPrEx>
          <w:tblCellMar>
            <w:top w:w="0" w:type="dxa"/>
            <w:left w:w="108" w:type="dxa"/>
            <w:bottom w:w="0" w:type="dxa"/>
            <w:right w:w="108" w:type="dxa"/>
          </w:tblCellMar>
        </w:tblPrEx>
        <w:trPr>
          <w:trHeight w:val="340" w:hRule="atLeast"/>
        </w:trPr>
        <w:tc>
          <w:tcPr>
            <w:tcW w:w="6666"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收入</w:t>
            </w:r>
          </w:p>
        </w:tc>
        <w:tc>
          <w:tcPr>
            <w:tcW w:w="6955"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highlight w:val="none"/>
              </w:rPr>
            </w:pPr>
            <w:r>
              <w:rPr>
                <w:rFonts w:hint="eastAsia" w:ascii="宋体" w:hAnsi="宋体" w:cs="宋体"/>
                <w:kern w:val="0"/>
                <w:sz w:val="20"/>
                <w:szCs w:val="20"/>
                <w:highlight w:val="none"/>
              </w:rPr>
              <w:t>行次</w:t>
            </w:r>
          </w:p>
        </w:tc>
        <w:tc>
          <w:tcPr>
            <w:tcW w:w="209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决算数</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highlight w:val="none"/>
              </w:rPr>
            </w:pPr>
            <w:r>
              <w:rPr>
                <w:rFonts w:hint="eastAsia" w:ascii="宋体" w:hAnsi="宋体" w:cs="宋体"/>
                <w:kern w:val="0"/>
                <w:sz w:val="20"/>
                <w:szCs w:val="20"/>
                <w:highlight w:val="none"/>
              </w:rPr>
              <w:t>行次</w:t>
            </w:r>
          </w:p>
        </w:tc>
        <w:tc>
          <w:tcPr>
            <w:tcW w:w="3014"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栏</w:t>
            </w:r>
            <w:r>
              <w:rPr>
                <w:rFonts w:ascii="宋体" w:hAnsi="宋体" w:cs="宋体"/>
                <w:kern w:val="0"/>
                <w:sz w:val="24"/>
                <w:szCs w:val="24"/>
                <w:highlight w:val="none"/>
              </w:rPr>
              <w:t xml:space="preserve">    </w:t>
            </w:r>
            <w:r>
              <w:rPr>
                <w:rFonts w:hint="eastAsia" w:ascii="宋体" w:hAnsi="宋体" w:cs="宋体"/>
                <w:kern w:val="0"/>
                <w:sz w:val="24"/>
                <w:szCs w:val="24"/>
                <w:highlight w:val="none"/>
              </w:rPr>
              <w:t>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2091"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栏</w:t>
            </w:r>
            <w:r>
              <w:rPr>
                <w:rFonts w:ascii="宋体" w:hAnsi="宋体" w:cs="宋体"/>
                <w:kern w:val="0"/>
                <w:sz w:val="24"/>
                <w:szCs w:val="24"/>
                <w:highlight w:val="none"/>
              </w:rPr>
              <w:t xml:space="preserve">    </w:t>
            </w:r>
            <w:r>
              <w:rPr>
                <w:rFonts w:hint="eastAsia" w:ascii="宋体" w:hAnsi="宋体" w:cs="宋体"/>
                <w:kern w:val="0"/>
                <w:sz w:val="24"/>
                <w:szCs w:val="24"/>
                <w:highlight w:val="none"/>
              </w:rPr>
              <w:t>次</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014"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hAnsi="宋体" w:cs="宋体"/>
                <w:kern w:val="0"/>
                <w:highlight w:val="none"/>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1032.85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一、一般公共服务支出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14</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1033.13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二、外交支出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15</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hAnsi="宋体" w:cs="宋体"/>
                <w:kern w:val="0"/>
                <w:highlight w:val="none"/>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3</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三、国防支出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16</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4</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四、公共安全支出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17</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5</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五、教育支出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18</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6</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六、科学技术支出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19</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7</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cs="Times New Roman"/>
                <w:kern w:val="0"/>
                <w:highlight w:val="none"/>
              </w:rPr>
              <w:t>七、文化旅游体育与传媒支出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20</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r>
      <w:tr>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highlight w:val="none"/>
              </w:rPr>
            </w:pPr>
            <w:r>
              <w:rPr>
                <w:rFonts w:hint="eastAsia" w:ascii="宋体" w:hAnsi="宋体" w:cs="宋体"/>
                <w:kern w:val="0"/>
                <w:highlight w:val="none"/>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8</w:t>
            </w:r>
          </w:p>
        </w:tc>
        <w:tc>
          <w:tcPr>
            <w:tcW w:w="2091"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hAnsi="宋体" w:cs="宋体"/>
                <w:kern w:val="0"/>
                <w:highlight w:val="none"/>
              </w:rPr>
              <w:t xml:space="preserve">　          </w:t>
            </w:r>
          </w:p>
        </w:tc>
        <w:tc>
          <w:tcPr>
            <w:tcW w:w="3218" w:type="dxa"/>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cs="Times New Roman"/>
                <w:kern w:val="0"/>
                <w:highlight w:val="none"/>
              </w:rPr>
              <w:t>八、社会保障和就业支出</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21</w:t>
            </w:r>
          </w:p>
        </w:tc>
        <w:tc>
          <w:tcPr>
            <w:tcW w:w="3014" w:type="dxa"/>
            <w:gridSpan w:val="3"/>
            <w:tcBorders>
              <w:top w:val="nil"/>
              <w:left w:val="nil"/>
              <w:bottom w:val="single" w:color="auto" w:sz="4" w:space="0"/>
              <w:right w:val="single" w:color="auto" w:sz="4" w:space="0"/>
            </w:tcBorders>
            <w:noWrap/>
            <w:vAlign w:val="center"/>
          </w:tcPr>
          <w:p>
            <w:pPr>
              <w:widowControl/>
              <w:jc w:val="center"/>
              <w:rPr>
                <w:rFonts w:ascii="宋体" w:cs="Times New Roman"/>
                <w:kern w:val="0"/>
                <w:highlight w:val="none"/>
              </w:rPr>
            </w:pPr>
            <w:r>
              <w:rPr>
                <w:rFonts w:hint="eastAsia" w:ascii="宋体" w:hAnsi="宋体" w:cs="宋体"/>
                <w:kern w:val="0"/>
                <w:highlight w:val="none"/>
              </w:rPr>
              <w:t xml:space="preserve">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9</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22</w:t>
            </w:r>
          </w:p>
        </w:tc>
        <w:tc>
          <w:tcPr>
            <w:tcW w:w="3014" w:type="dxa"/>
            <w:gridSpan w:val="3"/>
            <w:tcBorders>
              <w:top w:val="nil"/>
              <w:left w:val="nil"/>
              <w:bottom w:val="single" w:color="auto" w:sz="4" w:space="0"/>
              <w:right w:val="single" w:color="auto" w:sz="4" w:space="0"/>
            </w:tcBorders>
            <w:noWrap/>
            <w:vAlign w:val="center"/>
          </w:tcPr>
          <w:p>
            <w:pPr>
              <w:widowControl/>
              <w:jc w:val="left"/>
              <w:rPr>
                <w:rFonts w:ascii="宋体" w:cs="Times New Roman"/>
                <w:b/>
                <w:bCs/>
                <w:kern w:val="0"/>
                <w:highlight w:val="none"/>
              </w:rPr>
            </w:pPr>
            <w:r>
              <w:rPr>
                <w:rFonts w:hint="eastAsia" w:ascii="宋体" w:hAnsi="宋体" w:cs="宋体"/>
                <w:b/>
                <w:bCs/>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highlight w:val="none"/>
              </w:rPr>
            </w:pPr>
            <w:r>
              <w:rPr>
                <w:rFonts w:hint="eastAsia" w:ascii="宋体" w:hAnsi="宋体" w:cs="宋体"/>
                <w:b/>
                <w:bCs/>
                <w:kern w:val="0"/>
                <w:highlight w:val="none"/>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10</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1032.85　</w:t>
            </w:r>
          </w:p>
        </w:tc>
        <w:tc>
          <w:tcPr>
            <w:tcW w:w="3218"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highlight w:val="none"/>
              </w:rPr>
            </w:pPr>
            <w:r>
              <w:rPr>
                <w:rFonts w:hint="eastAsia" w:ascii="宋体" w:hAnsi="宋体" w:cs="宋体"/>
                <w:b/>
                <w:bCs/>
                <w:kern w:val="0"/>
                <w:highlight w:val="none"/>
              </w:rPr>
              <w:t>本年支出合计</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23</w:t>
            </w:r>
          </w:p>
        </w:tc>
        <w:tc>
          <w:tcPr>
            <w:tcW w:w="3014"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highlight w:val="none"/>
              </w:rPr>
            </w:pPr>
            <w:r>
              <w:rPr>
                <w:rFonts w:ascii="宋体" w:hAnsi="宋体" w:cs="宋体"/>
                <w:kern w:val="0"/>
                <w:highlight w:val="none"/>
              </w:rPr>
              <w:t xml:space="preserve">         </w:t>
            </w:r>
            <w:r>
              <w:rPr>
                <w:rFonts w:hint="eastAsia" w:ascii="宋体" w:hAnsi="宋体" w:cs="宋体"/>
                <w:kern w:val="0"/>
                <w:highlight w:val="none"/>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11</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ascii="宋体" w:hAnsi="宋体" w:cs="宋体"/>
                <w:kern w:val="0"/>
                <w:highlight w:val="none"/>
              </w:rPr>
              <w:t xml:space="preserve">                </w:t>
            </w:r>
            <w:r>
              <w:rPr>
                <w:rFonts w:hint="eastAsia" w:ascii="宋体" w:hAnsi="宋体" w:cs="宋体"/>
                <w:kern w:val="0"/>
                <w:highlight w:val="none"/>
              </w:rPr>
              <w:t>结余分配</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24</w:t>
            </w:r>
          </w:p>
        </w:tc>
        <w:tc>
          <w:tcPr>
            <w:tcW w:w="3014" w:type="dxa"/>
            <w:gridSpan w:val="3"/>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hint="eastAsia" w:ascii="宋体" w:hAnsi="宋体" w:cs="宋体"/>
                <w:kern w:val="0"/>
                <w:highlight w:val="none"/>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highlight w:val="none"/>
              </w:rPr>
            </w:pPr>
            <w:r>
              <w:rPr>
                <w:rFonts w:ascii="宋体" w:hAnsi="宋体" w:cs="宋体"/>
                <w:kern w:val="0"/>
                <w:highlight w:val="none"/>
              </w:rPr>
              <w:t xml:space="preserve">         </w:t>
            </w:r>
            <w:r>
              <w:rPr>
                <w:rFonts w:hint="eastAsia" w:ascii="宋体" w:hAnsi="宋体" w:cs="宋体"/>
                <w:kern w:val="0"/>
                <w:highlight w:val="none"/>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12</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2.63　</w:t>
            </w:r>
          </w:p>
        </w:tc>
        <w:tc>
          <w:tcPr>
            <w:tcW w:w="3218" w:type="dxa"/>
            <w:tcBorders>
              <w:top w:val="nil"/>
              <w:left w:val="nil"/>
              <w:bottom w:val="single" w:color="auto" w:sz="4" w:space="0"/>
              <w:right w:val="single" w:color="auto" w:sz="4" w:space="0"/>
            </w:tcBorders>
            <w:noWrap/>
            <w:vAlign w:val="center"/>
          </w:tcPr>
          <w:p>
            <w:pPr>
              <w:widowControl/>
              <w:jc w:val="left"/>
              <w:rPr>
                <w:rFonts w:ascii="宋体" w:cs="Times New Roman"/>
                <w:kern w:val="0"/>
                <w:highlight w:val="none"/>
              </w:rPr>
            </w:pPr>
            <w:r>
              <w:rPr>
                <w:rFonts w:ascii="宋体" w:hAnsi="宋体" w:cs="宋体"/>
                <w:kern w:val="0"/>
                <w:highlight w:val="none"/>
              </w:rPr>
              <w:t xml:space="preserve">              </w:t>
            </w:r>
            <w:r>
              <w:rPr>
                <w:rFonts w:hint="eastAsia" w:ascii="宋体" w:hAnsi="宋体" w:cs="宋体"/>
                <w:kern w:val="0"/>
                <w:highlight w:val="none"/>
              </w:rPr>
              <w:t>年末结转和结余</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25</w:t>
            </w:r>
          </w:p>
        </w:tc>
        <w:tc>
          <w:tcPr>
            <w:tcW w:w="3014"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kern w:val="0"/>
                <w:highlight w:val="none"/>
              </w:rPr>
              <w:t xml:space="preserve">　                2.35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highlight w:val="none"/>
              </w:rPr>
            </w:pPr>
            <w:r>
              <w:rPr>
                <w:rFonts w:hint="eastAsia" w:ascii="宋体" w:hAnsi="宋体" w:cs="宋体"/>
                <w:b/>
                <w:bCs/>
                <w:kern w:val="0"/>
                <w:highlight w:val="none"/>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13</w:t>
            </w:r>
          </w:p>
        </w:tc>
        <w:tc>
          <w:tcPr>
            <w:tcW w:w="2091" w:type="dxa"/>
            <w:gridSpan w:val="3"/>
            <w:tcBorders>
              <w:top w:val="nil"/>
              <w:left w:val="nil"/>
              <w:bottom w:val="single" w:color="auto" w:sz="4" w:space="0"/>
              <w:right w:val="single" w:color="auto" w:sz="4" w:space="0"/>
            </w:tcBorders>
            <w:noWrap/>
            <w:vAlign w:val="center"/>
          </w:tcPr>
          <w:p>
            <w:pPr>
              <w:widowControl/>
              <w:jc w:val="right"/>
              <w:rPr>
                <w:rFonts w:ascii="宋体" w:cs="Times New Roman"/>
                <w:kern w:val="0"/>
                <w:highlight w:val="none"/>
              </w:rPr>
            </w:pPr>
            <w:r>
              <w:rPr>
                <w:rFonts w:hint="eastAsia" w:ascii="宋体" w:hAnsi="宋体" w:cs="宋体"/>
                <w:b/>
                <w:bCs/>
                <w:kern w:val="0"/>
                <w:highlight w:val="none"/>
              </w:rPr>
              <w:t>1035.48</w:t>
            </w:r>
            <w:r>
              <w:rPr>
                <w:rFonts w:hint="eastAsia" w:ascii="宋体" w:hAnsi="宋体" w:cs="宋体"/>
                <w:kern w:val="0"/>
                <w:highlight w:val="none"/>
              </w:rPr>
              <w:t>　</w:t>
            </w:r>
          </w:p>
        </w:tc>
        <w:tc>
          <w:tcPr>
            <w:tcW w:w="321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highlight w:val="none"/>
              </w:rPr>
            </w:pPr>
            <w:r>
              <w:rPr>
                <w:rFonts w:hint="eastAsia" w:ascii="宋体" w:hAnsi="宋体" w:cs="宋体"/>
                <w:b/>
                <w:bCs/>
                <w:kern w:val="0"/>
                <w:highlight w:val="none"/>
              </w:rPr>
              <w:t>总计</w:t>
            </w:r>
          </w:p>
        </w:tc>
        <w:tc>
          <w:tcPr>
            <w:tcW w:w="72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highlight w:val="none"/>
              </w:rPr>
            </w:pPr>
            <w:r>
              <w:rPr>
                <w:rFonts w:ascii="宋体" w:hAnsi="宋体" w:cs="宋体"/>
                <w:kern w:val="0"/>
                <w:highlight w:val="none"/>
              </w:rPr>
              <w:t>26</w:t>
            </w:r>
          </w:p>
        </w:tc>
        <w:tc>
          <w:tcPr>
            <w:tcW w:w="3014" w:type="dxa"/>
            <w:gridSpan w:val="3"/>
            <w:tcBorders>
              <w:top w:val="nil"/>
              <w:left w:val="nil"/>
              <w:bottom w:val="single" w:color="auto" w:sz="4" w:space="0"/>
              <w:right w:val="single" w:color="auto" w:sz="4" w:space="0"/>
            </w:tcBorders>
            <w:noWrap/>
            <w:vAlign w:val="center"/>
          </w:tcPr>
          <w:p>
            <w:pPr>
              <w:widowControl/>
              <w:jc w:val="left"/>
              <w:rPr>
                <w:rFonts w:ascii="宋体" w:cs="Times New Roman"/>
                <w:b/>
                <w:bCs/>
                <w:kern w:val="0"/>
                <w:highlight w:val="none"/>
              </w:rPr>
            </w:pPr>
            <w:r>
              <w:rPr>
                <w:rFonts w:hint="eastAsia" w:ascii="宋体" w:hAnsi="宋体" w:cs="宋体"/>
                <w:b/>
                <w:bCs/>
                <w:kern w:val="0"/>
                <w:highlight w:val="none"/>
              </w:rPr>
              <w:t>　                 1035.48</w:t>
            </w:r>
          </w:p>
        </w:tc>
      </w:tr>
      <w:tr>
        <w:tblPrEx>
          <w:tblCellMar>
            <w:top w:w="0" w:type="dxa"/>
            <w:left w:w="108" w:type="dxa"/>
            <w:bottom w:w="0" w:type="dxa"/>
            <w:right w:w="108" w:type="dxa"/>
          </w:tblCellMar>
        </w:tblPrEx>
        <w:trPr>
          <w:trHeight w:val="1020" w:hRule="atLeast"/>
        </w:trPr>
        <w:tc>
          <w:tcPr>
            <w:tcW w:w="13621" w:type="dxa"/>
            <w:gridSpan w:val="10"/>
            <w:tcBorders>
              <w:top w:val="nil"/>
              <w:left w:val="nil"/>
              <w:bottom w:val="nil"/>
              <w:right w:val="nil"/>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注：</w:t>
            </w:r>
            <w:r>
              <w:rPr>
                <w:rFonts w:ascii="宋体" w:hAnsi="宋体" w:cs="宋体"/>
                <w:kern w:val="0"/>
                <w:sz w:val="24"/>
                <w:szCs w:val="24"/>
                <w:highlight w:val="none"/>
              </w:rPr>
              <w:t>1.</w:t>
            </w:r>
            <w:r>
              <w:rPr>
                <w:rFonts w:hint="eastAsia" w:ascii="宋体" w:hAnsi="宋体" w:cs="宋体"/>
                <w:kern w:val="0"/>
                <w:sz w:val="24"/>
                <w:szCs w:val="24"/>
                <w:highlight w:val="none"/>
              </w:rPr>
              <w:t>本表反映部门本年度的总收支和年末结转结余情况。</w:t>
            </w:r>
            <w:r>
              <w:rPr>
                <w:rFonts w:ascii="宋体" w:cs="Times New Roman"/>
                <w:kern w:val="0"/>
                <w:sz w:val="24"/>
                <w:szCs w:val="24"/>
                <w:highlight w:val="none"/>
              </w:rPr>
              <w:br w:type="textWrapping"/>
            </w:r>
            <w:r>
              <w:rPr>
                <w:rFonts w:ascii="宋体" w:hAnsi="宋体" w:cs="宋体"/>
                <w:kern w:val="0"/>
                <w:sz w:val="24"/>
                <w:szCs w:val="24"/>
                <w:highlight w:val="none"/>
              </w:rPr>
              <w:t xml:space="preserve"> 2.</w:t>
            </w:r>
            <w:r>
              <w:rPr>
                <w:rFonts w:hint="eastAsia" w:ascii="宋体" w:hAnsi="宋体" w:cs="宋体"/>
                <w:kern w:val="0"/>
                <w:sz w:val="24"/>
                <w:szCs w:val="24"/>
                <w:highlight w:val="none"/>
              </w:rPr>
              <w:t>本套报表金额单位转换时可能存在尾数误差。</w:t>
            </w:r>
          </w:p>
        </w:tc>
      </w:tr>
    </w:tbl>
    <w:p>
      <w:pPr>
        <w:spacing w:line="360" w:lineRule="auto"/>
        <w:jc w:val="left"/>
        <w:rPr>
          <w:rFonts w:ascii="仿宋" w:hAnsi="仿宋" w:eastAsia="仿宋" w:cs="仿宋"/>
          <w:kern w:val="0"/>
          <w:sz w:val="32"/>
          <w:szCs w:val="32"/>
          <w:highlight w:val="none"/>
        </w:rPr>
      </w:pPr>
    </w:p>
    <w:p>
      <w:pPr>
        <w:rPr>
          <w:highlight w:val="none"/>
        </w:rPr>
      </w:pPr>
    </w:p>
    <w:p>
      <w:pPr>
        <w:rPr>
          <w:highlight w:val="none"/>
        </w:rPr>
      </w:pPr>
    </w:p>
    <w:p>
      <w:pPr>
        <w:rPr>
          <w:highlight w:val="none"/>
        </w:rPr>
      </w:pPr>
    </w:p>
    <w:tbl>
      <w:tblPr>
        <w:tblStyle w:val="6"/>
        <w:tblW w:w="15154" w:type="dxa"/>
        <w:tblInd w:w="2" w:type="dxa"/>
        <w:tblLayout w:type="fixed"/>
        <w:tblCellMar>
          <w:top w:w="0" w:type="dxa"/>
          <w:left w:w="0" w:type="dxa"/>
          <w:bottom w:w="0" w:type="dxa"/>
          <w:right w:w="0" w:type="dxa"/>
        </w:tblCellMar>
      </w:tblPr>
      <w:tblGrid>
        <w:gridCol w:w="90"/>
        <w:gridCol w:w="798"/>
        <w:gridCol w:w="1370"/>
        <w:gridCol w:w="1794"/>
        <w:gridCol w:w="1472"/>
        <w:gridCol w:w="209"/>
        <w:gridCol w:w="1210"/>
        <w:gridCol w:w="1213"/>
        <w:gridCol w:w="1118"/>
        <w:gridCol w:w="1200"/>
        <w:gridCol w:w="1323"/>
        <w:gridCol w:w="295"/>
        <w:gridCol w:w="1628"/>
        <w:gridCol w:w="1434"/>
      </w:tblGrid>
      <w:tr>
        <w:tblPrEx>
          <w:tblCellMar>
            <w:top w:w="0" w:type="dxa"/>
            <w:left w:w="0" w:type="dxa"/>
            <w:bottom w:w="0" w:type="dxa"/>
            <w:right w:w="0" w:type="dxa"/>
          </w:tblCellMar>
        </w:tblPrEx>
        <w:trPr>
          <w:gridAfter w:val="1"/>
          <w:wAfter w:w="1434" w:type="dxa"/>
          <w:trHeight w:val="435" w:hRule="atLeast"/>
        </w:trPr>
        <w:tc>
          <w:tcPr>
            <w:tcW w:w="13720" w:type="dxa"/>
            <w:gridSpan w:val="13"/>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华文中宋"/>
                <w:color w:val="000000"/>
                <w:sz w:val="32"/>
                <w:szCs w:val="32"/>
                <w:highlight w:val="none"/>
              </w:rPr>
            </w:pPr>
          </w:p>
          <w:p>
            <w:pPr>
              <w:jc w:val="center"/>
              <w:rPr>
                <w:rFonts w:ascii="华文中宋" w:hAnsi="华文中宋" w:eastAsia="华文中宋" w:cs="华文中宋"/>
                <w:color w:val="000000"/>
                <w:sz w:val="32"/>
                <w:szCs w:val="32"/>
                <w:highlight w:val="none"/>
              </w:rPr>
            </w:pPr>
          </w:p>
          <w:p>
            <w:pPr>
              <w:jc w:val="center"/>
              <w:rPr>
                <w:rFonts w:ascii="华文中宋" w:hAnsi="华文中宋" w:eastAsia="华文中宋" w:cs="Times New Roman"/>
                <w:color w:val="000000"/>
                <w:sz w:val="32"/>
                <w:szCs w:val="32"/>
                <w:highlight w:val="none"/>
              </w:rPr>
            </w:pPr>
            <w:r>
              <w:rPr>
                <w:rFonts w:hint="eastAsia" w:ascii="华文中宋" w:hAnsi="华文中宋" w:eastAsia="华文中宋" w:cs="华文中宋"/>
                <w:color w:val="000000"/>
                <w:sz w:val="32"/>
                <w:szCs w:val="32"/>
                <w:highlight w:val="none"/>
              </w:rPr>
              <w:t>收入决算表</w:t>
            </w:r>
          </w:p>
        </w:tc>
      </w:tr>
      <w:tr>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79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68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21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21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1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61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ind w:firstLine="200" w:firstLineChars="100"/>
              <w:rPr>
                <w:rFonts w:ascii="宋体" w:cs="Times New Roman"/>
                <w:color w:val="000000"/>
                <w:sz w:val="20"/>
                <w:szCs w:val="20"/>
                <w:highlight w:val="none"/>
              </w:rPr>
            </w:pPr>
            <w:r>
              <w:rPr>
                <w:rFonts w:hint="eastAsia" w:cs="宋体"/>
                <w:color w:val="000000"/>
                <w:sz w:val="20"/>
                <w:szCs w:val="20"/>
                <w:highlight w:val="none"/>
              </w:rPr>
              <w:t>公开</w:t>
            </w:r>
            <w:r>
              <w:rPr>
                <w:color w:val="000000"/>
                <w:sz w:val="20"/>
                <w:szCs w:val="20"/>
                <w:highlight w:val="none"/>
              </w:rPr>
              <w:t>02</w:t>
            </w:r>
            <w:r>
              <w:rPr>
                <w:rFonts w:hint="eastAsia" w:cs="宋体"/>
                <w:color w:val="000000"/>
                <w:sz w:val="20"/>
                <w:szCs w:val="20"/>
                <w:highlight w:val="none"/>
              </w:rPr>
              <w:t>表</w:t>
            </w:r>
          </w:p>
        </w:tc>
      </w:tr>
      <w:tr>
        <w:tblPrEx>
          <w:tblCellMar>
            <w:top w:w="0" w:type="dxa"/>
            <w:left w:w="0" w:type="dxa"/>
            <w:bottom w:w="0" w:type="dxa"/>
            <w:right w:w="0" w:type="dxa"/>
          </w:tblCellMar>
        </w:tblPrEx>
        <w:trPr>
          <w:gridAfter w:val="1"/>
          <w:wAfter w:w="1434" w:type="dxa"/>
          <w:trHeight w:val="285" w:hRule="atLeast"/>
        </w:trPr>
        <w:tc>
          <w:tcPr>
            <w:tcW w:w="8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color w:val="000000"/>
                <w:sz w:val="20"/>
                <w:szCs w:val="20"/>
                <w:highlight w:val="none"/>
              </w:rPr>
            </w:pPr>
            <w:r>
              <w:rPr>
                <w:rFonts w:hint="eastAsia" w:cs="宋体"/>
                <w:color w:val="000000"/>
                <w:sz w:val="16"/>
                <w:szCs w:val="16"/>
                <w:highlight w:val="none"/>
              </w:rPr>
              <w:t>部门：</w:t>
            </w:r>
          </w:p>
        </w:tc>
        <w:tc>
          <w:tcPr>
            <w:tcW w:w="316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cs="Times New Roman"/>
                <w:sz w:val="24"/>
                <w:szCs w:val="24"/>
                <w:highlight w:val="none"/>
              </w:rPr>
            </w:pPr>
            <w:r>
              <w:rPr>
                <w:rFonts w:hint="eastAsia" w:cs="宋体"/>
                <w:color w:val="000000"/>
                <w:sz w:val="16"/>
                <w:szCs w:val="16"/>
                <w:highlight w:val="none"/>
              </w:rPr>
              <w:t>湘潭县行政审批服务局</w:t>
            </w:r>
            <w:r>
              <w:rPr>
                <w:rFonts w:hint="eastAsia" w:cs="宋体"/>
                <w:highlight w:val="none"/>
              </w:rPr>
              <w:t>　</w:t>
            </w:r>
          </w:p>
        </w:tc>
        <w:tc>
          <w:tcPr>
            <w:tcW w:w="14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419"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213"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cs="Times New Roman"/>
                <w:color w:val="000000"/>
                <w:sz w:val="20"/>
                <w:szCs w:val="20"/>
                <w:highlight w:val="none"/>
              </w:rPr>
            </w:pPr>
            <w:r>
              <w:rPr>
                <w:rFonts w:hint="eastAsia" w:cs="宋体"/>
                <w:color w:val="000000"/>
                <w:sz w:val="20"/>
                <w:szCs w:val="20"/>
                <w:highlight w:val="none"/>
              </w:rPr>
              <w:t>　</w:t>
            </w:r>
          </w:p>
        </w:tc>
        <w:tc>
          <w:tcPr>
            <w:tcW w:w="11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9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cs="Times New Roman"/>
                <w:color w:val="000000"/>
                <w:sz w:val="20"/>
                <w:szCs w:val="20"/>
                <w:highlight w:val="none"/>
              </w:rPr>
            </w:pPr>
            <w:r>
              <w:rPr>
                <w:rFonts w:hint="eastAsia" w:cs="宋体"/>
                <w:color w:val="000000"/>
                <w:sz w:val="20"/>
                <w:szCs w:val="20"/>
                <w:highlight w:val="none"/>
              </w:rPr>
              <w:t>单位：万元</w:t>
            </w:r>
          </w:p>
        </w:tc>
      </w:tr>
      <w:tr>
        <w:tblPrEx>
          <w:tblCellMar>
            <w:top w:w="0" w:type="dxa"/>
            <w:left w:w="0" w:type="dxa"/>
            <w:bottom w:w="0" w:type="dxa"/>
            <w:right w:w="0" w:type="dxa"/>
          </w:tblCellMar>
        </w:tblPrEx>
        <w:trPr>
          <w:gridAfter w:val="1"/>
          <w:wAfter w:w="1434" w:type="dxa"/>
          <w:trHeight w:val="450" w:hRule="atLeast"/>
        </w:trPr>
        <w:tc>
          <w:tcPr>
            <w:tcW w:w="4052"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项</w:t>
            </w:r>
            <w:r>
              <w:rPr>
                <w:highlight w:val="none"/>
              </w:rPr>
              <w:t xml:space="preserve">    </w:t>
            </w:r>
            <w:r>
              <w:rPr>
                <w:rFonts w:hint="eastAsia" w:cs="宋体"/>
                <w:highlight w:val="none"/>
              </w:rPr>
              <w:t>目</w:t>
            </w:r>
          </w:p>
        </w:tc>
        <w:tc>
          <w:tcPr>
            <w:tcW w:w="147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本年收入合计</w:t>
            </w:r>
          </w:p>
        </w:tc>
        <w:tc>
          <w:tcPr>
            <w:tcW w:w="1419"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财政拨款收入</w:t>
            </w:r>
          </w:p>
        </w:tc>
        <w:tc>
          <w:tcPr>
            <w:tcW w:w="121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上级补助收入</w:t>
            </w:r>
          </w:p>
        </w:tc>
        <w:tc>
          <w:tcPr>
            <w:tcW w:w="11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事业收入</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经营收入</w:t>
            </w:r>
          </w:p>
        </w:tc>
        <w:tc>
          <w:tcPr>
            <w:tcW w:w="132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附属单位上缴收入</w:t>
            </w:r>
          </w:p>
        </w:tc>
        <w:tc>
          <w:tcPr>
            <w:tcW w:w="192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其他收入</w:t>
            </w:r>
          </w:p>
        </w:tc>
      </w:tr>
      <w:tr>
        <w:tblPrEx>
          <w:tblCellMar>
            <w:top w:w="0" w:type="dxa"/>
            <w:left w:w="0" w:type="dxa"/>
            <w:bottom w:w="0" w:type="dxa"/>
            <w:right w:w="0" w:type="dxa"/>
          </w:tblCellMar>
        </w:tblPrEx>
        <w:trPr>
          <w:gridAfter w:val="1"/>
          <w:wAfter w:w="1434" w:type="dxa"/>
          <w:trHeight w:val="450" w:hRule="atLeast"/>
        </w:trPr>
        <w:tc>
          <w:tcPr>
            <w:tcW w:w="88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功能分类科目编码</w:t>
            </w:r>
          </w:p>
        </w:tc>
        <w:tc>
          <w:tcPr>
            <w:tcW w:w="316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科目名称</w:t>
            </w:r>
          </w:p>
        </w:tc>
        <w:tc>
          <w:tcPr>
            <w:tcW w:w="147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41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21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1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92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r>
      <w:tr>
        <w:tblPrEx>
          <w:tblCellMar>
            <w:top w:w="0" w:type="dxa"/>
            <w:left w:w="0" w:type="dxa"/>
            <w:bottom w:w="0" w:type="dxa"/>
            <w:right w:w="0" w:type="dxa"/>
          </w:tblCellMar>
        </w:tblPrEx>
        <w:trPr>
          <w:gridAfter w:val="1"/>
          <w:wAfter w:w="1434" w:type="dxa"/>
          <w:trHeight w:val="450" w:hRule="atLeast"/>
        </w:trPr>
        <w:tc>
          <w:tcPr>
            <w:tcW w:w="888"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3164" w:type="dxa"/>
            <w:gridSpan w:val="2"/>
            <w:vMerge w:val="continue"/>
            <w:tcBorders>
              <w:top w:val="nil"/>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47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41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21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1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32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c>
          <w:tcPr>
            <w:tcW w:w="192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cs="Times New Roman"/>
                <w:sz w:val="24"/>
                <w:szCs w:val="24"/>
                <w:highlight w:val="none"/>
              </w:rPr>
            </w:pPr>
          </w:p>
        </w:tc>
      </w:tr>
      <w:tr>
        <w:tblPrEx>
          <w:tblCellMar>
            <w:top w:w="0" w:type="dxa"/>
            <w:left w:w="0" w:type="dxa"/>
            <w:bottom w:w="0" w:type="dxa"/>
            <w:right w:w="0" w:type="dxa"/>
          </w:tblCellMar>
        </w:tblPrEx>
        <w:trPr>
          <w:gridAfter w:val="1"/>
          <w:wAfter w:w="1434" w:type="dxa"/>
          <w:trHeight w:val="450" w:hRule="atLeast"/>
        </w:trPr>
        <w:tc>
          <w:tcPr>
            <w:tcW w:w="4052"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 xml:space="preserve">              栏次</w:t>
            </w:r>
          </w:p>
        </w:tc>
        <w:tc>
          <w:tcPr>
            <w:tcW w:w="147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1</w:t>
            </w:r>
          </w:p>
        </w:tc>
        <w:tc>
          <w:tcPr>
            <w:tcW w:w="141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2</w:t>
            </w:r>
          </w:p>
        </w:tc>
        <w:tc>
          <w:tcPr>
            <w:tcW w:w="121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3</w:t>
            </w:r>
          </w:p>
        </w:tc>
        <w:tc>
          <w:tcPr>
            <w:tcW w:w="11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4</w:t>
            </w:r>
          </w:p>
        </w:tc>
        <w:tc>
          <w:tcPr>
            <w:tcW w:w="12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5</w:t>
            </w:r>
          </w:p>
        </w:tc>
        <w:tc>
          <w:tcPr>
            <w:tcW w:w="132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6</w:t>
            </w:r>
          </w:p>
        </w:tc>
        <w:tc>
          <w:tcPr>
            <w:tcW w:w="192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highlight w:val="none"/>
              </w:rPr>
              <w:t>7</w:t>
            </w:r>
          </w:p>
        </w:tc>
      </w:tr>
      <w:tr>
        <w:tblPrEx>
          <w:tblCellMar>
            <w:top w:w="0" w:type="dxa"/>
            <w:left w:w="0" w:type="dxa"/>
            <w:bottom w:w="0" w:type="dxa"/>
            <w:right w:w="0" w:type="dxa"/>
          </w:tblCellMar>
        </w:tblPrEx>
        <w:trPr>
          <w:gridAfter w:val="1"/>
          <w:wAfter w:w="1434" w:type="dxa"/>
          <w:trHeight w:val="450" w:hRule="atLeast"/>
        </w:trPr>
        <w:tc>
          <w:tcPr>
            <w:tcW w:w="4052"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cs="Times New Roman"/>
                <w:sz w:val="24"/>
                <w:szCs w:val="24"/>
                <w:highlight w:val="none"/>
              </w:rPr>
            </w:pPr>
            <w:r>
              <w:rPr>
                <w:rFonts w:hint="eastAsia" w:cs="宋体"/>
                <w:highlight w:val="none"/>
              </w:rPr>
              <w:t xml:space="preserve">              合计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1032.85　</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1032.85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jc w:val="right"/>
              <w:rPr>
                <w:rFonts w:ascii="宋体" w:cs="Times New Roman"/>
                <w:sz w:val="24"/>
                <w:szCs w:val="24"/>
                <w:highlight w:val="none"/>
              </w:rPr>
            </w:pPr>
            <w:r>
              <w:rPr>
                <w:rFonts w:hint="eastAsia" w:cs="宋体"/>
                <w:highlight w:val="none"/>
              </w:rPr>
              <w:t>　</w:t>
            </w:r>
          </w:p>
        </w:tc>
      </w:tr>
      <w:tr>
        <w:tblPrEx>
          <w:tblCellMar>
            <w:top w:w="0" w:type="dxa"/>
            <w:left w:w="0" w:type="dxa"/>
            <w:bottom w:w="0" w:type="dxa"/>
            <w:right w:w="0" w:type="dxa"/>
          </w:tblCellMar>
        </w:tblPrEx>
        <w:trPr>
          <w:gridAfter w:val="1"/>
          <w:wAfter w:w="1434" w:type="dxa"/>
          <w:trHeight w:val="414"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201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一般公共文化服务支出</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1032.85</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1032.85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sz w:val="18"/>
                <w:szCs w:val="18"/>
                <w:highlight w:val="none"/>
              </w:rPr>
            </w:pPr>
            <w:r>
              <w:rPr>
                <w:rFonts w:hint="eastAsia" w:ascii="仿宋" w:hAnsi="仿宋" w:eastAsia="仿宋" w:cs="仿宋"/>
                <w:sz w:val="18"/>
                <w:szCs w:val="18"/>
                <w:highlight w:val="none"/>
              </w:rPr>
              <w:t>　</w:t>
            </w:r>
          </w:p>
        </w:tc>
      </w:tr>
      <w:tr>
        <w:tblPrEx>
          <w:tblCellMar>
            <w:top w:w="0" w:type="dxa"/>
            <w:left w:w="0" w:type="dxa"/>
            <w:bottom w:w="0" w:type="dxa"/>
            <w:right w:w="0" w:type="dxa"/>
          </w:tblCellMar>
        </w:tblPrEx>
        <w:trPr>
          <w:gridAfter w:val="1"/>
          <w:wAfter w:w="1434" w:type="dxa"/>
          <w:trHeight w:val="372"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20103</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　政府办公厅（室）及相关机构事务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1032.85</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1032.85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sz w:val="18"/>
                <w:szCs w:val="18"/>
                <w:highlight w:val="none"/>
              </w:rPr>
              <w:t>　</w:t>
            </w:r>
          </w:p>
        </w:tc>
      </w:tr>
      <w:tr>
        <w:tblPrEx>
          <w:tblCellMar>
            <w:top w:w="0" w:type="dxa"/>
            <w:left w:w="0" w:type="dxa"/>
            <w:bottom w:w="0" w:type="dxa"/>
            <w:right w:w="0" w:type="dxa"/>
          </w:tblCellMar>
        </w:tblPrEx>
        <w:trPr>
          <w:gridAfter w:val="1"/>
          <w:wAfter w:w="1434" w:type="dxa"/>
          <w:trHeight w:val="383"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2010301</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行政运行</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646.96</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646.96</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sz w:val="18"/>
                <w:szCs w:val="18"/>
                <w:highlight w:val="none"/>
              </w:rPr>
            </w:pPr>
          </w:p>
        </w:tc>
      </w:tr>
      <w:tr>
        <w:tblPrEx>
          <w:tblCellMar>
            <w:top w:w="0" w:type="dxa"/>
            <w:left w:w="0" w:type="dxa"/>
            <w:bottom w:w="0" w:type="dxa"/>
            <w:right w:w="0" w:type="dxa"/>
          </w:tblCellMar>
        </w:tblPrEx>
        <w:trPr>
          <w:gridAfter w:val="1"/>
          <w:wAfter w:w="1434" w:type="dxa"/>
          <w:trHeight w:val="398"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2010302</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一般行政管理事务</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15</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15</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sz w:val="18"/>
                <w:szCs w:val="18"/>
                <w:highlight w:val="none"/>
              </w:rPr>
            </w:pPr>
          </w:p>
        </w:tc>
      </w:tr>
      <w:tr>
        <w:tblPrEx>
          <w:tblCellMar>
            <w:top w:w="0" w:type="dxa"/>
            <w:left w:w="0" w:type="dxa"/>
            <w:bottom w:w="0" w:type="dxa"/>
            <w:right w:w="0" w:type="dxa"/>
          </w:tblCellMar>
        </w:tblPrEx>
        <w:trPr>
          <w:gridAfter w:val="1"/>
          <w:wAfter w:w="1434" w:type="dxa"/>
          <w:trHeight w:val="415"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2010306</w:t>
            </w: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政务公开审批</w:t>
            </w: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370.89</w:t>
            </w: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370.89</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sz w:val="18"/>
                <w:szCs w:val="18"/>
                <w:highlight w:val="none"/>
              </w:rPr>
            </w:pPr>
          </w:p>
        </w:tc>
      </w:tr>
      <w:tr>
        <w:tblPrEx>
          <w:tblCellMar>
            <w:top w:w="0" w:type="dxa"/>
            <w:left w:w="0" w:type="dxa"/>
            <w:bottom w:w="0" w:type="dxa"/>
            <w:right w:w="0" w:type="dxa"/>
          </w:tblCellMar>
        </w:tblPrEx>
        <w:trPr>
          <w:gridAfter w:val="1"/>
          <w:wAfter w:w="1434" w:type="dxa"/>
          <w:trHeight w:val="383"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sz w:val="18"/>
                <w:szCs w:val="18"/>
                <w:highlight w:val="none"/>
              </w:rPr>
            </w:pPr>
          </w:p>
        </w:tc>
      </w:tr>
      <w:tr>
        <w:tblPrEx>
          <w:tblCellMar>
            <w:top w:w="0" w:type="dxa"/>
            <w:left w:w="0" w:type="dxa"/>
            <w:bottom w:w="0" w:type="dxa"/>
            <w:right w:w="0" w:type="dxa"/>
          </w:tblCellMar>
        </w:tblPrEx>
        <w:trPr>
          <w:gridAfter w:val="1"/>
          <w:wAfter w:w="1434" w:type="dxa"/>
          <w:trHeight w:val="399"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rPr>
                <w:rFonts w:ascii="仿宋" w:hAnsi="仿宋" w:eastAsia="仿宋" w:cs="仿宋"/>
                <w:highlight w:val="none"/>
              </w:rPr>
            </w:pPr>
            <w:r>
              <w:rPr>
                <w:rFonts w:hint="eastAsia" w:ascii="仿宋" w:hAnsi="仿宋" w:eastAsia="仿宋" w:cs="仿宋"/>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sz w:val="18"/>
                <w:szCs w:val="18"/>
                <w:highlight w:val="none"/>
              </w:rPr>
              <w:t>　</w:t>
            </w:r>
          </w:p>
        </w:tc>
      </w:tr>
      <w:tr>
        <w:tblPrEx>
          <w:tblCellMar>
            <w:top w:w="0" w:type="dxa"/>
            <w:left w:w="0" w:type="dxa"/>
            <w:bottom w:w="0" w:type="dxa"/>
            <w:right w:w="0" w:type="dxa"/>
          </w:tblCellMar>
        </w:tblPrEx>
        <w:trPr>
          <w:gridAfter w:val="1"/>
          <w:wAfter w:w="1434" w:type="dxa"/>
          <w:trHeight w:val="384"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sz w:val="18"/>
                <w:szCs w:val="18"/>
                <w:highlight w:val="none"/>
              </w:rPr>
              <w:t>　</w:t>
            </w:r>
          </w:p>
        </w:tc>
      </w:tr>
      <w:tr>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ind w:firstLine="210" w:firstLineChars="100"/>
              <w:rPr>
                <w:rFonts w:ascii="仿宋" w:hAnsi="仿宋" w:eastAsia="仿宋" w:cs="仿宋"/>
                <w:highlight w:val="none"/>
              </w:rPr>
            </w:pP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sz w:val="18"/>
                <w:szCs w:val="18"/>
                <w:highlight w:val="none"/>
              </w:rPr>
              <w:t>　</w:t>
            </w:r>
          </w:p>
        </w:tc>
      </w:tr>
      <w:tr>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highlight w:val="none"/>
              </w:rPr>
              <w:t>　</w:t>
            </w: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r>
              <w:rPr>
                <w:rFonts w:hint="eastAsia" w:ascii="仿宋" w:hAnsi="仿宋" w:eastAsia="仿宋" w:cs="仿宋"/>
                <w:sz w:val="18"/>
                <w:szCs w:val="18"/>
                <w:highlight w:val="none"/>
              </w:rPr>
              <w:t>　</w:t>
            </w:r>
          </w:p>
        </w:tc>
      </w:tr>
      <w:tr>
        <w:tblPrEx>
          <w:tblCellMar>
            <w:top w:w="0" w:type="dxa"/>
            <w:left w:w="0" w:type="dxa"/>
            <w:bottom w:w="0" w:type="dxa"/>
            <w:right w:w="0" w:type="dxa"/>
          </w:tblCellMar>
        </w:tblPrEx>
        <w:trPr>
          <w:gridAfter w:val="1"/>
          <w:wAfter w:w="1434" w:type="dxa"/>
          <w:trHeight w:val="450" w:hRule="atLeast"/>
        </w:trPr>
        <w:tc>
          <w:tcPr>
            <w:tcW w:w="88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316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spacing w:line="15" w:lineRule="auto"/>
              <w:rPr>
                <w:rFonts w:ascii="仿宋" w:hAnsi="仿宋" w:eastAsia="仿宋" w:cs="仿宋"/>
                <w:highlight w:val="none"/>
              </w:rPr>
            </w:pPr>
          </w:p>
        </w:tc>
        <w:tc>
          <w:tcPr>
            <w:tcW w:w="1472"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41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1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118"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200"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323" w:type="dxa"/>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highlight w:val="none"/>
              </w:rPr>
            </w:pPr>
          </w:p>
        </w:tc>
        <w:tc>
          <w:tcPr>
            <w:tcW w:w="192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pPr>
              <w:spacing w:line="15" w:lineRule="auto"/>
              <w:jc w:val="right"/>
              <w:rPr>
                <w:rFonts w:ascii="仿宋" w:hAnsi="仿宋" w:eastAsia="仿宋" w:cs="仿宋"/>
                <w:sz w:val="18"/>
                <w:szCs w:val="18"/>
                <w:highlight w:val="none"/>
              </w:rPr>
            </w:pPr>
          </w:p>
        </w:tc>
      </w:tr>
      <w:tr>
        <w:tblPrEx>
          <w:tblCellMar>
            <w:top w:w="0" w:type="dxa"/>
            <w:left w:w="0" w:type="dxa"/>
            <w:bottom w:w="0" w:type="dxa"/>
            <w:right w:w="0" w:type="dxa"/>
          </w:tblCellMar>
        </w:tblPrEx>
        <w:trPr>
          <w:gridAfter w:val="1"/>
          <w:wAfter w:w="1434" w:type="dxa"/>
          <w:trHeight w:val="615" w:hRule="atLeast"/>
        </w:trPr>
        <w:tc>
          <w:tcPr>
            <w:tcW w:w="13720" w:type="dxa"/>
            <w:gridSpan w:val="13"/>
            <w:tcBorders>
              <w:top w:val="nil"/>
              <w:left w:val="nil"/>
              <w:bottom w:val="nil"/>
              <w:right w:val="nil"/>
            </w:tcBorders>
            <w:tcMar>
              <w:top w:w="15" w:type="dxa"/>
              <w:left w:w="15" w:type="dxa"/>
              <w:bottom w:w="0" w:type="dxa"/>
              <w:right w:w="15" w:type="dxa"/>
            </w:tcMar>
            <w:vAlign w:val="center"/>
          </w:tcPr>
          <w:p>
            <w:pPr>
              <w:rPr>
                <w:rFonts w:ascii="宋体" w:cs="Times New Roman"/>
                <w:sz w:val="24"/>
                <w:szCs w:val="24"/>
                <w:highlight w:val="none"/>
              </w:rPr>
            </w:pPr>
            <w:r>
              <w:rPr>
                <w:rFonts w:hint="eastAsia" w:cs="宋体"/>
                <w:highlight w:val="none"/>
              </w:rPr>
              <w:t>注：本表反映部门本年度取得的各项收入情况。</w:t>
            </w:r>
          </w:p>
        </w:tc>
      </w:tr>
    </w:tbl>
    <w:p>
      <w:pPr>
        <w:rPr>
          <w:highlight w:val="none"/>
        </w:rPr>
      </w:pPr>
    </w:p>
    <w:p>
      <w:pPr>
        <w:rPr>
          <w:highlight w:val="none"/>
        </w:rPr>
      </w:pPr>
    </w:p>
    <w:p>
      <w:pPr>
        <w:rPr>
          <w:highlight w:val="none"/>
        </w:rPr>
      </w:pPr>
    </w:p>
    <w:p>
      <w:pPr>
        <w:rPr>
          <w:highlight w:val="none"/>
        </w:rPr>
      </w:pPr>
    </w:p>
    <w:p>
      <w:pPr>
        <w:rPr>
          <w:highlight w:val="none"/>
        </w:rPr>
      </w:pPr>
    </w:p>
    <w:tbl>
      <w:tblPr>
        <w:tblStyle w:val="6"/>
        <w:tblW w:w="13363" w:type="dxa"/>
        <w:tblInd w:w="-106" w:type="dxa"/>
        <w:tblLayout w:type="fixed"/>
        <w:tblCellMar>
          <w:top w:w="0" w:type="dxa"/>
          <w:left w:w="108" w:type="dxa"/>
          <w:bottom w:w="0" w:type="dxa"/>
          <w:right w:w="108" w:type="dxa"/>
        </w:tblCellMar>
      </w:tblPr>
      <w:tblGrid>
        <w:gridCol w:w="616"/>
        <w:gridCol w:w="437"/>
        <w:gridCol w:w="3041"/>
        <w:gridCol w:w="1486"/>
        <w:gridCol w:w="269"/>
        <w:gridCol w:w="1204"/>
        <w:gridCol w:w="1486"/>
        <w:gridCol w:w="1609"/>
        <w:gridCol w:w="1364"/>
        <w:gridCol w:w="1851"/>
      </w:tblGrid>
      <w:tr>
        <w:tblPrEx>
          <w:tblCellMar>
            <w:top w:w="0" w:type="dxa"/>
            <w:left w:w="108" w:type="dxa"/>
            <w:bottom w:w="0" w:type="dxa"/>
            <w:right w:w="108" w:type="dxa"/>
          </w:tblCellMar>
        </w:tblPrEx>
        <w:trPr>
          <w:trHeight w:val="435" w:hRule="atLeast"/>
        </w:trPr>
        <w:tc>
          <w:tcPr>
            <w:tcW w:w="13363" w:type="dxa"/>
            <w:gridSpan w:val="10"/>
            <w:tcBorders>
              <w:top w:val="nil"/>
              <w:left w:val="nil"/>
              <w:bottom w:val="nil"/>
              <w:right w:val="nil"/>
            </w:tcBorders>
            <w:noWrap/>
            <w:vAlign w:val="center"/>
          </w:tcPr>
          <w:p>
            <w:pPr>
              <w:widowControl/>
              <w:ind w:firstLine="5440" w:firstLineChars="1700"/>
              <w:rPr>
                <w:rFonts w:ascii="华文中宋" w:hAnsi="华文中宋" w:eastAsia="华文中宋" w:cs="Times New Roman"/>
                <w:color w:val="000000"/>
                <w:kern w:val="0"/>
                <w:sz w:val="32"/>
                <w:szCs w:val="32"/>
                <w:highlight w:val="none"/>
              </w:rPr>
            </w:pPr>
            <w:r>
              <w:rPr>
                <w:rFonts w:hint="eastAsia" w:ascii="华文中宋" w:hAnsi="华文中宋" w:eastAsia="华文中宋" w:cs="华文中宋"/>
                <w:color w:val="000000"/>
                <w:kern w:val="0"/>
                <w:sz w:val="32"/>
                <w:szCs w:val="32"/>
                <w:highlight w:val="none"/>
              </w:rPr>
              <w:t>支出决算表</w:t>
            </w:r>
          </w:p>
        </w:tc>
      </w:tr>
      <w:tr>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43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3041"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48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473"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48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60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3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851"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公开</w:t>
            </w:r>
            <w:r>
              <w:rPr>
                <w:rFonts w:ascii="宋体" w:hAnsi="宋体" w:cs="宋体"/>
                <w:color w:val="000000"/>
                <w:kern w:val="0"/>
                <w:sz w:val="20"/>
                <w:szCs w:val="20"/>
                <w:highlight w:val="none"/>
              </w:rPr>
              <w:t>03</w:t>
            </w:r>
            <w:r>
              <w:rPr>
                <w:rFonts w:hint="eastAsia" w:ascii="宋体" w:hAnsi="宋体" w:cs="宋体"/>
                <w:color w:val="000000"/>
                <w:kern w:val="0"/>
                <w:sz w:val="20"/>
                <w:szCs w:val="20"/>
                <w:highlight w:val="none"/>
              </w:rPr>
              <w:t>表</w:t>
            </w:r>
          </w:p>
        </w:tc>
      </w:tr>
      <w:tr>
        <w:tblPrEx>
          <w:tblCellMar>
            <w:top w:w="0" w:type="dxa"/>
            <w:left w:w="108" w:type="dxa"/>
            <w:bottom w:w="0" w:type="dxa"/>
            <w:right w:w="108" w:type="dxa"/>
          </w:tblCellMar>
        </w:tblPrEx>
        <w:trPr>
          <w:trHeight w:val="285" w:hRule="atLeast"/>
        </w:trPr>
        <w:tc>
          <w:tcPr>
            <w:tcW w:w="4094" w:type="dxa"/>
            <w:gridSpan w:val="3"/>
            <w:tcBorders>
              <w:top w:val="nil"/>
              <w:left w:val="nil"/>
              <w:bottom w:val="nil"/>
              <w:right w:val="nil"/>
            </w:tcBorders>
            <w:shd w:val="clear" w:color="000000" w:fill="FFFFFF"/>
            <w:noWrap/>
            <w:vAlign w:val="center"/>
          </w:tcPr>
          <w:p>
            <w:pPr>
              <w:widowControl/>
              <w:rPr>
                <w:rFonts w:ascii="宋体" w:cs="Times New Roman"/>
                <w:kern w:val="0"/>
                <w:sz w:val="24"/>
                <w:szCs w:val="24"/>
                <w:highlight w:val="none"/>
              </w:rPr>
            </w:pPr>
            <w:r>
              <w:rPr>
                <w:rFonts w:hint="eastAsia" w:ascii="宋体" w:hAnsi="宋体" w:cs="宋体"/>
                <w:kern w:val="0"/>
                <w:sz w:val="24"/>
                <w:szCs w:val="24"/>
                <w:highlight w:val="none"/>
              </w:rPr>
              <w:t>　</w:t>
            </w:r>
            <w:r>
              <w:rPr>
                <w:rFonts w:hint="eastAsia" w:ascii="仿宋" w:hAnsi="仿宋" w:eastAsia="仿宋" w:cs="仿宋"/>
                <w:color w:val="000000"/>
                <w:kern w:val="0"/>
                <w:highlight w:val="none"/>
              </w:rPr>
              <w:t>部门：湘潭县行政审批服务局</w:t>
            </w:r>
          </w:p>
        </w:tc>
        <w:tc>
          <w:tcPr>
            <w:tcW w:w="1486" w:type="dxa"/>
            <w:tcBorders>
              <w:top w:val="nil"/>
              <w:left w:val="nil"/>
              <w:bottom w:val="nil"/>
              <w:right w:val="nil"/>
            </w:tcBorders>
            <w:shd w:val="clear" w:color="000000" w:fill="FFFFFF"/>
            <w:noWrap/>
            <w:vAlign w:val="center"/>
          </w:tcPr>
          <w:p>
            <w:pPr>
              <w:widowControl/>
              <w:jc w:val="distribute"/>
              <w:rPr>
                <w:rFonts w:ascii="宋体" w:cs="Times New Roman"/>
                <w:kern w:val="0"/>
                <w:sz w:val="24"/>
                <w:szCs w:val="24"/>
                <w:highlight w:val="none"/>
              </w:rPr>
            </w:pPr>
            <w:r>
              <w:rPr>
                <w:rFonts w:hint="eastAsia" w:ascii="宋体" w:hAnsi="宋体" w:cs="宋体"/>
                <w:kern w:val="0"/>
                <w:sz w:val="24"/>
                <w:szCs w:val="24"/>
                <w:highlight w:val="none"/>
              </w:rPr>
              <w:t>　</w:t>
            </w:r>
          </w:p>
        </w:tc>
        <w:tc>
          <w:tcPr>
            <w:tcW w:w="269"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2690" w:type="dxa"/>
            <w:gridSpan w:val="2"/>
            <w:tcBorders>
              <w:top w:val="nil"/>
              <w:left w:val="nil"/>
              <w:bottom w:val="nil"/>
              <w:right w:val="nil"/>
            </w:tcBorders>
            <w:shd w:val="clear" w:color="000000" w:fill="FFFFFF"/>
            <w:noWrap/>
            <w:vAlign w:val="center"/>
          </w:tcPr>
          <w:p>
            <w:pPr>
              <w:widowControl/>
              <w:jc w:val="center"/>
              <w:rPr>
                <w:rFonts w:ascii="宋体" w:cs="Times New Roman"/>
                <w:color w:val="000000"/>
                <w:kern w:val="0"/>
                <w:sz w:val="20"/>
                <w:szCs w:val="20"/>
                <w:highlight w:val="none"/>
              </w:rPr>
            </w:pPr>
            <w:r>
              <w:rPr>
                <w:rFonts w:hint="eastAsia" w:ascii="宋体" w:hAnsi="宋体" w:cs="宋体"/>
                <w:color w:val="000000"/>
                <w:kern w:val="0"/>
                <w:sz w:val="20"/>
                <w:szCs w:val="20"/>
                <w:highlight w:val="none"/>
              </w:rPr>
              <w:t>　</w:t>
            </w:r>
          </w:p>
        </w:tc>
        <w:tc>
          <w:tcPr>
            <w:tcW w:w="1609" w:type="dxa"/>
            <w:tcBorders>
              <w:top w:val="nil"/>
              <w:left w:val="nil"/>
              <w:bottom w:val="nil"/>
              <w:right w:val="nil"/>
            </w:tcBorders>
            <w:shd w:val="clear" w:color="000000" w:fill="FFFFFF"/>
            <w:noWrap/>
            <w:vAlign w:val="center"/>
          </w:tcPr>
          <w:p>
            <w:pPr>
              <w:widowControl/>
              <w:rPr>
                <w:rFonts w:ascii="宋体" w:cs="Times New Roman"/>
                <w:kern w:val="0"/>
                <w:sz w:val="24"/>
                <w:szCs w:val="24"/>
                <w:highlight w:val="none"/>
              </w:rPr>
            </w:pPr>
            <w:r>
              <w:rPr>
                <w:rFonts w:hint="eastAsia" w:ascii="宋体" w:hAnsi="宋体" w:cs="宋体"/>
                <w:kern w:val="0"/>
                <w:sz w:val="24"/>
                <w:szCs w:val="24"/>
                <w:highlight w:val="none"/>
              </w:rPr>
              <w:t>　</w:t>
            </w:r>
          </w:p>
        </w:tc>
        <w:tc>
          <w:tcPr>
            <w:tcW w:w="136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851"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单位：万元</w:t>
            </w:r>
          </w:p>
        </w:tc>
      </w:tr>
      <w:tr>
        <w:tblPrEx>
          <w:tblCellMar>
            <w:top w:w="0" w:type="dxa"/>
            <w:left w:w="108" w:type="dxa"/>
            <w:bottom w:w="0" w:type="dxa"/>
            <w:right w:w="108" w:type="dxa"/>
          </w:tblCellMar>
        </w:tblPrEx>
        <w:trPr>
          <w:trHeight w:val="450" w:hRule="atLeast"/>
        </w:trPr>
        <w:tc>
          <w:tcPr>
            <w:tcW w:w="409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hint="eastAsia" w:ascii="宋体" w:hAnsi="宋体" w:cs="宋体"/>
                <w:kern w:val="0"/>
                <w:sz w:val="24"/>
                <w:szCs w:val="24"/>
                <w:highlight w:val="none"/>
              </w:rPr>
              <w:t>目</w:t>
            </w:r>
          </w:p>
        </w:tc>
        <w:tc>
          <w:tcPr>
            <w:tcW w:w="148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本年支出合计</w:t>
            </w:r>
          </w:p>
        </w:tc>
        <w:tc>
          <w:tcPr>
            <w:tcW w:w="147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基本支出</w:t>
            </w:r>
          </w:p>
        </w:tc>
        <w:tc>
          <w:tcPr>
            <w:tcW w:w="148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项目支出</w:t>
            </w:r>
          </w:p>
        </w:tc>
        <w:tc>
          <w:tcPr>
            <w:tcW w:w="160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上缴上级支出</w:t>
            </w:r>
          </w:p>
        </w:tc>
        <w:tc>
          <w:tcPr>
            <w:tcW w:w="136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经营支出</w:t>
            </w:r>
          </w:p>
        </w:tc>
        <w:tc>
          <w:tcPr>
            <w:tcW w:w="18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对附属单位补助支出</w:t>
            </w:r>
          </w:p>
        </w:tc>
      </w:tr>
      <w:tr>
        <w:tblPrEx>
          <w:tblCellMar>
            <w:top w:w="0" w:type="dxa"/>
            <w:left w:w="108" w:type="dxa"/>
            <w:bottom w:w="0" w:type="dxa"/>
            <w:right w:w="108" w:type="dxa"/>
          </w:tblCellMar>
        </w:tblPrEx>
        <w:trPr>
          <w:trHeight w:val="450" w:hRule="atLeast"/>
        </w:trPr>
        <w:tc>
          <w:tcPr>
            <w:tcW w:w="1053"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功能分类科目编码</w:t>
            </w:r>
          </w:p>
        </w:tc>
        <w:tc>
          <w:tcPr>
            <w:tcW w:w="304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科目名称</w:t>
            </w:r>
          </w:p>
        </w:tc>
        <w:tc>
          <w:tcPr>
            <w:tcW w:w="14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4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4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6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3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r>
      <w:tr>
        <w:tblPrEx>
          <w:tblCellMar>
            <w:top w:w="0" w:type="dxa"/>
            <w:left w:w="108" w:type="dxa"/>
            <w:bottom w:w="0" w:type="dxa"/>
            <w:right w:w="108" w:type="dxa"/>
          </w:tblCellMar>
        </w:tblPrEx>
        <w:trPr>
          <w:trHeight w:val="450" w:hRule="atLeast"/>
        </w:trPr>
        <w:tc>
          <w:tcPr>
            <w:tcW w:w="105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304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4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4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4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6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3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1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r>
      <w:tr>
        <w:trPr>
          <w:trHeight w:val="450" w:hRule="atLeast"/>
        </w:trPr>
        <w:tc>
          <w:tcPr>
            <w:tcW w:w="409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栏次</w:t>
            </w:r>
          </w:p>
        </w:tc>
        <w:tc>
          <w:tcPr>
            <w:tcW w:w="14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1473"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2</w:t>
            </w:r>
          </w:p>
        </w:tc>
        <w:tc>
          <w:tcPr>
            <w:tcW w:w="148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3</w:t>
            </w:r>
          </w:p>
        </w:tc>
        <w:tc>
          <w:tcPr>
            <w:tcW w:w="160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4</w:t>
            </w:r>
          </w:p>
        </w:tc>
        <w:tc>
          <w:tcPr>
            <w:tcW w:w="136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5</w:t>
            </w:r>
          </w:p>
        </w:tc>
        <w:tc>
          <w:tcPr>
            <w:tcW w:w="185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6</w:t>
            </w:r>
          </w:p>
        </w:tc>
      </w:tr>
      <w:tr>
        <w:tblPrEx>
          <w:tblCellMar>
            <w:top w:w="0" w:type="dxa"/>
            <w:left w:w="108" w:type="dxa"/>
            <w:bottom w:w="0" w:type="dxa"/>
            <w:right w:w="108" w:type="dxa"/>
          </w:tblCellMar>
        </w:tblPrEx>
        <w:trPr>
          <w:trHeight w:val="450" w:hRule="atLeast"/>
        </w:trPr>
        <w:tc>
          <w:tcPr>
            <w:tcW w:w="409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1033.13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272.94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760.19　</w:t>
            </w:r>
          </w:p>
        </w:tc>
        <w:tc>
          <w:tcPr>
            <w:tcW w:w="1609"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宋体" w:cs="Times New Roman"/>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line="15" w:lineRule="auto"/>
              <w:rPr>
                <w:rFonts w:ascii="仿宋" w:hAnsi="仿宋" w:eastAsia="仿宋" w:cs="仿宋"/>
                <w:highlight w:val="none"/>
              </w:rPr>
            </w:pPr>
            <w:r>
              <w:rPr>
                <w:rFonts w:hint="eastAsia" w:ascii="仿宋" w:hAnsi="仿宋" w:eastAsia="仿宋" w:cs="仿宋"/>
                <w:highlight w:val="none"/>
              </w:rPr>
              <w:t>201</w:t>
            </w:r>
          </w:p>
        </w:tc>
        <w:tc>
          <w:tcPr>
            <w:tcW w:w="3041" w:type="dxa"/>
            <w:tcBorders>
              <w:top w:val="nil"/>
              <w:left w:val="nil"/>
              <w:bottom w:val="single" w:color="auto" w:sz="4" w:space="0"/>
              <w:right w:val="single" w:color="auto" w:sz="4" w:space="0"/>
            </w:tcBorders>
            <w:shd w:val="clear" w:color="000000" w:fill="FFFFFF"/>
            <w:noWrap/>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一般公共文化服务支出</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1033.13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272.94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760.19　</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line="15" w:lineRule="auto"/>
              <w:rPr>
                <w:rFonts w:ascii="仿宋" w:hAnsi="仿宋" w:eastAsia="仿宋" w:cs="仿宋"/>
                <w:highlight w:val="none"/>
              </w:rPr>
            </w:pPr>
            <w:r>
              <w:rPr>
                <w:rFonts w:hint="eastAsia" w:ascii="仿宋" w:hAnsi="仿宋" w:eastAsia="仿宋" w:cs="仿宋"/>
                <w:highlight w:val="none"/>
              </w:rPr>
              <w:t>20103</w:t>
            </w:r>
          </w:p>
        </w:tc>
        <w:tc>
          <w:tcPr>
            <w:tcW w:w="3041" w:type="dxa"/>
            <w:tcBorders>
              <w:top w:val="nil"/>
              <w:left w:val="nil"/>
              <w:bottom w:val="single" w:color="auto" w:sz="4" w:space="0"/>
              <w:right w:val="single" w:color="auto" w:sz="4" w:space="0"/>
            </w:tcBorders>
            <w:shd w:val="clear" w:color="000000" w:fill="FFFFFF"/>
            <w:noWrap/>
            <w:vAlign w:val="center"/>
          </w:tcPr>
          <w:p>
            <w:pPr>
              <w:spacing w:line="15" w:lineRule="auto"/>
              <w:rPr>
                <w:rFonts w:ascii="仿宋" w:hAnsi="仿宋" w:eastAsia="仿宋" w:cs="仿宋"/>
                <w:highlight w:val="none"/>
              </w:rPr>
            </w:pPr>
            <w:r>
              <w:rPr>
                <w:rFonts w:hint="eastAsia" w:ascii="仿宋" w:hAnsi="仿宋" w:eastAsia="仿宋" w:cs="仿宋"/>
                <w:highlight w:val="none"/>
              </w:rPr>
              <w:t>　政府办公厅（室）及相关机构事务</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1033.13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272.94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760.19　</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line="15" w:lineRule="auto"/>
              <w:rPr>
                <w:rFonts w:ascii="仿宋" w:hAnsi="仿宋" w:eastAsia="仿宋" w:cs="仿宋"/>
                <w:highlight w:val="none"/>
              </w:rPr>
            </w:pPr>
            <w:r>
              <w:rPr>
                <w:rFonts w:hint="eastAsia" w:ascii="仿宋" w:hAnsi="仿宋" w:eastAsia="仿宋" w:cs="仿宋"/>
                <w:highlight w:val="none"/>
              </w:rPr>
              <w:t>2010301</w:t>
            </w:r>
          </w:p>
        </w:tc>
        <w:tc>
          <w:tcPr>
            <w:tcW w:w="3041" w:type="dxa"/>
            <w:tcBorders>
              <w:top w:val="nil"/>
              <w:left w:val="nil"/>
              <w:bottom w:val="single" w:color="auto" w:sz="4" w:space="0"/>
              <w:right w:val="single" w:color="auto" w:sz="4" w:space="0"/>
            </w:tcBorders>
            <w:shd w:val="clear" w:color="000000" w:fill="FFFFFF"/>
            <w:noWrap/>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行政运行</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647.24</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272.94</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374.3</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line="15" w:lineRule="auto"/>
              <w:rPr>
                <w:rFonts w:ascii="仿宋" w:hAnsi="仿宋" w:eastAsia="仿宋" w:cs="仿宋"/>
                <w:highlight w:val="none"/>
              </w:rPr>
            </w:pPr>
            <w:r>
              <w:rPr>
                <w:rFonts w:hint="eastAsia" w:ascii="仿宋" w:hAnsi="仿宋" w:eastAsia="仿宋" w:cs="仿宋"/>
                <w:highlight w:val="none"/>
              </w:rPr>
              <w:t>2010302</w:t>
            </w:r>
          </w:p>
        </w:tc>
        <w:tc>
          <w:tcPr>
            <w:tcW w:w="3041" w:type="dxa"/>
            <w:tcBorders>
              <w:top w:val="nil"/>
              <w:left w:val="nil"/>
              <w:bottom w:val="single" w:color="auto" w:sz="4" w:space="0"/>
              <w:right w:val="single" w:color="auto" w:sz="4" w:space="0"/>
            </w:tcBorders>
            <w:shd w:val="clear" w:color="000000" w:fill="FFFFFF"/>
            <w:noWrap/>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一般行政管理事务</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15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15　</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spacing w:line="15" w:lineRule="auto"/>
              <w:rPr>
                <w:rFonts w:ascii="仿宋" w:hAnsi="仿宋" w:eastAsia="仿宋" w:cs="仿宋"/>
                <w:highlight w:val="none"/>
              </w:rPr>
            </w:pPr>
            <w:r>
              <w:rPr>
                <w:rFonts w:hint="eastAsia" w:ascii="仿宋" w:hAnsi="仿宋" w:eastAsia="仿宋" w:cs="仿宋"/>
                <w:highlight w:val="none"/>
              </w:rPr>
              <w:t>2010306</w:t>
            </w:r>
          </w:p>
        </w:tc>
        <w:tc>
          <w:tcPr>
            <w:tcW w:w="3041" w:type="dxa"/>
            <w:tcBorders>
              <w:top w:val="nil"/>
              <w:left w:val="nil"/>
              <w:bottom w:val="single" w:color="auto" w:sz="4" w:space="0"/>
              <w:right w:val="single" w:color="auto" w:sz="4" w:space="0"/>
            </w:tcBorders>
            <w:shd w:val="clear" w:color="000000" w:fill="FFFFFF"/>
            <w:noWrap/>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政务公开审批</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370.89</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370.89</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3041" w:type="dxa"/>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3041" w:type="dxa"/>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3041" w:type="dxa"/>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3041" w:type="dxa"/>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3041" w:type="dxa"/>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r>
      <w:tr>
        <w:tblPrEx>
          <w:tblCellMar>
            <w:top w:w="0" w:type="dxa"/>
            <w:left w:w="108" w:type="dxa"/>
            <w:bottom w:w="0" w:type="dxa"/>
            <w:right w:w="108" w:type="dxa"/>
          </w:tblCellMar>
        </w:tblPrEx>
        <w:trPr>
          <w:trHeight w:val="450" w:hRule="atLeast"/>
        </w:trPr>
        <w:tc>
          <w:tcPr>
            <w:tcW w:w="1053"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3041" w:type="dxa"/>
            <w:tcBorders>
              <w:top w:val="nil"/>
              <w:left w:val="nil"/>
              <w:bottom w:val="single" w:color="auto" w:sz="4" w:space="0"/>
              <w:right w:val="single" w:color="auto" w:sz="4" w:space="0"/>
            </w:tcBorders>
            <w:shd w:val="clear" w:color="000000" w:fill="FFFFFF"/>
            <w:noWrap/>
            <w:vAlign w:val="center"/>
          </w:tcPr>
          <w:p>
            <w:pPr>
              <w:widowControl/>
              <w:jc w:val="left"/>
              <w:rPr>
                <w:rFonts w:ascii="仿宋" w:hAnsi="仿宋" w:eastAsia="仿宋" w:cs="仿宋"/>
                <w:kern w:val="0"/>
                <w:sz w:val="20"/>
                <w:szCs w:val="20"/>
                <w:highlight w:val="none"/>
              </w:rPr>
            </w:pP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73"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486"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609"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364"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c>
          <w:tcPr>
            <w:tcW w:w="1851"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sz w:val="20"/>
                <w:szCs w:val="20"/>
                <w:highlight w:val="none"/>
              </w:rPr>
            </w:pPr>
            <w:r>
              <w:rPr>
                <w:rFonts w:hint="eastAsia" w:ascii="仿宋" w:hAnsi="仿宋" w:eastAsia="仿宋" w:cs="仿宋"/>
                <w:kern w:val="0"/>
                <w:sz w:val="20"/>
                <w:szCs w:val="20"/>
                <w:highlight w:val="none"/>
              </w:rPr>
              <w:t>　</w:t>
            </w:r>
          </w:p>
        </w:tc>
      </w:tr>
      <w:tr>
        <w:tblPrEx>
          <w:tblCellMar>
            <w:top w:w="0" w:type="dxa"/>
            <w:left w:w="108" w:type="dxa"/>
            <w:bottom w:w="0" w:type="dxa"/>
            <w:right w:w="108" w:type="dxa"/>
          </w:tblCellMar>
        </w:tblPrEx>
        <w:trPr>
          <w:trHeight w:val="630" w:hRule="atLeast"/>
        </w:trPr>
        <w:tc>
          <w:tcPr>
            <w:tcW w:w="13363" w:type="dxa"/>
            <w:gridSpan w:val="10"/>
            <w:tcBorders>
              <w:top w:val="nil"/>
              <w:left w:val="nil"/>
              <w:bottom w:val="nil"/>
              <w:right w:val="nil"/>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注：本表反映部门本年度各项支出情况。</w:t>
            </w:r>
          </w:p>
        </w:tc>
      </w:tr>
    </w:tbl>
    <w:p>
      <w:pPr>
        <w:rPr>
          <w:highlight w:val="none"/>
        </w:rPr>
      </w:pPr>
    </w:p>
    <w:tbl>
      <w:tblPr>
        <w:tblStyle w:val="6"/>
        <w:tblW w:w="15521" w:type="dxa"/>
        <w:tblInd w:w="-106" w:type="dxa"/>
        <w:tblLayout w:type="fixed"/>
        <w:tblCellMar>
          <w:top w:w="0" w:type="dxa"/>
          <w:left w:w="108" w:type="dxa"/>
          <w:bottom w:w="0" w:type="dxa"/>
          <w:right w:w="108" w:type="dxa"/>
        </w:tblCellMar>
      </w:tblPr>
      <w:tblGrid>
        <w:gridCol w:w="3135"/>
        <w:gridCol w:w="845"/>
        <w:gridCol w:w="1129"/>
        <w:gridCol w:w="248"/>
        <w:gridCol w:w="248"/>
        <w:gridCol w:w="2915"/>
        <w:gridCol w:w="632"/>
        <w:gridCol w:w="435"/>
        <w:gridCol w:w="1573"/>
        <w:gridCol w:w="1394"/>
        <w:gridCol w:w="1394"/>
        <w:gridCol w:w="1573"/>
      </w:tblGrid>
      <w:tr>
        <w:tblPrEx>
          <w:tblCellMar>
            <w:top w:w="0" w:type="dxa"/>
            <w:left w:w="108" w:type="dxa"/>
            <w:bottom w:w="0" w:type="dxa"/>
            <w:right w:w="108" w:type="dxa"/>
          </w:tblCellMar>
        </w:tblPrEx>
        <w:trPr>
          <w:trHeight w:val="169" w:hRule="atLeast"/>
        </w:trPr>
        <w:tc>
          <w:tcPr>
            <w:tcW w:w="3135" w:type="dxa"/>
            <w:tcBorders>
              <w:top w:val="nil"/>
              <w:left w:val="nil"/>
              <w:bottom w:val="nil"/>
              <w:right w:val="nil"/>
            </w:tcBorders>
            <w:noWrap/>
            <w:vAlign w:val="center"/>
          </w:tcPr>
          <w:p>
            <w:pPr>
              <w:widowControl/>
              <w:jc w:val="left"/>
              <w:rPr>
                <w:rFonts w:ascii="仿宋" w:hAnsi="仿宋" w:eastAsia="仿宋" w:cs="仿宋"/>
                <w:kern w:val="0"/>
                <w:highlight w:val="none"/>
              </w:rPr>
            </w:pPr>
          </w:p>
        </w:tc>
        <w:tc>
          <w:tcPr>
            <w:tcW w:w="845" w:type="dxa"/>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1625" w:type="dxa"/>
            <w:gridSpan w:val="3"/>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3547" w:type="dxa"/>
            <w:gridSpan w:val="2"/>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435" w:type="dxa"/>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1573" w:type="dxa"/>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1394" w:type="dxa"/>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1394" w:type="dxa"/>
            <w:tcBorders>
              <w:top w:val="nil"/>
              <w:left w:val="nil"/>
              <w:bottom w:val="nil"/>
              <w:right w:val="nil"/>
            </w:tcBorders>
            <w:noWrap/>
            <w:vAlign w:val="center"/>
          </w:tcPr>
          <w:p>
            <w:pPr>
              <w:widowControl/>
              <w:jc w:val="right"/>
              <w:rPr>
                <w:rFonts w:ascii="仿宋" w:hAnsi="仿宋" w:eastAsia="仿宋" w:cs="仿宋"/>
                <w:kern w:val="0"/>
                <w:highlight w:val="none"/>
              </w:rPr>
            </w:pPr>
          </w:p>
        </w:tc>
        <w:tc>
          <w:tcPr>
            <w:tcW w:w="1573" w:type="dxa"/>
            <w:tcBorders>
              <w:top w:val="nil"/>
              <w:left w:val="nil"/>
              <w:bottom w:val="nil"/>
              <w:right w:val="nil"/>
            </w:tcBorders>
            <w:noWrap/>
            <w:vAlign w:val="center"/>
          </w:tcPr>
          <w:p>
            <w:pPr>
              <w:widowControl/>
              <w:jc w:val="right"/>
              <w:rPr>
                <w:rFonts w:ascii="仿宋" w:hAnsi="仿宋" w:eastAsia="仿宋" w:cs="仿宋"/>
                <w:kern w:val="0"/>
                <w:highlight w:val="none"/>
              </w:rPr>
            </w:pPr>
          </w:p>
        </w:tc>
      </w:tr>
      <w:tr>
        <w:tblPrEx>
          <w:tblCellMar>
            <w:top w:w="0" w:type="dxa"/>
            <w:left w:w="108" w:type="dxa"/>
            <w:bottom w:w="0" w:type="dxa"/>
            <w:right w:w="108" w:type="dxa"/>
          </w:tblCellMar>
        </w:tblPrEx>
        <w:trPr>
          <w:trHeight w:val="488" w:hRule="atLeast"/>
        </w:trPr>
        <w:tc>
          <w:tcPr>
            <w:tcW w:w="15521" w:type="dxa"/>
            <w:gridSpan w:val="12"/>
            <w:tcBorders>
              <w:top w:val="nil"/>
              <w:left w:val="nil"/>
              <w:bottom w:val="nil"/>
              <w:right w:val="nil"/>
            </w:tcBorders>
            <w:noWrap/>
            <w:vAlign w:val="center"/>
          </w:tcPr>
          <w:p>
            <w:pPr>
              <w:widowControl/>
              <w:jc w:val="center"/>
              <w:rPr>
                <w:rFonts w:ascii="仿宋" w:hAnsi="仿宋" w:eastAsia="仿宋" w:cs="仿宋"/>
                <w:color w:val="000000"/>
                <w:kern w:val="0"/>
                <w:highlight w:val="none"/>
              </w:rPr>
            </w:pPr>
            <w:r>
              <w:rPr>
                <w:rFonts w:hint="eastAsia" w:ascii="仿宋" w:hAnsi="仿宋" w:eastAsia="仿宋" w:cs="仿宋"/>
                <w:b/>
                <w:bCs/>
                <w:color w:val="000000"/>
                <w:kern w:val="0"/>
                <w:sz w:val="36"/>
                <w:szCs w:val="36"/>
                <w:highlight w:val="none"/>
              </w:rPr>
              <w:t>财政拨款收入支出决算总表</w:t>
            </w:r>
          </w:p>
        </w:tc>
      </w:tr>
      <w:tr>
        <w:tblPrEx>
          <w:tblCellMar>
            <w:top w:w="0" w:type="dxa"/>
            <w:left w:w="108" w:type="dxa"/>
            <w:bottom w:w="0" w:type="dxa"/>
            <w:right w:w="108" w:type="dxa"/>
          </w:tblCellMar>
        </w:tblPrEx>
        <w:trPr>
          <w:trHeight w:val="199" w:hRule="atLeast"/>
        </w:trPr>
        <w:tc>
          <w:tcPr>
            <w:tcW w:w="3135"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845"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129"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4043" w:type="dxa"/>
            <w:gridSpan w:val="4"/>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435"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仿宋" w:hAnsi="仿宋" w:eastAsia="仿宋" w:cs="仿宋"/>
                <w:color w:val="000000"/>
                <w:kern w:val="0"/>
                <w:highlight w:val="none"/>
              </w:rPr>
            </w:pPr>
            <w:r>
              <w:rPr>
                <w:rFonts w:hint="eastAsia" w:ascii="仿宋" w:hAnsi="仿宋" w:eastAsia="仿宋" w:cs="仿宋"/>
                <w:color w:val="000000"/>
                <w:kern w:val="0"/>
                <w:highlight w:val="none"/>
              </w:rPr>
              <w:t>公开04表</w:t>
            </w:r>
          </w:p>
        </w:tc>
      </w:tr>
      <w:tr>
        <w:tblPrEx>
          <w:tblCellMar>
            <w:top w:w="0" w:type="dxa"/>
            <w:left w:w="108" w:type="dxa"/>
            <w:bottom w:w="0" w:type="dxa"/>
            <w:right w:w="108" w:type="dxa"/>
          </w:tblCellMar>
        </w:tblPrEx>
        <w:trPr>
          <w:trHeight w:val="278" w:hRule="atLeast"/>
        </w:trPr>
        <w:tc>
          <w:tcPr>
            <w:tcW w:w="3135" w:type="dxa"/>
            <w:tcBorders>
              <w:top w:val="nil"/>
              <w:left w:val="nil"/>
              <w:bottom w:val="nil"/>
              <w:right w:val="nil"/>
            </w:tcBorders>
            <w:shd w:val="clear" w:color="000000" w:fill="FFFFFF"/>
            <w:noWrap/>
            <w:vAlign w:val="center"/>
          </w:tcPr>
          <w:p>
            <w:pPr>
              <w:widowControl/>
              <w:jc w:val="left"/>
              <w:rPr>
                <w:rFonts w:ascii="仿宋" w:hAnsi="仿宋" w:eastAsia="仿宋" w:cs="仿宋"/>
                <w:color w:val="000000"/>
                <w:kern w:val="0"/>
                <w:highlight w:val="none"/>
              </w:rPr>
            </w:pPr>
            <w:r>
              <w:rPr>
                <w:rFonts w:hint="eastAsia" w:ascii="仿宋" w:hAnsi="仿宋" w:eastAsia="仿宋" w:cs="仿宋"/>
                <w:color w:val="000000"/>
                <w:kern w:val="0"/>
                <w:highlight w:val="none"/>
              </w:rPr>
              <w:t>部门：湘潭县行政审批服务局</w:t>
            </w:r>
          </w:p>
        </w:tc>
        <w:tc>
          <w:tcPr>
            <w:tcW w:w="845"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129"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4043" w:type="dxa"/>
            <w:gridSpan w:val="4"/>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435"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nil"/>
              <w:right w:val="nil"/>
            </w:tcBorders>
            <w:shd w:val="clear" w:color="000000" w:fill="FFFFFF"/>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nil"/>
              <w:right w:val="nil"/>
            </w:tcBorders>
            <w:shd w:val="clear" w:color="000000" w:fill="FFFFFF"/>
            <w:noWrap/>
            <w:vAlign w:val="center"/>
          </w:tcPr>
          <w:p>
            <w:pPr>
              <w:widowControl/>
              <w:jc w:val="right"/>
              <w:rPr>
                <w:rFonts w:ascii="仿宋" w:hAnsi="仿宋" w:eastAsia="仿宋" w:cs="仿宋"/>
                <w:color w:val="000000"/>
                <w:kern w:val="0"/>
                <w:highlight w:val="none"/>
              </w:rPr>
            </w:pPr>
            <w:r>
              <w:rPr>
                <w:rFonts w:hint="eastAsia" w:ascii="仿宋" w:hAnsi="仿宋" w:eastAsia="仿宋" w:cs="仿宋"/>
                <w:color w:val="000000"/>
                <w:kern w:val="0"/>
                <w:highlight w:val="none"/>
              </w:rPr>
              <w:t>单位：万元</w:t>
            </w:r>
          </w:p>
        </w:tc>
      </w:tr>
      <w:tr>
        <w:tblPrEx>
          <w:tblCellMar>
            <w:top w:w="0" w:type="dxa"/>
            <w:left w:w="108" w:type="dxa"/>
            <w:bottom w:w="0" w:type="dxa"/>
            <w:right w:w="108" w:type="dxa"/>
          </w:tblCellMar>
        </w:tblPrEx>
        <w:trPr>
          <w:trHeight w:val="402" w:hRule="atLeast"/>
        </w:trPr>
        <w:tc>
          <w:tcPr>
            <w:tcW w:w="5357"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收入</w:t>
            </w:r>
          </w:p>
        </w:tc>
        <w:tc>
          <w:tcPr>
            <w:tcW w:w="10164"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支出</w:t>
            </w:r>
          </w:p>
        </w:tc>
      </w:tr>
      <w:tr>
        <w:tblPrEx>
          <w:tblCellMar>
            <w:top w:w="0" w:type="dxa"/>
            <w:left w:w="108" w:type="dxa"/>
            <w:bottom w:w="0" w:type="dxa"/>
            <w:right w:w="108" w:type="dxa"/>
          </w:tblCellMar>
        </w:tblPrEx>
        <w:trPr>
          <w:trHeight w:val="630" w:hRule="atLeast"/>
        </w:trPr>
        <w:tc>
          <w:tcPr>
            <w:tcW w:w="313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项    目</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行次</w:t>
            </w:r>
          </w:p>
        </w:tc>
        <w:tc>
          <w:tcPr>
            <w:tcW w:w="137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金额</w:t>
            </w:r>
          </w:p>
        </w:tc>
        <w:tc>
          <w:tcPr>
            <w:tcW w:w="3163"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项    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行次</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合计</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国有资本经营预算财政拨款</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栏    次</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7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w:t>
            </w:r>
          </w:p>
        </w:tc>
        <w:tc>
          <w:tcPr>
            <w:tcW w:w="3163"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栏    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3</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4</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5</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一、一般公共预算财政拨款</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1032.85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15</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1033.13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1033.13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二、政府性基金预算财政拨款</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16</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三、国有资本经营预算财政拨款</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3</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17</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29"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4</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18</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5</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19</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6</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六、科学技术支出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20</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7</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七、文化旅游体育与传媒支出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21</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8</w:t>
            </w:r>
          </w:p>
        </w:tc>
        <w:tc>
          <w:tcPr>
            <w:tcW w:w="1377"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22</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b/>
                <w:bCs/>
                <w:kern w:val="0"/>
                <w:highlight w:val="none"/>
              </w:rPr>
            </w:pPr>
            <w:r>
              <w:rPr>
                <w:rFonts w:hint="eastAsia" w:ascii="仿宋" w:hAnsi="仿宋" w:eastAsia="仿宋" w:cs="仿宋"/>
                <w:b/>
                <w:bCs/>
                <w:kern w:val="0"/>
                <w:highlight w:val="none"/>
              </w:rPr>
              <w:t>本年收入合计</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9</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1032.85　</w:t>
            </w:r>
          </w:p>
        </w:tc>
        <w:tc>
          <w:tcPr>
            <w:tcW w:w="3163"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b/>
                <w:bCs/>
                <w:kern w:val="0"/>
                <w:highlight w:val="none"/>
              </w:rPr>
            </w:pPr>
            <w:r>
              <w:rPr>
                <w:rFonts w:hint="eastAsia" w:ascii="仿宋" w:hAnsi="仿宋" w:eastAsia="仿宋" w:cs="仿宋"/>
                <w:b/>
                <w:bCs/>
                <w:kern w:val="0"/>
                <w:highlight w:val="none"/>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23</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1033.13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1033.13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 w:hAnsi="仿宋" w:eastAsia="仿宋" w:cs="仿宋"/>
                <w:b/>
                <w:bCs/>
                <w:kern w:val="0"/>
                <w:highlight w:val="none"/>
              </w:rPr>
            </w:pPr>
            <w:r>
              <w:rPr>
                <w:rFonts w:hint="eastAsia" w:ascii="仿宋" w:hAnsi="仿宋" w:eastAsia="仿宋" w:cs="仿宋"/>
                <w:b/>
                <w:bCs/>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年初财政拨款结转和结余</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10</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2.63　</w:t>
            </w:r>
          </w:p>
        </w:tc>
        <w:tc>
          <w:tcPr>
            <w:tcW w:w="3163"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24</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2.35</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2.35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一般公共预算财政拨款</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11</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25</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ind w:firstLine="210" w:firstLineChars="100"/>
              <w:rPr>
                <w:rFonts w:ascii="仿宋" w:hAnsi="仿宋" w:eastAsia="仿宋" w:cs="仿宋"/>
                <w:kern w:val="0"/>
                <w:highlight w:val="none"/>
              </w:rPr>
            </w:pPr>
            <w:r>
              <w:rPr>
                <w:rFonts w:hint="eastAsia" w:ascii="仿宋" w:hAnsi="仿宋" w:eastAsia="仿宋" w:cs="仿宋"/>
                <w:kern w:val="0"/>
                <w:highlight w:val="none"/>
              </w:rPr>
              <w:t xml:space="preserve">  政府性基金预算财政拨款</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12</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26</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国有资本经营预算财政拨款</w:t>
            </w:r>
          </w:p>
        </w:tc>
        <w:tc>
          <w:tcPr>
            <w:tcW w:w="845"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13</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　</w:t>
            </w:r>
          </w:p>
        </w:tc>
        <w:tc>
          <w:tcPr>
            <w:tcW w:w="3163" w:type="dxa"/>
            <w:gridSpan w:val="2"/>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27</w:t>
            </w:r>
          </w:p>
        </w:tc>
        <w:tc>
          <w:tcPr>
            <w:tcW w:w="1573"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394" w:type="dxa"/>
            <w:tcBorders>
              <w:top w:val="nil"/>
              <w:left w:val="nil"/>
              <w:bottom w:val="single" w:color="auto" w:sz="4" w:space="0"/>
              <w:right w:val="single" w:color="auto" w:sz="4" w:space="0"/>
            </w:tcBorders>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　</w:t>
            </w:r>
          </w:p>
        </w:tc>
      </w:tr>
      <w:tr>
        <w:tblPrEx>
          <w:tblCellMar>
            <w:top w:w="0" w:type="dxa"/>
            <w:left w:w="108" w:type="dxa"/>
            <w:bottom w:w="0" w:type="dxa"/>
            <w:right w:w="108" w:type="dxa"/>
          </w:tblCellMar>
        </w:tblPrEx>
        <w:trPr>
          <w:trHeight w:val="402" w:hRule="atLeast"/>
        </w:trPr>
        <w:tc>
          <w:tcPr>
            <w:tcW w:w="313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仿宋"/>
                <w:b/>
                <w:bCs/>
                <w:kern w:val="0"/>
                <w:highlight w:val="none"/>
              </w:rPr>
            </w:pPr>
            <w:r>
              <w:rPr>
                <w:rFonts w:hint="eastAsia" w:ascii="仿宋" w:hAnsi="仿宋" w:eastAsia="仿宋" w:cs="仿宋"/>
                <w:b/>
                <w:bCs/>
                <w:kern w:val="0"/>
                <w:highlight w:val="none"/>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14</w:t>
            </w:r>
          </w:p>
        </w:tc>
        <w:tc>
          <w:tcPr>
            <w:tcW w:w="1377" w:type="dxa"/>
            <w:gridSpan w:val="2"/>
            <w:tcBorders>
              <w:top w:val="nil"/>
              <w:left w:val="nil"/>
              <w:bottom w:val="single" w:color="auto" w:sz="4" w:space="0"/>
              <w:right w:val="single" w:color="auto" w:sz="4" w:space="0"/>
            </w:tcBorders>
            <w:noWrap/>
            <w:vAlign w:val="center"/>
          </w:tcPr>
          <w:p>
            <w:pPr>
              <w:widowControl/>
              <w:jc w:val="right"/>
              <w:rPr>
                <w:rFonts w:ascii="仿宋" w:hAnsi="仿宋" w:eastAsia="仿宋" w:cs="仿宋"/>
                <w:kern w:val="0"/>
                <w:highlight w:val="none"/>
              </w:rPr>
            </w:pPr>
            <w:r>
              <w:rPr>
                <w:rFonts w:hint="eastAsia" w:ascii="仿宋" w:hAnsi="仿宋" w:eastAsia="仿宋" w:cs="仿宋"/>
                <w:kern w:val="0"/>
                <w:highlight w:val="none"/>
              </w:rPr>
              <w:t>1035.48　</w:t>
            </w:r>
          </w:p>
        </w:tc>
        <w:tc>
          <w:tcPr>
            <w:tcW w:w="3163"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b/>
                <w:bCs/>
                <w:kern w:val="0"/>
                <w:highlight w:val="none"/>
              </w:rPr>
            </w:pPr>
            <w:r>
              <w:rPr>
                <w:rFonts w:hint="eastAsia" w:ascii="仿宋" w:hAnsi="仿宋" w:eastAsia="仿宋" w:cs="仿宋"/>
                <w:b/>
                <w:bCs/>
                <w:kern w:val="0"/>
                <w:highlight w:val="none"/>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xml:space="preserve">   　1035.48</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仿宋"/>
                <w:kern w:val="0"/>
                <w:highlight w:val="none"/>
              </w:rPr>
            </w:pPr>
            <w:r>
              <w:rPr>
                <w:rFonts w:hint="eastAsia" w:ascii="仿宋" w:hAnsi="仿宋" w:eastAsia="仿宋" w:cs="仿宋"/>
                <w:kern w:val="0"/>
                <w:highlight w:val="none"/>
              </w:rPr>
              <w:t>　  1035.48</w:t>
            </w:r>
          </w:p>
        </w:tc>
        <w:tc>
          <w:tcPr>
            <w:tcW w:w="1394" w:type="dxa"/>
            <w:tcBorders>
              <w:top w:val="nil"/>
              <w:left w:val="nil"/>
              <w:bottom w:val="single" w:color="auto" w:sz="4" w:space="0"/>
              <w:right w:val="single" w:color="auto" w:sz="4" w:space="0"/>
            </w:tcBorders>
            <w:noWrap/>
            <w:vAlign w:val="center"/>
          </w:tcPr>
          <w:p>
            <w:pPr>
              <w:widowControl/>
              <w:jc w:val="left"/>
              <w:rPr>
                <w:rFonts w:ascii="仿宋" w:hAnsi="仿宋" w:eastAsia="仿宋" w:cs="仿宋"/>
                <w:b/>
                <w:bCs/>
                <w:kern w:val="0"/>
                <w:highlight w:val="none"/>
              </w:rPr>
            </w:pPr>
            <w:r>
              <w:rPr>
                <w:rFonts w:hint="eastAsia" w:ascii="仿宋" w:hAnsi="仿宋" w:eastAsia="仿宋" w:cs="仿宋"/>
                <w:b/>
                <w:bCs/>
                <w:kern w:val="0"/>
                <w:highlight w:val="none"/>
              </w:rPr>
              <w:t>　</w:t>
            </w:r>
          </w:p>
        </w:tc>
        <w:tc>
          <w:tcPr>
            <w:tcW w:w="1573" w:type="dxa"/>
            <w:tcBorders>
              <w:top w:val="nil"/>
              <w:left w:val="nil"/>
              <w:bottom w:val="single" w:color="auto" w:sz="4" w:space="0"/>
              <w:right w:val="single" w:color="auto" w:sz="4" w:space="0"/>
            </w:tcBorders>
            <w:noWrap/>
            <w:vAlign w:val="center"/>
          </w:tcPr>
          <w:p>
            <w:pPr>
              <w:widowControl/>
              <w:jc w:val="left"/>
              <w:rPr>
                <w:rFonts w:ascii="仿宋" w:hAnsi="仿宋" w:eastAsia="仿宋" w:cs="仿宋"/>
                <w:b/>
                <w:bCs/>
                <w:kern w:val="0"/>
                <w:highlight w:val="none"/>
              </w:rPr>
            </w:pPr>
            <w:r>
              <w:rPr>
                <w:rFonts w:hint="eastAsia" w:ascii="仿宋" w:hAnsi="仿宋" w:eastAsia="仿宋" w:cs="仿宋"/>
                <w:b/>
                <w:bCs/>
                <w:kern w:val="0"/>
                <w:highlight w:val="none"/>
              </w:rPr>
              <w:t>　</w:t>
            </w:r>
          </w:p>
        </w:tc>
      </w:tr>
      <w:tr>
        <w:tblPrEx>
          <w:tblCellMar>
            <w:top w:w="0" w:type="dxa"/>
            <w:left w:w="108" w:type="dxa"/>
            <w:bottom w:w="0" w:type="dxa"/>
            <w:right w:w="108" w:type="dxa"/>
          </w:tblCellMar>
        </w:tblPrEx>
        <w:trPr>
          <w:trHeight w:val="585" w:hRule="atLeast"/>
        </w:trPr>
        <w:tc>
          <w:tcPr>
            <w:tcW w:w="15521" w:type="dxa"/>
            <w:gridSpan w:val="12"/>
            <w:tcBorders>
              <w:top w:val="nil"/>
              <w:left w:val="nil"/>
              <w:bottom w:val="nil"/>
              <w:right w:val="nil"/>
            </w:tcBorders>
            <w:vAlign w:val="center"/>
          </w:tcPr>
          <w:p>
            <w:pPr>
              <w:widowControl/>
              <w:jc w:val="left"/>
              <w:rPr>
                <w:rFonts w:ascii="仿宋" w:hAnsi="仿宋" w:eastAsia="仿宋" w:cs="仿宋"/>
                <w:kern w:val="0"/>
                <w:highlight w:val="none"/>
              </w:rPr>
            </w:pPr>
            <w:r>
              <w:rPr>
                <w:rFonts w:hint="eastAsia" w:ascii="仿宋" w:hAnsi="仿宋" w:eastAsia="仿宋" w:cs="仿宋"/>
                <w:kern w:val="0"/>
                <w:highlight w:val="none"/>
              </w:rPr>
              <w:t>注：本表反映部门本年度一般公共预算财政拨款、政府性基金预算财政拨款和国有资本经营预算财政拨款的总收支和年末结转结余情况。</w:t>
            </w:r>
          </w:p>
        </w:tc>
      </w:tr>
    </w:tbl>
    <w:p>
      <w:pPr>
        <w:widowControl/>
        <w:rPr>
          <w:rFonts w:ascii="Times New Roman" w:hAnsi="Times New Roman" w:eastAsia="方正小标宋_GBK" w:cs="方正小标宋_GBK"/>
          <w:kern w:val="0"/>
          <w:sz w:val="36"/>
          <w:szCs w:val="36"/>
          <w:highlight w:val="none"/>
        </w:rPr>
      </w:pPr>
    </w:p>
    <w:p>
      <w:pPr>
        <w:widowControl/>
        <w:jc w:val="center"/>
        <w:rPr>
          <w:rFonts w:ascii="Times New Roman" w:hAnsi="Times New Roman" w:eastAsia="方正小标宋_GBK" w:cs="Times New Roman"/>
          <w:kern w:val="0"/>
          <w:sz w:val="36"/>
          <w:szCs w:val="36"/>
          <w:highlight w:val="none"/>
        </w:rPr>
      </w:pPr>
      <w:r>
        <w:rPr>
          <w:rFonts w:hint="eastAsia" w:ascii="Times New Roman" w:hAnsi="Times New Roman" w:eastAsia="方正小标宋_GBK" w:cs="方正小标宋_GBK"/>
          <w:kern w:val="0"/>
          <w:sz w:val="36"/>
          <w:szCs w:val="36"/>
          <w:highlight w:val="none"/>
        </w:rPr>
        <w:t>一般公共预算财政拨款支出决算表</w:t>
      </w:r>
    </w:p>
    <w:p>
      <w:pPr>
        <w:widowControl/>
        <w:spacing w:beforeLines="50"/>
        <w:jc w:val="left"/>
        <w:rPr>
          <w:rFonts w:ascii="Times New Roman" w:hAnsi="Times New Roman" w:eastAsia="仿宋_GB2312" w:cs="Times New Roman"/>
          <w:color w:val="000000"/>
          <w:kern w:val="0"/>
          <w:highlight w:val="none"/>
        </w:rPr>
      </w:pP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Times New Roman"/>
          <w:color w:val="000000"/>
          <w:kern w:val="0"/>
          <w:highlight w:val="none"/>
        </w:rPr>
        <w:t xml:space="preserve">        </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05</w:t>
      </w:r>
      <w:r>
        <w:rPr>
          <w:rFonts w:hint="eastAsia" w:ascii="Times New Roman" w:hAnsi="Times New Roman" w:eastAsia="仿宋_GB2312" w:cs="仿宋_GB2312"/>
          <w:color w:val="000000"/>
          <w:kern w:val="0"/>
          <w:highlight w:val="none"/>
        </w:rPr>
        <w:t>表</w:t>
      </w:r>
    </w:p>
    <w:p>
      <w:pPr>
        <w:widowControl/>
        <w:jc w:val="left"/>
        <w:rPr>
          <w:rFonts w:ascii="Times New Roman" w:hAnsi="Times New Roman" w:cs="Times New Roman"/>
          <w:color w:val="000000"/>
          <w:kern w:val="0"/>
          <w:sz w:val="20"/>
          <w:szCs w:val="20"/>
          <w:highlight w:val="none"/>
        </w:rPr>
      </w:pP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部门：湘潭县行政审批服务局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单位：万元</w:t>
      </w:r>
    </w:p>
    <w:tbl>
      <w:tblPr>
        <w:tblStyle w:val="6"/>
        <w:tblW w:w="12931" w:type="dxa"/>
        <w:jc w:val="center"/>
        <w:tblLayout w:type="autofit"/>
        <w:tblCellMar>
          <w:top w:w="0" w:type="dxa"/>
          <w:left w:w="108" w:type="dxa"/>
          <w:bottom w:w="0" w:type="dxa"/>
          <w:right w:w="108" w:type="dxa"/>
        </w:tblCellMar>
      </w:tblPr>
      <w:tblGrid>
        <w:gridCol w:w="1503"/>
        <w:gridCol w:w="3322"/>
        <w:gridCol w:w="2349"/>
        <w:gridCol w:w="2806"/>
        <w:gridCol w:w="2951"/>
      </w:tblGrid>
      <w:tr>
        <w:tblPrEx>
          <w:tblCellMar>
            <w:top w:w="0" w:type="dxa"/>
            <w:left w:w="108" w:type="dxa"/>
            <w:bottom w:w="0" w:type="dxa"/>
            <w:right w:w="108" w:type="dxa"/>
          </w:tblCellMar>
        </w:tblPrEx>
        <w:trPr>
          <w:trHeight w:val="405" w:hRule="atLeast"/>
          <w:jc w:val="center"/>
        </w:trPr>
        <w:tc>
          <w:tcPr>
            <w:tcW w:w="4825"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w:t>
            </w:r>
            <w:r>
              <w:rPr>
                <w:rFonts w:ascii="Times New Roman" w:hAnsi="Times New Roman" w:eastAsia="仿宋_GB2312" w:cs="Times New Roman"/>
                <w:b/>
                <w:bCs/>
                <w:kern w:val="0"/>
                <w:highlight w:val="none"/>
              </w:rPr>
              <w:t xml:space="preserve"> </w:t>
            </w:r>
            <w:r>
              <w:rPr>
                <w:rFonts w:ascii="Times New Roman" w:hAnsi="Times New Roman" w:eastAsia="仿宋_GB2312" w:cs="Times New Roman"/>
                <w:b/>
                <w:bCs/>
                <w:color w:val="000000"/>
                <w:kern w:val="0"/>
                <w:highlight w:val="none"/>
              </w:rPr>
              <w:t xml:space="preserve">   </w:t>
            </w:r>
            <w:r>
              <w:rPr>
                <w:rFonts w:hint="eastAsia" w:ascii="Times New Roman" w:hAnsi="Times New Roman" w:eastAsia="仿宋_GB2312" w:cs="仿宋_GB2312"/>
                <w:b/>
                <w:bCs/>
                <w:kern w:val="0"/>
                <w:highlight w:val="none"/>
              </w:rPr>
              <w:t>目</w:t>
            </w:r>
          </w:p>
        </w:tc>
        <w:tc>
          <w:tcPr>
            <w:tcW w:w="8106" w:type="dxa"/>
            <w:gridSpan w:val="3"/>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本年支出</w:t>
            </w:r>
          </w:p>
        </w:tc>
      </w:tr>
      <w:tr>
        <w:tblPrEx>
          <w:tblCellMar>
            <w:top w:w="0" w:type="dxa"/>
            <w:left w:w="108" w:type="dxa"/>
            <w:bottom w:w="0" w:type="dxa"/>
            <w:right w:w="108" w:type="dxa"/>
          </w:tblCellMar>
        </w:tblPrEx>
        <w:trPr>
          <w:trHeight w:val="495" w:hRule="atLeast"/>
          <w:jc w:val="center"/>
        </w:trPr>
        <w:tc>
          <w:tcPr>
            <w:tcW w:w="1503"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功能分类科目编码</w:t>
            </w:r>
          </w:p>
        </w:tc>
        <w:tc>
          <w:tcPr>
            <w:tcW w:w="3322"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科目名称</w:t>
            </w:r>
          </w:p>
        </w:tc>
        <w:tc>
          <w:tcPr>
            <w:tcW w:w="2349"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小计</w:t>
            </w:r>
          </w:p>
        </w:tc>
        <w:tc>
          <w:tcPr>
            <w:tcW w:w="2806"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基本支出</w:t>
            </w:r>
          </w:p>
        </w:tc>
        <w:tc>
          <w:tcPr>
            <w:tcW w:w="2951"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项目支出</w:t>
            </w:r>
          </w:p>
        </w:tc>
      </w:tr>
      <w:tr>
        <w:tblPrEx>
          <w:tblCellMar>
            <w:top w:w="0" w:type="dxa"/>
            <w:left w:w="108" w:type="dxa"/>
            <w:bottom w:w="0" w:type="dxa"/>
            <w:right w:w="108" w:type="dxa"/>
          </w:tblCellMar>
        </w:tblPrEx>
        <w:trPr>
          <w:trHeight w:val="360" w:hRule="atLeast"/>
          <w:jc w:val="center"/>
        </w:trPr>
        <w:tc>
          <w:tcPr>
            <w:tcW w:w="1503"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3322"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34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80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951"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highlight w:val="none"/>
              </w:rPr>
            </w:pPr>
          </w:p>
        </w:tc>
      </w:tr>
      <w:tr>
        <w:tblPrEx>
          <w:tblCellMar>
            <w:top w:w="0" w:type="dxa"/>
            <w:left w:w="108" w:type="dxa"/>
            <w:bottom w:w="0" w:type="dxa"/>
            <w:right w:w="108" w:type="dxa"/>
          </w:tblCellMar>
        </w:tblPrEx>
        <w:trPr>
          <w:trHeight w:val="450" w:hRule="atLeast"/>
          <w:jc w:val="center"/>
        </w:trPr>
        <w:tc>
          <w:tcPr>
            <w:tcW w:w="1503"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3322"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349"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80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951"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highlight w:val="none"/>
              </w:rPr>
            </w:pPr>
          </w:p>
        </w:tc>
      </w:tr>
      <w:tr>
        <w:tblPrEx>
          <w:tblCellMar>
            <w:top w:w="0" w:type="dxa"/>
            <w:left w:w="108" w:type="dxa"/>
            <w:bottom w:w="0" w:type="dxa"/>
            <w:right w:w="108" w:type="dxa"/>
          </w:tblCellMar>
        </w:tblPrEx>
        <w:trPr>
          <w:trHeight w:val="450" w:hRule="atLeast"/>
          <w:jc w:val="center"/>
        </w:trPr>
        <w:tc>
          <w:tcPr>
            <w:tcW w:w="4825"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栏次</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r>
      <w:tr>
        <w:tblPrEx>
          <w:tblCellMar>
            <w:top w:w="0" w:type="dxa"/>
            <w:left w:w="108" w:type="dxa"/>
            <w:bottom w:w="0" w:type="dxa"/>
            <w:right w:w="108" w:type="dxa"/>
          </w:tblCellMar>
        </w:tblPrEx>
        <w:trPr>
          <w:trHeight w:val="450" w:hRule="atLeast"/>
          <w:jc w:val="center"/>
        </w:trPr>
        <w:tc>
          <w:tcPr>
            <w:tcW w:w="4825"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1033.13　         </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272.94　                </w:t>
            </w: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760.19　                 </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spacing w:line="15" w:lineRule="auto"/>
              <w:rPr>
                <w:rFonts w:ascii="仿宋" w:hAnsi="仿宋" w:eastAsia="仿宋" w:cs="仿宋"/>
                <w:highlight w:val="none"/>
              </w:rPr>
            </w:pPr>
            <w:r>
              <w:rPr>
                <w:rFonts w:hint="eastAsia" w:ascii="仿宋" w:hAnsi="仿宋" w:eastAsia="仿宋" w:cs="仿宋"/>
                <w:highlight w:val="none"/>
              </w:rPr>
              <w:t>201</w:t>
            </w:r>
          </w:p>
        </w:tc>
        <w:tc>
          <w:tcPr>
            <w:tcW w:w="3322" w:type="dxa"/>
            <w:tcBorders>
              <w:top w:val="nil"/>
              <w:left w:val="nil"/>
              <w:bottom w:val="single" w:color="auto" w:sz="4" w:space="0"/>
              <w:right w:val="single" w:color="auto" w:sz="4" w:space="0"/>
            </w:tcBorders>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一般公共文化服务支出</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1033.13</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272.94</w:t>
            </w: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760.19</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spacing w:line="15" w:lineRule="auto"/>
              <w:rPr>
                <w:rFonts w:ascii="仿宋" w:hAnsi="仿宋" w:eastAsia="仿宋" w:cs="仿宋"/>
                <w:highlight w:val="none"/>
              </w:rPr>
            </w:pPr>
            <w:r>
              <w:rPr>
                <w:rFonts w:hint="eastAsia" w:ascii="仿宋" w:hAnsi="仿宋" w:eastAsia="仿宋" w:cs="仿宋"/>
                <w:highlight w:val="none"/>
              </w:rPr>
              <w:t>20103</w:t>
            </w:r>
          </w:p>
        </w:tc>
        <w:tc>
          <w:tcPr>
            <w:tcW w:w="3322" w:type="dxa"/>
            <w:tcBorders>
              <w:top w:val="nil"/>
              <w:left w:val="nil"/>
              <w:bottom w:val="single" w:color="auto" w:sz="4" w:space="0"/>
              <w:right w:val="single" w:color="auto" w:sz="4" w:space="0"/>
            </w:tcBorders>
            <w:vAlign w:val="center"/>
          </w:tcPr>
          <w:p>
            <w:pPr>
              <w:spacing w:line="15" w:lineRule="auto"/>
              <w:rPr>
                <w:rFonts w:ascii="仿宋" w:hAnsi="仿宋" w:eastAsia="仿宋" w:cs="仿宋"/>
                <w:highlight w:val="none"/>
              </w:rPr>
            </w:pPr>
            <w:r>
              <w:rPr>
                <w:rFonts w:hint="eastAsia" w:ascii="仿宋" w:hAnsi="仿宋" w:eastAsia="仿宋" w:cs="仿宋"/>
                <w:highlight w:val="none"/>
              </w:rPr>
              <w:t>　政府办公厅（室）及相关机构事务</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1033.13</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272.94</w:t>
            </w: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760.19</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spacing w:line="15" w:lineRule="auto"/>
              <w:rPr>
                <w:rFonts w:ascii="仿宋" w:hAnsi="仿宋" w:eastAsia="仿宋" w:cs="仿宋"/>
                <w:highlight w:val="none"/>
              </w:rPr>
            </w:pPr>
            <w:r>
              <w:rPr>
                <w:rFonts w:hint="eastAsia" w:ascii="仿宋" w:hAnsi="仿宋" w:eastAsia="仿宋" w:cs="仿宋"/>
                <w:highlight w:val="none"/>
              </w:rPr>
              <w:t>2010301</w:t>
            </w:r>
          </w:p>
        </w:tc>
        <w:tc>
          <w:tcPr>
            <w:tcW w:w="3322" w:type="dxa"/>
            <w:tcBorders>
              <w:top w:val="nil"/>
              <w:left w:val="nil"/>
              <w:bottom w:val="single" w:color="auto" w:sz="4" w:space="0"/>
              <w:right w:val="single" w:color="auto" w:sz="4" w:space="0"/>
            </w:tcBorders>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行政运行</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647.24</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272.94</w:t>
            </w: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仿宋_GB2312"/>
                <w:kern w:val="0"/>
                <w:highlight w:val="none"/>
              </w:rPr>
            </w:pPr>
            <w:r>
              <w:rPr>
                <w:rFonts w:hint="default" w:ascii="Times New Roman" w:hAnsi="Times New Roman" w:eastAsia="仿宋_GB2312" w:cs="仿宋_GB2312"/>
                <w:kern w:val="0"/>
                <w:highlight w:val="none"/>
                <w:lang w:val="en-US" w:eastAsia="zh-CN"/>
              </w:rPr>
              <w:t>374.3</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spacing w:line="15" w:lineRule="auto"/>
              <w:rPr>
                <w:rFonts w:ascii="仿宋" w:hAnsi="仿宋" w:eastAsia="仿宋" w:cs="仿宋"/>
                <w:highlight w:val="none"/>
              </w:rPr>
            </w:pPr>
            <w:r>
              <w:rPr>
                <w:rFonts w:hint="eastAsia" w:ascii="仿宋" w:hAnsi="仿宋" w:eastAsia="仿宋" w:cs="仿宋"/>
                <w:highlight w:val="none"/>
              </w:rPr>
              <w:t>2010302</w:t>
            </w:r>
          </w:p>
        </w:tc>
        <w:tc>
          <w:tcPr>
            <w:tcW w:w="3322" w:type="dxa"/>
            <w:tcBorders>
              <w:top w:val="nil"/>
              <w:left w:val="nil"/>
              <w:bottom w:val="single" w:color="auto" w:sz="4" w:space="0"/>
              <w:right w:val="single" w:color="auto" w:sz="4" w:space="0"/>
            </w:tcBorders>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一般行政管理事务</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15</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15</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spacing w:line="15" w:lineRule="auto"/>
              <w:rPr>
                <w:rFonts w:ascii="仿宋" w:hAnsi="仿宋" w:eastAsia="仿宋" w:cs="仿宋"/>
                <w:highlight w:val="none"/>
              </w:rPr>
            </w:pPr>
            <w:r>
              <w:rPr>
                <w:rFonts w:hint="eastAsia" w:ascii="仿宋" w:hAnsi="仿宋" w:eastAsia="仿宋" w:cs="仿宋"/>
                <w:highlight w:val="none"/>
              </w:rPr>
              <w:t>2010306</w:t>
            </w:r>
          </w:p>
        </w:tc>
        <w:tc>
          <w:tcPr>
            <w:tcW w:w="3322" w:type="dxa"/>
            <w:tcBorders>
              <w:top w:val="nil"/>
              <w:left w:val="nil"/>
              <w:bottom w:val="single" w:color="auto" w:sz="4" w:space="0"/>
              <w:right w:val="single" w:color="auto" w:sz="4" w:space="0"/>
            </w:tcBorders>
            <w:vAlign w:val="center"/>
          </w:tcPr>
          <w:p>
            <w:pPr>
              <w:spacing w:line="15" w:lineRule="auto"/>
              <w:ind w:firstLine="210" w:firstLineChars="100"/>
              <w:rPr>
                <w:rFonts w:ascii="仿宋" w:hAnsi="仿宋" w:eastAsia="仿宋" w:cs="仿宋"/>
                <w:highlight w:val="none"/>
              </w:rPr>
            </w:pPr>
            <w:r>
              <w:rPr>
                <w:rFonts w:hint="eastAsia" w:ascii="仿宋" w:hAnsi="仿宋" w:eastAsia="仿宋" w:cs="仿宋"/>
                <w:highlight w:val="none"/>
              </w:rPr>
              <w:t>政务公开审批</w:t>
            </w:r>
          </w:p>
        </w:tc>
        <w:tc>
          <w:tcPr>
            <w:tcW w:w="2349"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370.89</w:t>
            </w:r>
          </w:p>
        </w:tc>
        <w:tc>
          <w:tcPr>
            <w:tcW w:w="2806"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仿宋_GB2312"/>
                <w:kern w:val="0"/>
                <w:highlight w:val="none"/>
              </w:rPr>
            </w:pPr>
          </w:p>
        </w:tc>
        <w:tc>
          <w:tcPr>
            <w:tcW w:w="2951"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370.89</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widowControl/>
              <w:rPr>
                <w:rFonts w:ascii="Times New Roman" w:hAnsi="Times New Roman" w:eastAsia="仿宋_GB2312" w:cs="仿宋_GB2312"/>
                <w:kern w:val="0"/>
                <w:highlight w:val="none"/>
              </w:rPr>
            </w:pPr>
          </w:p>
        </w:tc>
        <w:tc>
          <w:tcPr>
            <w:tcW w:w="332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仿宋_GB2312"/>
                <w:kern w:val="0"/>
                <w:highlight w:val="none"/>
              </w:rPr>
            </w:pPr>
          </w:p>
        </w:tc>
        <w:tc>
          <w:tcPr>
            <w:tcW w:w="2349"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 xml:space="preserve">              </w:t>
            </w:r>
          </w:p>
        </w:tc>
        <w:tc>
          <w:tcPr>
            <w:tcW w:w="2806"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仿宋_GB2312"/>
                <w:kern w:val="0"/>
                <w:highlight w:val="none"/>
              </w:rPr>
            </w:pPr>
            <w:r>
              <w:rPr>
                <w:rFonts w:hint="eastAsia" w:ascii="Times New Roman" w:hAnsi="Times New Roman" w:eastAsia="仿宋_GB2312" w:cs="仿宋_GB2312"/>
                <w:kern w:val="0"/>
                <w:highlight w:val="none"/>
              </w:rPr>
              <w:t xml:space="preserve">                   </w:t>
            </w:r>
          </w:p>
        </w:tc>
        <w:tc>
          <w:tcPr>
            <w:tcW w:w="2951"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仿宋_GB2312"/>
                <w:kern w:val="0"/>
                <w:highlight w:val="none"/>
              </w:rPr>
            </w:pP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widowControl/>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332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Times New Roman"/>
                <w:kern w:val="0"/>
                <w:highlight w:val="none"/>
              </w:rPr>
              <w:t xml:space="preserve"> </w:t>
            </w:r>
          </w:p>
        </w:tc>
        <w:tc>
          <w:tcPr>
            <w:tcW w:w="2349"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806"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951"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widowControl/>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332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349"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806"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951"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widowControl/>
              <w:rPr>
                <w:rFonts w:ascii="Times New Roman" w:hAnsi="Times New Roman" w:eastAsia="仿宋_GB2312" w:cs="Times New Roman"/>
                <w:kern w:val="0"/>
                <w:highlight w:val="none"/>
              </w:rPr>
            </w:pPr>
          </w:p>
        </w:tc>
        <w:tc>
          <w:tcPr>
            <w:tcW w:w="332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349"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806"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951"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4" w:space="0"/>
              <w:right w:val="single" w:color="auto" w:sz="4" w:space="0"/>
            </w:tcBorders>
            <w:vAlign w:val="center"/>
          </w:tcPr>
          <w:p>
            <w:pPr>
              <w:widowControl/>
              <w:rPr>
                <w:rFonts w:ascii="Times New Roman" w:hAnsi="Times New Roman" w:eastAsia="仿宋_GB2312" w:cs="Times New Roman"/>
                <w:kern w:val="0"/>
                <w:highlight w:val="none"/>
              </w:rPr>
            </w:pPr>
          </w:p>
        </w:tc>
        <w:tc>
          <w:tcPr>
            <w:tcW w:w="3322"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349"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806" w:type="dxa"/>
            <w:tcBorders>
              <w:top w:val="nil"/>
              <w:left w:val="nil"/>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951" w:type="dxa"/>
            <w:tcBorders>
              <w:top w:val="nil"/>
              <w:left w:val="nil"/>
              <w:bottom w:val="single" w:color="auto" w:sz="4" w:space="0"/>
              <w:right w:val="single" w:color="auto" w:sz="8"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CellMar>
            <w:top w:w="0" w:type="dxa"/>
            <w:left w:w="108" w:type="dxa"/>
            <w:bottom w:w="0" w:type="dxa"/>
            <w:right w:w="108" w:type="dxa"/>
          </w:tblCellMar>
        </w:tblPrEx>
        <w:trPr>
          <w:trHeight w:val="450" w:hRule="atLeast"/>
          <w:jc w:val="center"/>
        </w:trPr>
        <w:tc>
          <w:tcPr>
            <w:tcW w:w="1503" w:type="dxa"/>
            <w:tcBorders>
              <w:top w:val="single" w:color="auto" w:sz="4" w:space="0"/>
              <w:left w:val="single" w:color="auto" w:sz="8" w:space="0"/>
              <w:bottom w:val="single" w:color="auto" w:sz="8" w:space="0"/>
              <w:right w:val="single" w:color="auto" w:sz="4" w:space="0"/>
            </w:tcBorders>
            <w:vAlign w:val="center"/>
          </w:tcPr>
          <w:p>
            <w:pPr>
              <w:widowControl/>
              <w:rPr>
                <w:rFonts w:ascii="Times New Roman" w:hAnsi="Times New Roman" w:eastAsia="仿宋_GB2312" w:cs="Times New Roman"/>
                <w:kern w:val="0"/>
                <w:highlight w:val="none"/>
              </w:rPr>
            </w:pPr>
          </w:p>
        </w:tc>
        <w:tc>
          <w:tcPr>
            <w:tcW w:w="3322"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2349"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806"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2951" w:type="dxa"/>
            <w:tcBorders>
              <w:top w:val="nil"/>
              <w:left w:val="nil"/>
              <w:bottom w:val="single" w:color="auto" w:sz="8" w:space="0"/>
              <w:right w:val="single" w:color="auto" w:sz="8"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CellMar>
            <w:top w:w="0" w:type="dxa"/>
            <w:left w:w="108" w:type="dxa"/>
            <w:bottom w:w="0" w:type="dxa"/>
            <w:right w:w="108" w:type="dxa"/>
          </w:tblCellMar>
        </w:tblPrEx>
        <w:trPr>
          <w:trHeight w:val="645" w:hRule="atLeast"/>
          <w:jc w:val="center"/>
        </w:trPr>
        <w:tc>
          <w:tcPr>
            <w:tcW w:w="12931" w:type="dxa"/>
            <w:gridSpan w:val="5"/>
            <w:tcBorders>
              <w:top w:val="nil"/>
              <w:left w:val="nil"/>
              <w:bottom w:val="nil"/>
              <w:right w:val="nil"/>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注：本表反映部门本年度一般公共预算财政拨款支出情况。</w:t>
            </w:r>
          </w:p>
        </w:tc>
      </w:tr>
    </w:tbl>
    <w:p>
      <w:pPr>
        <w:widowControl/>
        <w:jc w:val="left"/>
        <w:rPr>
          <w:rFonts w:ascii="Times New Roman" w:hAnsi="Times New Roman" w:eastAsia="仿宋_GB2312" w:cs="Times New Roman"/>
          <w:kern w:val="0"/>
          <w:highlight w:val="none"/>
        </w:rPr>
      </w:pPr>
    </w:p>
    <w:p>
      <w:pPr>
        <w:rPr>
          <w:highlight w:val="none"/>
        </w:rPr>
      </w:pPr>
      <w:r>
        <w:rPr>
          <w:rFonts w:ascii="Times New Roman" w:hAnsi="Times New Roman" w:eastAsia="仿宋_GB2312" w:cs="Times New Roman"/>
          <w:kern w:val="0"/>
          <w:highlight w:val="none"/>
        </w:rPr>
        <w:br w:type="page"/>
      </w:r>
    </w:p>
    <w:tbl>
      <w:tblPr>
        <w:tblStyle w:val="6"/>
        <w:tblW w:w="0" w:type="auto"/>
        <w:tblInd w:w="-106" w:type="dxa"/>
        <w:tblLayout w:type="fixed"/>
        <w:tblCellMar>
          <w:top w:w="0" w:type="dxa"/>
          <w:left w:w="108" w:type="dxa"/>
          <w:bottom w:w="0" w:type="dxa"/>
          <w:right w:w="108" w:type="dxa"/>
        </w:tblCellMar>
      </w:tblPr>
      <w:tblGrid>
        <w:gridCol w:w="915"/>
        <w:gridCol w:w="3174"/>
        <w:gridCol w:w="944"/>
        <w:gridCol w:w="873"/>
        <w:gridCol w:w="2369"/>
        <w:gridCol w:w="958"/>
        <w:gridCol w:w="873"/>
        <w:gridCol w:w="3829"/>
        <w:gridCol w:w="958"/>
      </w:tblGrid>
      <w:tr>
        <w:tblPrEx>
          <w:tblCellMar>
            <w:top w:w="0" w:type="dxa"/>
            <w:left w:w="108" w:type="dxa"/>
            <w:bottom w:w="0" w:type="dxa"/>
            <w:right w:w="108" w:type="dxa"/>
          </w:tblCellMar>
        </w:tblPrEx>
        <w:trPr>
          <w:trHeight w:val="113" w:hRule="atLeast"/>
        </w:trPr>
        <w:tc>
          <w:tcPr>
            <w:tcW w:w="14893" w:type="dxa"/>
            <w:gridSpan w:val="9"/>
            <w:tcBorders>
              <w:top w:val="nil"/>
              <w:left w:val="nil"/>
              <w:bottom w:val="nil"/>
              <w:right w:val="nil"/>
            </w:tcBorders>
            <w:noWrap/>
            <w:vAlign w:val="center"/>
          </w:tcPr>
          <w:p>
            <w:pPr>
              <w:widowControl/>
              <w:jc w:val="center"/>
              <w:rPr>
                <w:rFonts w:ascii="华文中宋" w:hAnsi="华文中宋" w:eastAsia="华文中宋" w:cs="Times New Roman"/>
                <w:color w:val="000000"/>
                <w:kern w:val="0"/>
                <w:highlight w:val="none"/>
              </w:rPr>
            </w:pPr>
            <w:bookmarkStart w:id="0" w:name="RANGE_A1_I34"/>
            <w:r>
              <w:rPr>
                <w:rFonts w:hint="eastAsia" w:ascii="华文中宋" w:hAnsi="华文中宋" w:eastAsia="华文中宋" w:cs="华文中宋"/>
                <w:color w:val="000000"/>
                <w:kern w:val="0"/>
                <w:highlight w:val="none"/>
              </w:rPr>
              <w:t>一般公共预算财政拨款基本支出决算表</w:t>
            </w:r>
            <w:bookmarkEnd w:id="0"/>
          </w:p>
          <w:p>
            <w:pPr>
              <w:widowControl/>
              <w:wordWrap w:val="0"/>
              <w:rPr>
                <w:rFonts w:ascii="Times New Roman" w:hAnsi="Times New Roman" w:eastAsia="仿宋_GB2312" w:cs="Times New Roman"/>
                <w:color w:val="000000"/>
                <w:kern w:val="0"/>
                <w:highlight w:val="none"/>
              </w:rPr>
            </w:pP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部门：湘潭县行政审批服务局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06</w:t>
            </w:r>
            <w:r>
              <w:rPr>
                <w:rFonts w:hint="eastAsia" w:ascii="Times New Roman" w:hAnsi="Times New Roman" w:eastAsia="仿宋_GB2312" w:cs="仿宋_GB2312"/>
                <w:color w:val="000000"/>
                <w:kern w:val="0"/>
                <w:highlight w:val="none"/>
              </w:rPr>
              <w:t>表</w:t>
            </w:r>
          </w:p>
          <w:p>
            <w:pPr>
              <w:widowControl/>
              <w:jc w:val="right"/>
              <w:rPr>
                <w:rFonts w:ascii="华文中宋" w:hAnsi="华文中宋" w:eastAsia="华文中宋" w:cs="Times New Roman"/>
                <w:color w:val="000000"/>
                <w:kern w:val="0"/>
                <w:highlight w:val="none"/>
              </w:rPr>
            </w:pPr>
            <w:r>
              <w:rPr>
                <w:rFonts w:hint="eastAsia" w:ascii="Times New Roman" w:hAnsi="Times New Roman" w:eastAsia="仿宋_GB2312" w:cs="仿宋_GB2312"/>
                <w:color w:val="000000"/>
                <w:kern w:val="0"/>
                <w:highlight w:val="none"/>
              </w:rPr>
              <w:t>单位：万元</w:t>
            </w:r>
          </w:p>
        </w:tc>
      </w:tr>
      <w:tr>
        <w:tblPrEx>
          <w:tblCellMar>
            <w:top w:w="0" w:type="dxa"/>
            <w:left w:w="108" w:type="dxa"/>
            <w:bottom w:w="0" w:type="dxa"/>
            <w:right w:w="108" w:type="dxa"/>
          </w:tblCellMar>
        </w:tblPrEx>
        <w:trPr>
          <w:trHeight w:val="920" w:hRule="atLeast"/>
        </w:trPr>
        <w:tc>
          <w:tcPr>
            <w:tcW w:w="91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sz w:val="20"/>
                <w:szCs w:val="20"/>
                <w:highlight w:val="none"/>
              </w:rPr>
              <w:t>经济分类科目编码</w:t>
            </w:r>
          </w:p>
        </w:tc>
        <w:tc>
          <w:tcPr>
            <w:tcW w:w="317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科目名称</w:t>
            </w:r>
          </w:p>
        </w:tc>
        <w:tc>
          <w:tcPr>
            <w:tcW w:w="94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决算数</w:t>
            </w:r>
          </w:p>
        </w:tc>
        <w:tc>
          <w:tcPr>
            <w:tcW w:w="87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经济分类科目编码</w:t>
            </w:r>
          </w:p>
        </w:tc>
        <w:tc>
          <w:tcPr>
            <w:tcW w:w="236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科目名称</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决算数</w:t>
            </w:r>
          </w:p>
        </w:tc>
        <w:tc>
          <w:tcPr>
            <w:tcW w:w="87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经济分类科目编码</w:t>
            </w:r>
          </w:p>
        </w:tc>
        <w:tc>
          <w:tcPr>
            <w:tcW w:w="38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科目名称</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决算数</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工资福利支出</w:t>
            </w:r>
          </w:p>
        </w:tc>
        <w:tc>
          <w:tcPr>
            <w:tcW w:w="944" w:type="dxa"/>
            <w:tcBorders>
              <w:top w:val="nil"/>
              <w:left w:val="nil"/>
              <w:bottom w:val="single" w:color="auto" w:sz="4" w:space="0"/>
              <w:right w:val="single" w:color="auto" w:sz="4" w:space="0"/>
            </w:tcBorders>
            <w:noWrap/>
            <w:vAlign w:val="center"/>
          </w:tcPr>
          <w:p>
            <w:pPr>
              <w:widowControl/>
              <w:jc w:val="left"/>
              <w:rPr>
                <w:rFonts w:ascii="宋体" w:hAnsi="Calibri" w:eastAsia="宋体" w:cs="Times New Roman"/>
                <w:color w:val="000000"/>
                <w:kern w:val="0"/>
                <w:sz w:val="21"/>
                <w:szCs w:val="21"/>
                <w:highlight w:val="none"/>
                <w:lang w:val="en-US" w:eastAsia="zh-CN" w:bidi="ar-SA"/>
              </w:rPr>
            </w:pPr>
            <w:r>
              <w:rPr>
                <w:rFonts w:hint="eastAsia" w:ascii="宋体" w:hAnsi="宋体" w:cs="宋体"/>
                <w:color w:val="000000"/>
                <w:kern w:val="0"/>
                <w:sz w:val="20"/>
                <w:szCs w:val="20"/>
                <w:highlight w:val="none"/>
              </w:rPr>
              <w:t>213.14</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商品和服务支出</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cs="Times New Roman"/>
                <w:color w:val="000000"/>
                <w:kern w:val="0"/>
                <w:highlight w:val="none"/>
              </w:rPr>
              <w:t>59.8</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307</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债务利息及费用支出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30101</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基本工资</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62.55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30201</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办公费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0.01</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30701</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国内债务付息</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30102</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津贴补贴</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1.33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30202</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印刷费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hAnsi="宋体" w:cs="宋体"/>
                <w:color w:val="000000"/>
                <w:kern w:val="0"/>
                <w:highlight w:val="none"/>
              </w:rPr>
              <w:t>0.19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30702</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国外债务付息</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30103</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奖金</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38.52</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30203</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咨询费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资本性支出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30106</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伙食补助费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15.12</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30204</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手续费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31001</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房屋建筑物购建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30107</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绩效工资</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24.96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30205</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水费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31002</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办公设备购置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30108</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机关事业单位基本养老保险缴费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19.42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30206</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电费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31003</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专用设备购置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30109</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职业年金缴费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3.21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30207</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邮电费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cs="Times New Roman"/>
                <w:color w:val="000000"/>
                <w:kern w:val="0"/>
                <w:highlight w:val="none"/>
              </w:rPr>
              <w:t>1.46</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31005</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基础设施建设</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30110</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职工基本医疗保险缴费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12.87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30208</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取暖费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31006</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大型修缮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30111</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公务员医疗补助缴费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2.84</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30209</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物业管理费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31007</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信息网络及软件购置更新</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30112</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其他社会保障缴费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0.93</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30211</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差旅费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hAnsi="宋体" w:cs="宋体"/>
                <w:color w:val="000000"/>
                <w:kern w:val="0"/>
                <w:highlight w:val="none"/>
              </w:rPr>
              <w:t>0.11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31008</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物资储备</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30113</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住房公积金</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31.39</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30212</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因公出国（境）费用</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31009</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土地补偿</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30114</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医疗费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30213</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维修（护）费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hAnsi="宋体" w:cs="宋体"/>
                <w:color w:val="000000"/>
                <w:kern w:val="0"/>
                <w:highlight w:val="none"/>
              </w:rPr>
              <w:t>0.08</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31010</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安置补助</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30199</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其他工资福利支出</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30214</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租赁费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31011</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地上附着物和青苗补偿</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对个人和家庭的补助</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30215</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会议费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31012</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拆迁补偿</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30301</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离休费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30216</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培训费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3.51</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31013</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公务用车购置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30302</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退休费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30217</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公务接待费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cs="Times New Roman"/>
                <w:color w:val="000000"/>
                <w:kern w:val="0"/>
                <w:highlight w:val="none"/>
              </w:rPr>
              <w:t>0.45</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31019</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其他交通工具购置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30303</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退职（役）费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30218</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专用材料费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31021</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文物和陈列品购置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30304</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抚恤金</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30224</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被装购置费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31022</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无形资产购置</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30305</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生活补助</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30225</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专用燃料费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31099</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其他资本性支出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30306</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救济费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30226</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劳务费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cs="Times New Roman"/>
                <w:color w:val="000000"/>
                <w:kern w:val="0"/>
                <w:highlight w:val="none"/>
              </w:rPr>
              <w:t>3.54</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399</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其他支出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30307</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医疗费补助</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30227</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委托业务费</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hAnsi="宋体" w:cs="宋体"/>
                <w:color w:val="000000"/>
                <w:kern w:val="0"/>
                <w:highlight w:val="none"/>
              </w:rPr>
              <w:t>0.32</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39906</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赠与</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30308</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助学金</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30228</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工会经费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27.8</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39907</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国家赔偿费用支出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30309</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奖励金</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30229</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福利费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2.29</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39908</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对民间非营利组织和群众性自治组织补贴</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30310</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个人农业生产补贴</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30231</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公务用车运行维护费</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39999</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其他支出</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30311</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代缴社会保险费</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30239</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其他交通费用</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10.32</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30399</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其他对个人和家庭的补助</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30240</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税金及附加费用</w:t>
            </w:r>
          </w:p>
        </w:tc>
        <w:tc>
          <w:tcPr>
            <w:tcW w:w="958" w:type="dxa"/>
            <w:tcBorders>
              <w:top w:val="nil"/>
              <w:left w:val="nil"/>
              <w:bottom w:val="single" w:color="auto" w:sz="4" w:space="0"/>
              <w:right w:val="single" w:color="auto" w:sz="4" w:space="0"/>
            </w:tcBorders>
            <w:noWrap/>
            <w:vAlign w:val="center"/>
          </w:tcPr>
          <w:p>
            <w:pPr>
              <w:widowControl/>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91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17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30299</w:t>
            </w:r>
          </w:p>
        </w:tc>
        <w:tc>
          <w:tcPr>
            <w:tcW w:w="236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ascii="宋体" w:hAnsi="宋体" w:cs="宋体"/>
                <w:color w:val="000000"/>
                <w:kern w:val="0"/>
                <w:highlight w:val="none"/>
              </w:rPr>
              <w:t xml:space="preserve">  </w:t>
            </w:r>
            <w:r>
              <w:rPr>
                <w:rFonts w:hint="eastAsia" w:ascii="宋体" w:hAnsi="宋体" w:cs="宋体"/>
                <w:color w:val="000000"/>
                <w:kern w:val="0"/>
                <w:highlight w:val="none"/>
              </w:rPr>
              <w:t>其他商品和服务支出</w:t>
            </w:r>
          </w:p>
        </w:tc>
        <w:tc>
          <w:tcPr>
            <w:tcW w:w="958" w:type="dxa"/>
            <w:tcBorders>
              <w:top w:val="nil"/>
              <w:left w:val="nil"/>
              <w:bottom w:val="single" w:color="auto" w:sz="4" w:space="0"/>
              <w:right w:val="single" w:color="auto" w:sz="4" w:space="0"/>
            </w:tcBorders>
            <w:noWrap/>
            <w:vAlign w:val="center"/>
          </w:tcPr>
          <w:p>
            <w:pPr>
              <w:widowControl/>
              <w:ind w:firstLine="210" w:firstLineChars="100"/>
              <w:rPr>
                <w:rFonts w:ascii="宋体" w:cs="Times New Roman"/>
                <w:color w:val="000000"/>
                <w:kern w:val="0"/>
                <w:highlight w:val="none"/>
              </w:rPr>
            </w:pPr>
            <w:r>
              <w:rPr>
                <w:rFonts w:hint="eastAsia" w:ascii="宋体" w:hAnsi="宋体" w:cs="宋体"/>
                <w:color w:val="000000"/>
                <w:kern w:val="0"/>
                <w:highlight w:val="none"/>
              </w:rPr>
              <w:t>9.72　</w:t>
            </w:r>
          </w:p>
        </w:tc>
        <w:tc>
          <w:tcPr>
            <w:tcW w:w="873"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382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　</w:t>
            </w:r>
          </w:p>
        </w:tc>
      </w:tr>
      <w:tr>
        <w:tblPrEx>
          <w:tblCellMar>
            <w:top w:w="0" w:type="dxa"/>
            <w:left w:w="108" w:type="dxa"/>
            <w:bottom w:w="0" w:type="dxa"/>
            <w:right w:w="108" w:type="dxa"/>
          </w:tblCellMar>
        </w:tblPrEx>
        <w:trPr>
          <w:trHeight w:val="284" w:hRule="exact"/>
        </w:trPr>
        <w:tc>
          <w:tcPr>
            <w:tcW w:w="4089"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人员经费合计</w:t>
            </w:r>
          </w:p>
        </w:tc>
        <w:tc>
          <w:tcPr>
            <w:tcW w:w="94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sz w:val="20"/>
                <w:szCs w:val="20"/>
                <w:highlight w:val="none"/>
              </w:rPr>
              <w:t>213.14</w:t>
            </w:r>
          </w:p>
        </w:tc>
        <w:tc>
          <w:tcPr>
            <w:tcW w:w="8902"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highlight w:val="none"/>
              </w:rPr>
            </w:pPr>
            <w:r>
              <w:rPr>
                <w:rFonts w:hint="eastAsia" w:ascii="宋体" w:hAnsi="宋体" w:cs="宋体"/>
                <w:color w:val="000000"/>
                <w:kern w:val="0"/>
                <w:highlight w:val="none"/>
              </w:rPr>
              <w:t>公用经费合计</w:t>
            </w:r>
          </w:p>
        </w:tc>
        <w:tc>
          <w:tcPr>
            <w:tcW w:w="958"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highlight w:val="none"/>
              </w:rPr>
            </w:pPr>
            <w:r>
              <w:rPr>
                <w:rFonts w:hint="eastAsia" w:ascii="宋体" w:cs="Times New Roman"/>
                <w:color w:val="000000"/>
                <w:kern w:val="0"/>
                <w:highlight w:val="none"/>
              </w:rPr>
              <w:t>59.8</w:t>
            </w:r>
          </w:p>
        </w:tc>
      </w:tr>
      <w:tr>
        <w:tblPrEx>
          <w:tblCellMar>
            <w:top w:w="0" w:type="dxa"/>
            <w:left w:w="108" w:type="dxa"/>
            <w:bottom w:w="0" w:type="dxa"/>
            <w:right w:w="108" w:type="dxa"/>
          </w:tblCellMar>
        </w:tblPrEx>
        <w:trPr>
          <w:trHeight w:val="284" w:hRule="exact"/>
        </w:trPr>
        <w:tc>
          <w:tcPr>
            <w:tcW w:w="14893" w:type="dxa"/>
            <w:gridSpan w:val="9"/>
            <w:tcBorders>
              <w:top w:val="nil"/>
              <w:left w:val="nil"/>
              <w:bottom w:val="nil"/>
              <w:right w:val="nil"/>
            </w:tcBorders>
            <w:noWrap/>
            <w:vAlign w:val="center"/>
          </w:tcPr>
          <w:p>
            <w:pPr>
              <w:widowControl/>
              <w:jc w:val="left"/>
              <w:rPr>
                <w:rFonts w:ascii="宋体" w:cs="Times New Roman"/>
                <w:color w:val="000000"/>
                <w:kern w:val="0"/>
                <w:highlight w:val="none"/>
              </w:rPr>
            </w:pPr>
            <w:r>
              <w:rPr>
                <w:rFonts w:hint="eastAsia" w:ascii="宋体" w:hAnsi="宋体" w:cs="宋体"/>
                <w:color w:val="000000"/>
                <w:kern w:val="0"/>
                <w:highlight w:val="none"/>
              </w:rPr>
              <w:t>注：本表反映部门本年度一般公共预算财政拨款基本支出明细情况。</w:t>
            </w:r>
          </w:p>
        </w:tc>
      </w:tr>
    </w:tbl>
    <w:p>
      <w:pPr>
        <w:widowControl/>
        <w:jc w:val="center"/>
        <w:rPr>
          <w:rFonts w:ascii="Times New Roman" w:hAnsi="Times New Roman" w:eastAsia="方正小标宋_GBK" w:cs="方正小标宋_GBK"/>
          <w:color w:val="000000"/>
          <w:kern w:val="0"/>
          <w:sz w:val="36"/>
          <w:szCs w:val="36"/>
          <w:highlight w:val="none"/>
        </w:rPr>
      </w:pPr>
    </w:p>
    <w:p>
      <w:pPr>
        <w:widowControl/>
        <w:jc w:val="center"/>
        <w:rPr>
          <w:rFonts w:ascii="Times New Roman" w:hAnsi="Times New Roman" w:eastAsia="方正小标宋_GBK" w:cs="方正小标宋_GBK"/>
          <w:color w:val="000000"/>
          <w:kern w:val="0"/>
          <w:sz w:val="36"/>
          <w:szCs w:val="36"/>
          <w:highlight w:val="none"/>
        </w:rPr>
      </w:pPr>
      <w:r>
        <w:rPr>
          <w:rFonts w:hint="eastAsia" w:ascii="Times New Roman" w:hAnsi="Times New Roman" w:eastAsia="方正小标宋_GBK" w:cs="方正小标宋_GBK"/>
          <w:color w:val="000000"/>
          <w:kern w:val="0"/>
          <w:sz w:val="36"/>
          <w:szCs w:val="36"/>
          <w:highlight w:val="none"/>
        </w:rPr>
        <w:t>一般公共预算财政拨款“三公”经费支出决算表</w:t>
      </w:r>
    </w:p>
    <w:p>
      <w:pPr>
        <w:widowControl/>
        <w:jc w:val="center"/>
        <w:rPr>
          <w:rFonts w:ascii="Times New Roman" w:hAnsi="Times New Roman" w:eastAsia="方正小标宋_GBK" w:cs="方正小标宋_GBK"/>
          <w:color w:val="000000"/>
          <w:kern w:val="0"/>
          <w:sz w:val="36"/>
          <w:szCs w:val="36"/>
          <w:highlight w:val="none"/>
        </w:rPr>
      </w:pPr>
    </w:p>
    <w:p>
      <w:pPr>
        <w:widowControl/>
        <w:ind w:left="13020" w:hanging="13020" w:hangingChars="6200"/>
        <w:jc w:val="left"/>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部门：湘潭县行政审批服务局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Times New Roman"/>
          <w:color w:val="000000"/>
          <w:kern w:val="0"/>
          <w:highlight w:val="none"/>
        </w:rPr>
        <w:t xml:space="preserve"> </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Times New Roman"/>
          <w:color w:val="000000"/>
          <w:kern w:val="0"/>
          <w:highlight w:val="none"/>
        </w:rPr>
        <w:t xml:space="preserve"> </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07</w:t>
      </w:r>
      <w:r>
        <w:rPr>
          <w:rFonts w:hint="eastAsia" w:ascii="Times New Roman" w:hAnsi="Times New Roman" w:eastAsia="仿宋_GB2312" w:cs="仿宋_GB2312"/>
          <w:color w:val="000000"/>
          <w:kern w:val="0"/>
          <w:highlight w:val="none"/>
        </w:rPr>
        <w:t>表</w:t>
      </w:r>
    </w:p>
    <w:p>
      <w:pPr>
        <w:widowControl/>
        <w:ind w:right="420" w:firstLine="13020" w:firstLineChars="6200"/>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w:t>
            </w:r>
          </w:p>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w:t>
            </w:r>
          </w:p>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w:t>
            </w:r>
            <w:r>
              <w:rPr>
                <w:rFonts w:ascii="Times New Roman" w:hAnsi="Times New Roman" w:eastAsia="仿宋_GB2312" w:cs="Times New Roman"/>
                <w:kern w:val="0"/>
                <w:highlight w:val="none"/>
              </w:rPr>
              <w:br w:type="textWrapping"/>
            </w:r>
            <w:r>
              <w:rPr>
                <w:rFonts w:hint="eastAsia" w:ascii="Times New Roman" w:hAnsi="Times New Roman" w:eastAsia="仿宋_GB2312" w:cs="仿宋_GB2312"/>
                <w:kern w:val="0"/>
                <w:highlight w:val="none"/>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w:t>
            </w:r>
            <w:r>
              <w:rPr>
                <w:rFonts w:ascii="Times New Roman" w:hAnsi="Times New Roman" w:eastAsia="仿宋_GB2312" w:cs="Times New Roman"/>
                <w:kern w:val="0"/>
                <w:highlight w:val="none"/>
              </w:rPr>
              <w:br w:type="textWrapping"/>
            </w:r>
            <w:r>
              <w:rPr>
                <w:rFonts w:hint="eastAsia" w:ascii="Times New Roman" w:hAnsi="Times New Roman" w:eastAsia="仿宋_GB2312" w:cs="仿宋_GB2312"/>
                <w:kern w:val="0"/>
                <w:highlight w:val="none"/>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highlight w:val="none"/>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w:t>
            </w:r>
            <w:r>
              <w:rPr>
                <w:rFonts w:ascii="Times New Roman" w:hAnsi="Times New Roman" w:eastAsia="仿宋_GB2312" w:cs="Times New Roman"/>
                <w:kern w:val="0"/>
                <w:highlight w:val="none"/>
              </w:rPr>
              <w:br w:type="textWrapping"/>
            </w:r>
            <w:r>
              <w:rPr>
                <w:rFonts w:hint="eastAsia" w:ascii="Times New Roman" w:hAnsi="Times New Roman" w:eastAsia="仿宋_GB2312" w:cs="仿宋_GB2312"/>
                <w:kern w:val="0"/>
                <w:highlight w:val="none"/>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公务用车</w:t>
            </w:r>
            <w:r>
              <w:rPr>
                <w:rFonts w:ascii="Times New Roman" w:hAnsi="Times New Roman" w:eastAsia="仿宋_GB2312" w:cs="Times New Roman"/>
                <w:kern w:val="0"/>
                <w:highlight w:val="none"/>
              </w:rPr>
              <w:br w:type="textWrapping"/>
            </w:r>
            <w:r>
              <w:rPr>
                <w:rFonts w:hint="eastAsia" w:ascii="Times New Roman" w:hAnsi="Times New Roman" w:eastAsia="仿宋_GB2312" w:cs="仿宋_GB2312"/>
                <w:kern w:val="0"/>
                <w:highlight w:val="none"/>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highlight w:val="none"/>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5</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0.71</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220" w:type="dxa"/>
            <w:tcBorders>
              <w:top w:val="nil"/>
              <w:left w:val="nil"/>
              <w:bottom w:val="single" w:color="auto" w:sz="8" w:space="0"/>
              <w:right w:val="nil"/>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xml:space="preserve">　 </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0.71</w:t>
            </w:r>
          </w:p>
        </w:tc>
      </w:tr>
    </w:tbl>
    <w:p>
      <w:pPr>
        <w:rPr>
          <w:rFonts w:ascii="宋体" w:cs="宋体"/>
          <w:kern w:val="0"/>
          <w:sz w:val="24"/>
          <w:szCs w:val="24"/>
          <w:highlight w:val="none"/>
        </w:rPr>
      </w:pPr>
      <w:r>
        <w:rPr>
          <w:rFonts w:hint="eastAsia" w:ascii="宋体" w:cs="宋体"/>
          <w:kern w:val="0"/>
          <w:sz w:val="24"/>
          <w:szCs w:val="24"/>
          <w:highlight w:val="none"/>
        </w:rPr>
        <w:t>注：本表反映部门本年度“三公”经费支出预决算情况。其中，预算数为“三公”经费全年预算数，反映按规定程序调整后的预算数；决算数是包括当年一般公共预算财政拨款和以前年度结转资金安排的实际支出。</w:t>
      </w: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rPr>
          <w:rFonts w:ascii="宋体" w:cs="宋体"/>
          <w:kern w:val="0"/>
          <w:sz w:val="24"/>
          <w:szCs w:val="24"/>
          <w:highlight w:val="none"/>
        </w:rPr>
      </w:pPr>
    </w:p>
    <w:p>
      <w:pPr>
        <w:widowControl/>
        <w:jc w:val="left"/>
        <w:rPr>
          <w:rFonts w:ascii="宋体" w:cs="Times New Roman"/>
          <w:kern w:val="0"/>
          <w:sz w:val="24"/>
          <w:szCs w:val="24"/>
          <w:highlight w:val="none"/>
        </w:rPr>
      </w:pPr>
    </w:p>
    <w:p>
      <w:pPr>
        <w:autoSpaceDE w:val="0"/>
        <w:autoSpaceDN w:val="0"/>
        <w:adjustRightInd w:val="0"/>
        <w:ind w:left="315" w:leftChars="150"/>
        <w:jc w:val="left"/>
        <w:rPr>
          <w:rFonts w:ascii="宋体" w:cs="Times New Roman"/>
          <w:kern w:val="0"/>
          <w:sz w:val="24"/>
          <w:szCs w:val="24"/>
          <w:highlight w:val="none"/>
        </w:rPr>
      </w:pPr>
    </w:p>
    <w:p>
      <w:pPr>
        <w:widowControl/>
        <w:jc w:val="center"/>
        <w:rPr>
          <w:rFonts w:ascii="Times New Roman" w:hAnsi="Times New Roman" w:eastAsia="方正小标宋_GBK" w:cs="Times New Roman"/>
          <w:kern w:val="0"/>
          <w:sz w:val="36"/>
          <w:szCs w:val="36"/>
          <w:highlight w:val="none"/>
        </w:rPr>
      </w:pPr>
      <w:r>
        <w:rPr>
          <w:rFonts w:hint="eastAsia" w:ascii="Times New Roman" w:hAnsi="Times New Roman" w:eastAsia="方正小标宋_GBK" w:cs="方正小标宋_GBK"/>
          <w:kern w:val="0"/>
          <w:sz w:val="36"/>
          <w:szCs w:val="36"/>
          <w:highlight w:val="none"/>
        </w:rPr>
        <w:t>政府性基金预算财政拨款收入支出决算表</w:t>
      </w:r>
    </w:p>
    <w:p>
      <w:pPr>
        <w:widowControl/>
        <w:wordWrap w:val="0"/>
        <w:ind w:firstLine="420" w:firstLineChars="200"/>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部门：湘潭县行政审批服务局</w:t>
      </w:r>
      <w:r>
        <w:rPr>
          <w:rFonts w:ascii="Times New Roman" w:hAnsi="Times New Roman" w:eastAsia="仿宋_GB2312" w:cs="Times New Roman"/>
          <w:color w:val="000000"/>
          <w:kern w:val="0"/>
          <w:highlight w:val="none"/>
        </w:rPr>
        <w:t xml:space="preserve">                                                                                                 </w:t>
      </w:r>
      <w:r>
        <w:rPr>
          <w:rFonts w:hint="eastAsia" w:ascii="Times New Roman" w:hAnsi="Times New Roman" w:eastAsia="仿宋_GB2312" w:cs="仿宋_GB2312"/>
          <w:color w:val="000000"/>
          <w:kern w:val="0"/>
          <w:highlight w:val="none"/>
        </w:rPr>
        <w:t>公开</w:t>
      </w:r>
      <w:r>
        <w:rPr>
          <w:rFonts w:ascii="Times New Roman" w:hAnsi="Times New Roman" w:eastAsia="仿宋_GB2312" w:cs="Times New Roman"/>
          <w:color w:val="000000"/>
          <w:kern w:val="0"/>
          <w:highlight w:val="none"/>
        </w:rPr>
        <w:t>08</w:t>
      </w:r>
      <w:r>
        <w:rPr>
          <w:rFonts w:hint="eastAsia" w:ascii="Times New Roman" w:hAnsi="Times New Roman" w:eastAsia="仿宋_GB2312" w:cs="仿宋_GB2312"/>
          <w:color w:val="000000"/>
          <w:kern w:val="0"/>
          <w:highlight w:val="none"/>
        </w:rPr>
        <w:t>表</w:t>
      </w:r>
    </w:p>
    <w:p>
      <w:pPr>
        <w:widowControl/>
        <w:jc w:val="center"/>
        <w:rPr>
          <w:rFonts w:ascii="Times New Roman" w:hAnsi="Times New Roman" w:eastAsia="仿宋_GB2312" w:cs="Times New Roman"/>
          <w:color w:val="000000"/>
          <w:kern w:val="0"/>
          <w:highlight w:val="none"/>
        </w:rPr>
      </w:pPr>
      <w:r>
        <w:rPr>
          <w:rFonts w:hint="eastAsia" w:ascii="Times New Roman" w:hAnsi="Times New Roman" w:eastAsia="仿宋_GB2312" w:cs="仿宋_GB2312"/>
          <w:color w:val="000000"/>
          <w:kern w:val="0"/>
          <w:highlight w:val="none"/>
        </w:rPr>
        <w:t xml:space="preserve">                                                                                                                     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w:t>
            </w:r>
            <w:r>
              <w:rPr>
                <w:rFonts w:ascii="Times New Roman" w:hAnsi="Times New Roman" w:eastAsia="仿宋_GB2312" w:cs="Times New Roman"/>
                <w:b/>
                <w:bCs/>
                <w:kern w:val="0"/>
                <w:highlight w:val="none"/>
              </w:rPr>
              <w:t xml:space="preserve"> </w:t>
            </w:r>
            <w:r>
              <w:rPr>
                <w:rFonts w:ascii="Times New Roman" w:hAnsi="Times New Roman" w:eastAsia="仿宋_GB2312" w:cs="Times New Roman"/>
                <w:b/>
                <w:bCs/>
                <w:color w:val="000000"/>
                <w:kern w:val="0"/>
                <w:highlight w:val="none"/>
              </w:rPr>
              <w:t xml:space="preserve">   </w:t>
            </w:r>
            <w:r>
              <w:rPr>
                <w:rFonts w:hint="eastAsia" w:ascii="Times New Roman" w:hAnsi="Times New Roman" w:eastAsia="仿宋_GB2312" w:cs="仿宋_GB2312"/>
                <w:b/>
                <w:bCs/>
                <w:kern w:val="0"/>
                <w:highlight w:val="none"/>
              </w:rPr>
              <w:t>目</w:t>
            </w:r>
          </w:p>
        </w:tc>
        <w:tc>
          <w:tcPr>
            <w:tcW w:w="200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年初结转和结余</w:t>
            </w:r>
          </w:p>
        </w:tc>
        <w:tc>
          <w:tcPr>
            <w:tcW w:w="200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本年收入</w:t>
            </w:r>
          </w:p>
        </w:tc>
        <w:tc>
          <w:tcPr>
            <w:tcW w:w="6000" w:type="dxa"/>
            <w:gridSpan w:val="3"/>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本年支出</w:t>
            </w:r>
          </w:p>
        </w:tc>
        <w:tc>
          <w:tcPr>
            <w:tcW w:w="200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功能分类科目编码</w:t>
            </w:r>
          </w:p>
        </w:tc>
        <w:tc>
          <w:tcPr>
            <w:tcW w:w="132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科目名称</w:t>
            </w:r>
          </w:p>
        </w:tc>
        <w:tc>
          <w:tcPr>
            <w:tcW w:w="2000" w:type="dxa"/>
            <w:vMerge w:val="continue"/>
            <w:vAlign w:val="center"/>
          </w:tcPr>
          <w:p>
            <w:pPr>
              <w:widowControl/>
              <w:jc w:val="left"/>
              <w:rPr>
                <w:rFonts w:ascii="Times New Roman" w:hAnsi="Times New Roman" w:eastAsia="仿宋_GB2312" w:cs="Times New Roman"/>
                <w:b/>
                <w:bCs/>
                <w:kern w:val="0"/>
                <w:highlight w:val="none"/>
              </w:rPr>
            </w:pPr>
          </w:p>
        </w:tc>
        <w:tc>
          <w:tcPr>
            <w:tcW w:w="2000" w:type="dxa"/>
            <w:vMerge w:val="continue"/>
            <w:vAlign w:val="center"/>
          </w:tcPr>
          <w:p>
            <w:pPr>
              <w:widowControl/>
              <w:jc w:val="left"/>
              <w:rPr>
                <w:rFonts w:ascii="Times New Roman" w:hAnsi="Times New Roman" w:eastAsia="仿宋_GB2312" w:cs="Times New Roman"/>
                <w:b/>
                <w:bCs/>
                <w:kern w:val="0"/>
                <w:highlight w:val="none"/>
              </w:rPr>
            </w:pPr>
          </w:p>
        </w:tc>
        <w:tc>
          <w:tcPr>
            <w:tcW w:w="200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小计</w:t>
            </w:r>
          </w:p>
        </w:tc>
        <w:tc>
          <w:tcPr>
            <w:tcW w:w="200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基本支出</w:t>
            </w:r>
            <w:r>
              <w:rPr>
                <w:rFonts w:ascii="Times New Roman" w:hAnsi="Times New Roman" w:eastAsia="仿宋_GB2312" w:cs="Times New Roman"/>
                <w:b/>
                <w:bCs/>
                <w:kern w:val="0"/>
                <w:highlight w:val="none"/>
              </w:rPr>
              <w:t xml:space="preserve">  </w:t>
            </w:r>
          </w:p>
        </w:tc>
        <w:tc>
          <w:tcPr>
            <w:tcW w:w="2000" w:type="dxa"/>
            <w:vMerge w:val="restart"/>
            <w:vAlign w:val="center"/>
          </w:tcPr>
          <w:p>
            <w:pPr>
              <w:widowControl/>
              <w:jc w:val="center"/>
              <w:rPr>
                <w:rFonts w:ascii="Times New Roman" w:hAnsi="Times New Roman" w:eastAsia="仿宋_GB2312" w:cs="Times New Roman"/>
                <w:b/>
                <w:bCs/>
                <w:kern w:val="0"/>
                <w:highlight w:val="none"/>
              </w:rPr>
            </w:pPr>
            <w:r>
              <w:rPr>
                <w:rFonts w:hint="eastAsia" w:ascii="Times New Roman" w:hAnsi="Times New Roman" w:eastAsia="仿宋_GB2312" w:cs="仿宋_GB2312"/>
                <w:b/>
                <w:bCs/>
                <w:kern w:val="0"/>
                <w:highlight w:val="none"/>
              </w:rPr>
              <w:t>项目支出</w:t>
            </w:r>
          </w:p>
        </w:tc>
        <w:tc>
          <w:tcPr>
            <w:tcW w:w="2000" w:type="dxa"/>
            <w:vMerge w:val="continue"/>
            <w:vAlign w:val="center"/>
          </w:tcPr>
          <w:p>
            <w:pPr>
              <w:widowControl/>
              <w:jc w:val="left"/>
              <w:rPr>
                <w:rFonts w:ascii="Times New Roman" w:hAnsi="Times New Roman" w:eastAsia="仿宋_GB2312" w:cs="Times New Roman"/>
                <w:b/>
                <w:bCs/>
                <w:kern w:val="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highlight w:val="none"/>
              </w:rPr>
            </w:pPr>
          </w:p>
        </w:tc>
        <w:tc>
          <w:tcPr>
            <w:tcW w:w="132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highlight w:val="none"/>
              </w:rPr>
            </w:pPr>
          </w:p>
        </w:tc>
        <w:tc>
          <w:tcPr>
            <w:tcW w:w="132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c>
          <w:tcPr>
            <w:tcW w:w="2000" w:type="dxa"/>
            <w:vMerge w:val="continue"/>
            <w:vAlign w:val="center"/>
          </w:tcPr>
          <w:p>
            <w:pPr>
              <w:widowControl/>
              <w:jc w:val="left"/>
              <w:rPr>
                <w:rFonts w:ascii="Times New Roman" w:hAnsi="Times New Roman" w:eastAsia="仿宋_GB2312" w:cs="Times New Roman"/>
                <w:kern w:val="0"/>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栏次</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1</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2</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3</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4</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5</w:t>
            </w:r>
          </w:p>
        </w:tc>
        <w:tc>
          <w:tcPr>
            <w:tcW w:w="2000" w:type="dxa"/>
            <w:vAlign w:val="center"/>
          </w:tcPr>
          <w:p>
            <w:pPr>
              <w:widowControl/>
              <w:jc w:val="center"/>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合计</w:t>
            </w:r>
          </w:p>
        </w:tc>
        <w:tc>
          <w:tcPr>
            <w:tcW w:w="200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lang w:val="en-US" w:eastAsia="zh-CN"/>
              </w:rPr>
              <w:t>0</w:t>
            </w:r>
            <w:r>
              <w:rPr>
                <w:rFonts w:hint="eastAsia" w:ascii="Times New Roman" w:hAnsi="Times New Roman" w:eastAsia="仿宋_GB2312" w:cs="仿宋_GB2312"/>
                <w:kern w:val="0"/>
                <w:highlight w:val="none"/>
              </w:rPr>
              <w:t>　</w:t>
            </w:r>
          </w:p>
        </w:tc>
        <w:tc>
          <w:tcPr>
            <w:tcW w:w="200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lang w:val="en-US" w:eastAsia="zh-CN"/>
              </w:rPr>
              <w:t>0</w:t>
            </w:r>
            <w:r>
              <w:rPr>
                <w:rFonts w:hint="eastAsia" w:ascii="Times New Roman" w:hAnsi="Times New Roman" w:eastAsia="仿宋_GB2312" w:cs="仿宋_GB2312"/>
                <w:kern w:val="0"/>
                <w:highlight w:val="none"/>
              </w:rPr>
              <w:t>　</w:t>
            </w:r>
          </w:p>
        </w:tc>
        <w:tc>
          <w:tcPr>
            <w:tcW w:w="200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r>
              <w:rPr>
                <w:rFonts w:hint="eastAsia" w:ascii="Times New Roman" w:hAnsi="Times New Roman" w:eastAsia="仿宋_GB2312" w:cs="仿宋_GB2312"/>
                <w:kern w:val="0"/>
                <w:highlight w:val="none"/>
                <w:lang w:val="en-US" w:eastAsia="zh-CN"/>
              </w:rPr>
              <w:t>0</w:t>
            </w:r>
          </w:p>
        </w:tc>
        <w:tc>
          <w:tcPr>
            <w:tcW w:w="200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lang w:val="en-US" w:eastAsia="zh-CN"/>
              </w:rPr>
              <w:t>0</w:t>
            </w:r>
            <w:r>
              <w:rPr>
                <w:rFonts w:hint="eastAsia" w:ascii="Times New Roman" w:hAnsi="Times New Roman" w:eastAsia="仿宋_GB2312" w:cs="仿宋_GB2312"/>
                <w:kern w:val="0"/>
                <w:highlight w:val="none"/>
              </w:rPr>
              <w:t>　</w:t>
            </w:r>
          </w:p>
        </w:tc>
        <w:tc>
          <w:tcPr>
            <w:tcW w:w="200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lang w:val="en-US" w:eastAsia="zh-CN"/>
              </w:rPr>
              <w:t>0</w:t>
            </w:r>
            <w:r>
              <w:rPr>
                <w:rFonts w:hint="eastAsia" w:ascii="Times New Roman" w:hAnsi="Times New Roman" w:eastAsia="仿宋_GB2312" w:cs="仿宋_GB2312"/>
                <w:kern w:val="0"/>
                <w:highlight w:val="none"/>
              </w:rPr>
              <w:t>　</w:t>
            </w:r>
          </w:p>
        </w:tc>
        <w:tc>
          <w:tcPr>
            <w:tcW w:w="200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lang w:val="en-US" w:eastAsia="zh-CN"/>
              </w:rPr>
              <w:t>0</w:t>
            </w:r>
            <w:r>
              <w:rPr>
                <w:rFonts w:hint="eastAsia" w:ascii="Times New Roman" w:hAnsi="Times New Roman" w:eastAsia="仿宋_GB2312" w:cs="仿宋_GB2312"/>
                <w:kern w:val="0"/>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32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32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32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32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32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132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c>
          <w:tcPr>
            <w:tcW w:w="2000" w:type="dxa"/>
            <w:vAlign w:val="center"/>
          </w:tcPr>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　</w:t>
            </w:r>
          </w:p>
        </w:tc>
      </w:tr>
    </w:tbl>
    <w:p>
      <w:pPr>
        <w:widowControl/>
        <w:jc w:val="left"/>
        <w:rPr>
          <w:rFonts w:ascii="Times New Roman" w:hAnsi="Times New Roman" w:eastAsia="仿宋_GB2312" w:cs="Times New Roman"/>
          <w:kern w:val="0"/>
          <w:highlight w:val="none"/>
        </w:rPr>
      </w:pPr>
      <w:r>
        <w:rPr>
          <w:rFonts w:hint="eastAsia" w:ascii="Times New Roman" w:hAnsi="Times New Roman" w:eastAsia="仿宋_GB2312" w:cs="仿宋_GB2312"/>
          <w:kern w:val="0"/>
          <w:highlight w:val="none"/>
        </w:rPr>
        <w:t>注：本表反映部门本年度政府性基金预算财政拨款收入、支出及结转和结余情况</w:t>
      </w:r>
    </w:p>
    <w:p>
      <w:pPr>
        <w:widowControl/>
        <w:jc w:val="left"/>
        <w:rPr>
          <w:rFonts w:ascii="Times New Roman" w:hAnsi="Times New Roman" w:eastAsia="仿宋_GB2312" w:cs="Times New Roman"/>
          <w:kern w:val="0"/>
          <w:highlight w:val="none"/>
        </w:rPr>
      </w:pPr>
      <w:r>
        <w:rPr>
          <w:rFonts w:ascii="Times New Roman" w:hAnsi="Times New Roman" w:eastAsia="仿宋_GB2312" w:cs="Times New Roman"/>
          <w:kern w:val="0"/>
          <w:highlight w:val="none"/>
        </w:rPr>
        <w:t>(</w:t>
      </w:r>
      <w:r>
        <w:rPr>
          <w:rFonts w:hint="eastAsia" w:ascii="Times New Roman" w:hAnsi="Times New Roman" w:eastAsia="仿宋_GB2312" w:cs="仿宋_GB2312"/>
          <w:kern w:val="0"/>
          <w:highlight w:val="none"/>
        </w:rPr>
        <w:t>说明：本单位没有政府性基金收入，也没有使用政府性基金安排的支出，故本表无数据</w:t>
      </w:r>
      <w:r>
        <w:rPr>
          <w:rFonts w:ascii="Times New Roman" w:hAnsi="Times New Roman" w:eastAsia="仿宋_GB2312" w:cs="Times New Roman"/>
          <w:kern w:val="0"/>
          <w:highlight w:val="none"/>
        </w:rPr>
        <w:t>)</w:t>
      </w:r>
      <w:r>
        <w:rPr>
          <w:rFonts w:hint="eastAsia" w:ascii="Times New Roman" w:hAnsi="Times New Roman" w:eastAsia="仿宋_GB2312" w:cs="仿宋_GB2312"/>
          <w:kern w:val="0"/>
          <w:highlight w:val="none"/>
        </w:rPr>
        <w:t>。</w:t>
      </w:r>
    </w:p>
    <w:p>
      <w:pPr>
        <w:rPr>
          <w:rFonts w:ascii="宋体" w:cs="Times New Roman"/>
          <w:kern w:val="0"/>
          <w:sz w:val="24"/>
          <w:szCs w:val="24"/>
          <w:highlight w:val="none"/>
        </w:rPr>
      </w:pPr>
      <w:r>
        <w:rPr>
          <w:rFonts w:ascii="黑体" w:hAnsi="黑体" w:eastAsia="黑体" w:cs="Times New Roman"/>
          <w:highlight w:val="none"/>
        </w:rPr>
        <w:br w:type="page"/>
      </w:r>
    </w:p>
    <w:tbl>
      <w:tblPr>
        <w:tblStyle w:val="6"/>
        <w:tblW w:w="14280" w:type="dxa"/>
        <w:tblInd w:w="-106" w:type="dxa"/>
        <w:tblLayout w:type="autofit"/>
        <w:tblCellMar>
          <w:top w:w="0" w:type="dxa"/>
          <w:left w:w="108" w:type="dxa"/>
          <w:bottom w:w="0" w:type="dxa"/>
          <w:right w:w="108" w:type="dxa"/>
        </w:tblCellMar>
      </w:tblPr>
      <w:tblGrid>
        <w:gridCol w:w="1066"/>
        <w:gridCol w:w="563"/>
        <w:gridCol w:w="1097"/>
        <w:gridCol w:w="2138"/>
        <w:gridCol w:w="1232"/>
        <w:gridCol w:w="1335"/>
        <w:gridCol w:w="1301"/>
        <w:gridCol w:w="1694"/>
        <w:gridCol w:w="3854"/>
      </w:tblGrid>
      <w:tr>
        <w:trPr>
          <w:trHeight w:val="1317" w:hRule="atLeast"/>
        </w:trPr>
        <w:tc>
          <w:tcPr>
            <w:tcW w:w="1428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华文中宋"/>
                <w:kern w:val="0"/>
                <w:sz w:val="32"/>
                <w:szCs w:val="32"/>
                <w:highlight w:val="none"/>
              </w:rPr>
            </w:pPr>
          </w:p>
          <w:p>
            <w:pPr>
              <w:widowControl/>
              <w:jc w:val="center"/>
              <w:rPr>
                <w:rFonts w:ascii="华文中宋" w:hAnsi="华文中宋" w:eastAsia="华文中宋" w:cs="Times New Roman"/>
                <w:kern w:val="0"/>
                <w:sz w:val="32"/>
                <w:szCs w:val="32"/>
                <w:highlight w:val="none"/>
              </w:rPr>
            </w:pPr>
            <w:r>
              <w:rPr>
                <w:rFonts w:hint="eastAsia" w:ascii="华文中宋" w:hAnsi="华文中宋" w:eastAsia="华文中宋" w:cs="华文中宋"/>
                <w:kern w:val="0"/>
                <w:sz w:val="32"/>
                <w:szCs w:val="32"/>
                <w:highlight w:val="none"/>
              </w:rPr>
              <w:t>国有资本经营预算财政拨款支出决算表</w:t>
            </w:r>
          </w:p>
        </w:tc>
      </w:tr>
      <w:tr>
        <w:tblPrEx>
          <w:tblCellMar>
            <w:top w:w="0" w:type="dxa"/>
            <w:left w:w="108" w:type="dxa"/>
            <w:bottom w:w="0" w:type="dxa"/>
            <w:right w:w="108" w:type="dxa"/>
          </w:tblCellMar>
        </w:tblPrEx>
        <w:trPr>
          <w:trHeight w:val="329" w:hRule="atLeast"/>
        </w:trPr>
        <w:tc>
          <w:tcPr>
            <w:tcW w:w="1066" w:type="dxa"/>
            <w:tcBorders>
              <w:top w:val="nil"/>
              <w:left w:val="nil"/>
              <w:bottom w:val="nil"/>
              <w:right w:val="nil"/>
            </w:tcBorders>
            <w:shd w:val="clear" w:color="000000" w:fill="FFFFFF"/>
            <w:vAlign w:val="center"/>
          </w:tcPr>
          <w:p>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563" w:type="dxa"/>
            <w:tcBorders>
              <w:top w:val="nil"/>
              <w:left w:val="nil"/>
              <w:bottom w:val="nil"/>
              <w:right w:val="nil"/>
            </w:tcBorders>
            <w:shd w:val="clear" w:color="000000" w:fill="FFFFFF"/>
            <w:vAlign w:val="center"/>
          </w:tcPr>
          <w:p>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323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1232" w:type="dxa"/>
            <w:tcBorders>
              <w:top w:val="nil"/>
              <w:left w:val="nil"/>
              <w:bottom w:val="nil"/>
              <w:right w:val="nil"/>
            </w:tcBorders>
            <w:shd w:val="clear" w:color="000000" w:fill="FFFFFF"/>
            <w:vAlign w:val="center"/>
          </w:tcPr>
          <w:p>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636"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5548"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公开</w:t>
            </w:r>
            <w:r>
              <w:rPr>
                <w:rFonts w:ascii="宋体" w:hAnsi="宋体" w:cs="宋体"/>
                <w:color w:val="000000"/>
                <w:kern w:val="0"/>
                <w:sz w:val="20"/>
                <w:szCs w:val="20"/>
                <w:highlight w:val="none"/>
              </w:rPr>
              <w:t>09</w:t>
            </w:r>
            <w:r>
              <w:rPr>
                <w:rFonts w:hint="eastAsia" w:ascii="宋体" w:hAnsi="宋体" w:cs="宋体"/>
                <w:color w:val="000000"/>
                <w:kern w:val="0"/>
                <w:sz w:val="20"/>
                <w:szCs w:val="20"/>
                <w:highlight w:val="none"/>
              </w:rPr>
              <w:t>表</w:t>
            </w:r>
          </w:p>
        </w:tc>
      </w:tr>
      <w:tr>
        <w:trPr>
          <w:trHeight w:val="329" w:hRule="atLeast"/>
        </w:trPr>
        <w:tc>
          <w:tcPr>
            <w:tcW w:w="106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highlight w:val="none"/>
              </w:rPr>
            </w:pPr>
            <w:r>
              <w:rPr>
                <w:rFonts w:hint="eastAsia" w:ascii="宋体" w:hAnsi="宋体" w:cs="宋体"/>
                <w:color w:val="000000"/>
                <w:kern w:val="0"/>
                <w:sz w:val="20"/>
                <w:szCs w:val="20"/>
                <w:highlight w:val="none"/>
              </w:rPr>
              <w:t>部门：</w:t>
            </w:r>
          </w:p>
        </w:tc>
        <w:tc>
          <w:tcPr>
            <w:tcW w:w="563" w:type="dxa"/>
            <w:tcBorders>
              <w:top w:val="nil"/>
              <w:left w:val="nil"/>
              <w:bottom w:val="nil"/>
              <w:right w:val="nil"/>
            </w:tcBorders>
            <w:shd w:val="clear" w:color="000000" w:fill="FFFFFF"/>
            <w:vAlign w:val="center"/>
          </w:tcPr>
          <w:p>
            <w:pPr>
              <w:widowControl/>
              <w:jc w:val="center"/>
              <w:rPr>
                <w:rFonts w:ascii="宋体" w:cs="Times New Roman"/>
                <w:kern w:val="0"/>
                <w:sz w:val="20"/>
                <w:szCs w:val="20"/>
                <w:highlight w:val="none"/>
              </w:rPr>
            </w:pPr>
            <w:r>
              <w:rPr>
                <w:rFonts w:hint="eastAsia" w:ascii="宋体" w:hAnsi="宋体" w:cs="宋体"/>
                <w:kern w:val="0"/>
                <w:sz w:val="20"/>
                <w:szCs w:val="20"/>
                <w:highlight w:val="none"/>
              </w:rPr>
              <w:t>　</w:t>
            </w:r>
          </w:p>
        </w:tc>
        <w:tc>
          <w:tcPr>
            <w:tcW w:w="3235" w:type="dxa"/>
            <w:gridSpan w:val="2"/>
            <w:tcBorders>
              <w:top w:val="nil"/>
              <w:left w:val="nil"/>
              <w:bottom w:val="nil"/>
              <w:right w:val="nil"/>
            </w:tcBorders>
            <w:shd w:val="clear" w:color="000000" w:fill="FFFFFF"/>
            <w:vAlign w:val="center"/>
          </w:tcPr>
          <w:p>
            <w:pPr>
              <w:widowControl/>
              <w:rPr>
                <w:rFonts w:ascii="宋体" w:cs="Times New Roman"/>
                <w:kern w:val="0"/>
                <w:sz w:val="20"/>
                <w:szCs w:val="20"/>
                <w:highlight w:val="none"/>
              </w:rPr>
            </w:pPr>
            <w:r>
              <w:rPr>
                <w:rFonts w:hint="eastAsia" w:ascii="宋体" w:hAnsi="宋体" w:cs="宋体"/>
                <w:kern w:val="0"/>
                <w:sz w:val="20"/>
                <w:szCs w:val="20"/>
                <w:highlight w:val="none"/>
              </w:rPr>
              <w:t>湘潭县行政审批服务局　</w:t>
            </w:r>
          </w:p>
        </w:tc>
        <w:tc>
          <w:tcPr>
            <w:tcW w:w="1232"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636"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5548"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highlight w:val="none"/>
              </w:rPr>
            </w:pPr>
            <w:r>
              <w:rPr>
                <w:rFonts w:hint="eastAsia" w:ascii="宋体" w:hAnsi="宋体" w:cs="宋体"/>
                <w:color w:val="000000"/>
                <w:kern w:val="0"/>
                <w:sz w:val="20"/>
                <w:szCs w:val="20"/>
                <w:highlight w:val="none"/>
              </w:rPr>
              <w:t>单位：万元</w:t>
            </w:r>
          </w:p>
        </w:tc>
      </w:tr>
      <w:tr>
        <w:tblPrEx>
          <w:tblCellMar>
            <w:top w:w="0" w:type="dxa"/>
            <w:left w:w="108" w:type="dxa"/>
            <w:bottom w:w="0" w:type="dxa"/>
            <w:right w:w="108" w:type="dxa"/>
          </w:tblCellMar>
        </w:tblPrEx>
        <w:trPr>
          <w:trHeight w:val="435" w:hRule="atLeast"/>
        </w:trPr>
        <w:tc>
          <w:tcPr>
            <w:tcW w:w="4864" w:type="dxa"/>
            <w:gridSpan w:val="4"/>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项</w:t>
            </w:r>
            <w:r>
              <w:rPr>
                <w:rFonts w:ascii="宋体" w:hAnsi="宋体" w:cs="宋体"/>
                <w:kern w:val="0"/>
                <w:sz w:val="24"/>
                <w:szCs w:val="24"/>
                <w:highlight w:val="none"/>
              </w:rPr>
              <w:t xml:space="preserve"> </w:t>
            </w:r>
            <w:r>
              <w:rPr>
                <w:rFonts w:ascii="宋体" w:hAnsi="宋体" w:cs="宋体"/>
                <w:color w:val="000000"/>
                <w:kern w:val="0"/>
                <w:sz w:val="22"/>
                <w:szCs w:val="22"/>
                <w:highlight w:val="none"/>
              </w:rPr>
              <w:t xml:space="preserve">   </w:t>
            </w:r>
            <w:r>
              <w:rPr>
                <w:rFonts w:hint="eastAsia" w:ascii="宋体" w:hAnsi="宋体" w:cs="宋体"/>
                <w:kern w:val="0"/>
                <w:sz w:val="24"/>
                <w:szCs w:val="24"/>
                <w:highlight w:val="none"/>
              </w:rPr>
              <w:t>目</w:t>
            </w:r>
          </w:p>
        </w:tc>
        <w:tc>
          <w:tcPr>
            <w:tcW w:w="9416" w:type="dxa"/>
            <w:gridSpan w:val="5"/>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本年支出</w:t>
            </w:r>
          </w:p>
        </w:tc>
      </w:tr>
      <w:tr>
        <w:tblPrEx>
          <w:tblCellMar>
            <w:top w:w="0" w:type="dxa"/>
            <w:left w:w="108" w:type="dxa"/>
            <w:bottom w:w="0" w:type="dxa"/>
            <w:right w:w="108" w:type="dxa"/>
          </w:tblCellMar>
        </w:tblPrEx>
        <w:trPr>
          <w:trHeight w:val="425" w:hRule="atLeast"/>
        </w:trPr>
        <w:tc>
          <w:tcPr>
            <w:tcW w:w="2726"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功能分类科目编码</w:t>
            </w:r>
          </w:p>
        </w:tc>
        <w:tc>
          <w:tcPr>
            <w:tcW w:w="2138"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科目名称</w:t>
            </w:r>
          </w:p>
        </w:tc>
        <w:tc>
          <w:tcPr>
            <w:tcW w:w="2567"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2995"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基本支出</w:t>
            </w:r>
            <w:r>
              <w:rPr>
                <w:rFonts w:ascii="宋体" w:hAnsi="宋体" w:cs="宋体"/>
                <w:kern w:val="0"/>
                <w:sz w:val="24"/>
                <w:szCs w:val="24"/>
                <w:highlight w:val="none"/>
              </w:rPr>
              <w:t xml:space="preserve">  </w:t>
            </w:r>
          </w:p>
        </w:tc>
        <w:tc>
          <w:tcPr>
            <w:tcW w:w="385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项目支出</w:t>
            </w:r>
          </w:p>
        </w:tc>
      </w:tr>
      <w:tr>
        <w:tblPrEx>
          <w:tblCellMar>
            <w:top w:w="0" w:type="dxa"/>
            <w:left w:w="108" w:type="dxa"/>
            <w:bottom w:w="0" w:type="dxa"/>
            <w:right w:w="108" w:type="dxa"/>
          </w:tblCellMar>
        </w:tblPrEx>
        <w:trPr>
          <w:trHeight w:val="425" w:hRule="atLeast"/>
        </w:trPr>
        <w:tc>
          <w:tcPr>
            <w:tcW w:w="2726"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213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256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highlight w:val="none"/>
              </w:rPr>
            </w:pPr>
          </w:p>
        </w:tc>
        <w:tc>
          <w:tcPr>
            <w:tcW w:w="2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highlight w:val="none"/>
              </w:rPr>
            </w:pPr>
          </w:p>
        </w:tc>
        <w:tc>
          <w:tcPr>
            <w:tcW w:w="385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highlight w:val="none"/>
              </w:rPr>
            </w:pPr>
          </w:p>
        </w:tc>
      </w:tr>
      <w:tr>
        <w:tblPrEx>
          <w:tblCellMar>
            <w:top w:w="0" w:type="dxa"/>
            <w:left w:w="108" w:type="dxa"/>
            <w:bottom w:w="0" w:type="dxa"/>
            <w:right w:w="108" w:type="dxa"/>
          </w:tblCellMar>
        </w:tblPrEx>
        <w:trPr>
          <w:trHeight w:val="425" w:hRule="atLeast"/>
        </w:trPr>
        <w:tc>
          <w:tcPr>
            <w:tcW w:w="2726"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213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highlight w:val="none"/>
              </w:rPr>
            </w:pPr>
          </w:p>
        </w:tc>
        <w:tc>
          <w:tcPr>
            <w:tcW w:w="256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highlight w:val="none"/>
              </w:rPr>
            </w:pPr>
          </w:p>
        </w:tc>
        <w:tc>
          <w:tcPr>
            <w:tcW w:w="299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highlight w:val="none"/>
              </w:rPr>
            </w:pPr>
          </w:p>
        </w:tc>
        <w:tc>
          <w:tcPr>
            <w:tcW w:w="385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highlight w:val="none"/>
              </w:rPr>
            </w:pPr>
          </w:p>
        </w:tc>
      </w:tr>
      <w:tr>
        <w:tblPrEx>
          <w:tblCellMar>
            <w:top w:w="0" w:type="dxa"/>
            <w:left w:w="108" w:type="dxa"/>
            <w:bottom w:w="0" w:type="dxa"/>
            <w:right w:w="108" w:type="dxa"/>
          </w:tblCellMar>
        </w:tblPrEx>
        <w:trPr>
          <w:trHeight w:val="425" w:hRule="atLeast"/>
        </w:trPr>
        <w:tc>
          <w:tcPr>
            <w:tcW w:w="4864" w:type="dxa"/>
            <w:gridSpan w:val="4"/>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栏次</w:t>
            </w:r>
          </w:p>
        </w:tc>
        <w:tc>
          <w:tcPr>
            <w:tcW w:w="256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1</w:t>
            </w:r>
          </w:p>
        </w:tc>
        <w:tc>
          <w:tcPr>
            <w:tcW w:w="2995"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2</w:t>
            </w:r>
          </w:p>
        </w:tc>
        <w:tc>
          <w:tcPr>
            <w:tcW w:w="385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ascii="宋体" w:hAnsi="宋体" w:cs="宋体"/>
                <w:kern w:val="0"/>
                <w:sz w:val="24"/>
                <w:szCs w:val="24"/>
                <w:highlight w:val="none"/>
              </w:rPr>
              <w:t>3</w:t>
            </w:r>
          </w:p>
        </w:tc>
      </w:tr>
      <w:tr>
        <w:trPr>
          <w:trHeight w:val="425" w:hRule="atLeast"/>
        </w:trPr>
        <w:tc>
          <w:tcPr>
            <w:tcW w:w="4864" w:type="dxa"/>
            <w:gridSpan w:val="4"/>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合计</w:t>
            </w:r>
          </w:p>
        </w:tc>
        <w:tc>
          <w:tcPr>
            <w:tcW w:w="2567" w:type="dxa"/>
            <w:gridSpan w:val="2"/>
            <w:tcBorders>
              <w:top w:val="nil"/>
              <w:left w:val="nil"/>
              <w:bottom w:val="single" w:color="auto" w:sz="4" w:space="0"/>
              <w:right w:val="single" w:color="auto" w:sz="4" w:space="0"/>
            </w:tcBorders>
            <w:vAlign w:val="center"/>
          </w:tcPr>
          <w:p>
            <w:pPr>
              <w:widowControl/>
              <w:jc w:val="center"/>
              <w:rPr>
                <w:rFonts w:ascii="宋体" w:hAnsi="Calibri" w:eastAsia="宋体" w:cs="Times New Roman"/>
                <w:kern w:val="0"/>
                <w:sz w:val="24"/>
                <w:szCs w:val="24"/>
                <w:highlight w:val="none"/>
                <w:lang w:val="en-US" w:eastAsia="zh-CN" w:bidi="ar-SA"/>
              </w:rPr>
            </w:pPr>
            <w:r>
              <w:rPr>
                <w:rFonts w:hint="eastAsia" w:ascii="宋体" w:hAnsi="宋体" w:cs="宋体"/>
                <w:kern w:val="0"/>
                <w:sz w:val="24"/>
                <w:szCs w:val="24"/>
                <w:highlight w:val="none"/>
                <w:lang w:val="en-US" w:eastAsia="zh-CN"/>
              </w:rPr>
              <w:t>0</w:t>
            </w:r>
            <w:r>
              <w:rPr>
                <w:rFonts w:hint="eastAsia" w:ascii="宋体" w:hAnsi="宋体" w:cs="宋体"/>
                <w:kern w:val="0"/>
                <w:sz w:val="24"/>
                <w:szCs w:val="24"/>
                <w:highlight w:val="none"/>
              </w:rPr>
              <w:t>　</w:t>
            </w:r>
          </w:p>
        </w:tc>
        <w:tc>
          <w:tcPr>
            <w:tcW w:w="2995" w:type="dxa"/>
            <w:gridSpan w:val="2"/>
            <w:tcBorders>
              <w:top w:val="nil"/>
              <w:left w:val="nil"/>
              <w:bottom w:val="single" w:color="auto" w:sz="4" w:space="0"/>
              <w:right w:val="single" w:color="auto" w:sz="4" w:space="0"/>
            </w:tcBorders>
            <w:vAlign w:val="center"/>
          </w:tcPr>
          <w:p>
            <w:pPr>
              <w:widowControl/>
              <w:jc w:val="center"/>
              <w:rPr>
                <w:rFonts w:ascii="宋体" w:hAnsi="Calibri" w:eastAsia="宋体" w:cs="Times New Roman"/>
                <w:kern w:val="0"/>
                <w:sz w:val="24"/>
                <w:szCs w:val="24"/>
                <w:highlight w:val="none"/>
                <w:lang w:val="en-US" w:eastAsia="zh-CN" w:bidi="ar-SA"/>
              </w:rPr>
            </w:pPr>
            <w:r>
              <w:rPr>
                <w:rFonts w:hint="eastAsia" w:ascii="宋体" w:hAnsi="宋体" w:cs="宋体"/>
                <w:kern w:val="0"/>
                <w:sz w:val="24"/>
                <w:szCs w:val="24"/>
                <w:highlight w:val="none"/>
                <w:lang w:val="en-US" w:eastAsia="zh-CN"/>
              </w:rPr>
              <w:t>0</w:t>
            </w:r>
            <w:r>
              <w:rPr>
                <w:rFonts w:hint="eastAsia" w:ascii="宋体" w:hAnsi="宋体" w:cs="宋体"/>
                <w:kern w:val="0"/>
                <w:sz w:val="24"/>
                <w:szCs w:val="24"/>
                <w:highlight w:val="none"/>
              </w:rPr>
              <w:t>　</w:t>
            </w:r>
          </w:p>
        </w:tc>
        <w:tc>
          <w:tcPr>
            <w:tcW w:w="3854" w:type="dxa"/>
            <w:tcBorders>
              <w:top w:val="nil"/>
              <w:left w:val="nil"/>
              <w:bottom w:val="single" w:color="auto" w:sz="4" w:space="0"/>
              <w:right w:val="single" w:color="auto" w:sz="4" w:space="0"/>
            </w:tcBorders>
            <w:vAlign w:val="center"/>
          </w:tcPr>
          <w:p>
            <w:pPr>
              <w:widowControl/>
              <w:jc w:val="center"/>
              <w:rPr>
                <w:rFonts w:ascii="宋体" w:hAnsi="Calibri" w:eastAsia="宋体" w:cs="Times New Roman"/>
                <w:kern w:val="0"/>
                <w:sz w:val="24"/>
                <w:szCs w:val="24"/>
                <w:highlight w:val="none"/>
                <w:lang w:val="en-US" w:eastAsia="zh-CN" w:bidi="ar-SA"/>
              </w:rPr>
            </w:pPr>
            <w:r>
              <w:rPr>
                <w:rFonts w:hint="eastAsia" w:ascii="宋体" w:hAnsi="宋体" w:cs="宋体"/>
                <w:kern w:val="0"/>
                <w:sz w:val="24"/>
                <w:szCs w:val="24"/>
                <w:highlight w:val="none"/>
                <w:lang w:val="en-US" w:eastAsia="zh-CN"/>
              </w:rPr>
              <w:t>0</w:t>
            </w: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3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56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9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5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3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6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9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5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3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highlight w:val="none"/>
              </w:rPr>
            </w:pPr>
            <w:r>
              <w:rPr>
                <w:rFonts w:hint="eastAsia" w:ascii="宋体" w:hAnsi="宋体" w:cs="宋体"/>
                <w:kern w:val="0"/>
                <w:sz w:val="20"/>
                <w:szCs w:val="20"/>
                <w:highlight w:val="none"/>
              </w:rPr>
              <w:t>　</w:t>
            </w:r>
          </w:p>
        </w:tc>
        <w:tc>
          <w:tcPr>
            <w:tcW w:w="256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9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5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3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6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9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5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tblPrEx>
          <w:tblCellMar>
            <w:top w:w="0" w:type="dxa"/>
            <w:left w:w="108" w:type="dxa"/>
            <w:bottom w:w="0" w:type="dxa"/>
            <w:right w:w="108" w:type="dxa"/>
          </w:tblCellMar>
        </w:tblPrEx>
        <w:trPr>
          <w:trHeight w:val="425" w:hRule="atLeast"/>
        </w:trPr>
        <w:tc>
          <w:tcPr>
            <w:tcW w:w="1629"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3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6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9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5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trPr>
          <w:trHeight w:val="425" w:hRule="atLeast"/>
        </w:trPr>
        <w:tc>
          <w:tcPr>
            <w:tcW w:w="1629"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highlight w:val="none"/>
              </w:rPr>
            </w:pPr>
            <w:r>
              <w:rPr>
                <w:rFonts w:hint="eastAsia" w:ascii="宋体" w:hAnsi="宋体" w:cs="宋体"/>
                <w:kern w:val="0"/>
                <w:sz w:val="24"/>
                <w:szCs w:val="24"/>
                <w:highlight w:val="none"/>
              </w:rPr>
              <w:t>　</w:t>
            </w:r>
          </w:p>
        </w:tc>
        <w:tc>
          <w:tcPr>
            <w:tcW w:w="323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56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299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c>
          <w:tcPr>
            <w:tcW w:w="3854"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highlight w:val="none"/>
              </w:rPr>
            </w:pPr>
            <w:r>
              <w:rPr>
                <w:rFonts w:hint="eastAsia" w:ascii="宋体" w:hAnsi="宋体" w:cs="宋体"/>
                <w:kern w:val="0"/>
                <w:sz w:val="24"/>
                <w:szCs w:val="24"/>
                <w:highlight w:val="none"/>
              </w:rPr>
              <w:t>　</w:t>
            </w:r>
          </w:p>
        </w:tc>
      </w:tr>
      <w:tr>
        <w:trPr>
          <w:trHeight w:val="763" w:hRule="atLeast"/>
        </w:trPr>
        <w:tc>
          <w:tcPr>
            <w:tcW w:w="14280" w:type="dxa"/>
            <w:gridSpan w:val="9"/>
            <w:tcBorders>
              <w:top w:val="single" w:color="auto" w:sz="8" w:space="0"/>
              <w:left w:val="nil"/>
              <w:bottom w:val="nil"/>
              <w:right w:val="nil"/>
            </w:tcBorders>
            <w:vAlign w:val="center"/>
          </w:tcPr>
          <w:p>
            <w:pPr>
              <w:widowControl/>
              <w:jc w:val="left"/>
              <w:rPr>
                <w:rFonts w:ascii="宋体" w:hAnsi="宋体" w:cs="宋体"/>
                <w:kern w:val="0"/>
                <w:sz w:val="24"/>
                <w:szCs w:val="24"/>
                <w:highlight w:val="none"/>
              </w:rPr>
            </w:pPr>
            <w:r>
              <w:rPr>
                <w:rFonts w:hint="eastAsia" w:ascii="宋体" w:hAnsi="宋体" w:cs="宋体"/>
                <w:kern w:val="0"/>
                <w:sz w:val="24"/>
                <w:szCs w:val="24"/>
                <w:highlight w:val="none"/>
              </w:rPr>
              <w:t>注：本表反映部门本年度国有资本经营预算财政拨款支出情况。</w:t>
            </w:r>
          </w:p>
          <w:p>
            <w:pPr>
              <w:widowControl/>
              <w:jc w:val="left"/>
              <w:rPr>
                <w:rFonts w:ascii="宋体" w:hAnsi="宋体" w:cs="宋体"/>
                <w:kern w:val="0"/>
                <w:sz w:val="24"/>
                <w:szCs w:val="24"/>
                <w:highlight w:val="none"/>
              </w:rPr>
            </w:pPr>
            <w:r>
              <w:rPr>
                <w:rFonts w:hint="eastAsia" w:ascii="Times New Roman" w:hAnsi="Times New Roman" w:eastAsia="仿宋_GB2312" w:cs="仿宋_GB2312"/>
                <w:kern w:val="0"/>
                <w:sz w:val="22"/>
                <w:szCs w:val="22"/>
                <w:highlight w:val="none"/>
                <w:lang w:eastAsia="zh-CN"/>
              </w:rPr>
              <w:t>（</w:t>
            </w:r>
            <w:r>
              <w:rPr>
                <w:rFonts w:hint="eastAsia" w:ascii="Times New Roman" w:hAnsi="Times New Roman" w:eastAsia="仿宋_GB2312" w:cs="仿宋_GB2312"/>
                <w:kern w:val="0"/>
                <w:sz w:val="22"/>
                <w:szCs w:val="22"/>
                <w:highlight w:val="none"/>
              </w:rPr>
              <w:t>本单位没有国有资本经营预算财政拨款支出入，故本表无数据</w:t>
            </w:r>
            <w:r>
              <w:rPr>
                <w:rFonts w:ascii="Times New Roman" w:hAnsi="Times New Roman" w:eastAsia="仿宋_GB2312" w:cs="Times New Roman"/>
                <w:kern w:val="0"/>
                <w:sz w:val="22"/>
                <w:szCs w:val="22"/>
                <w:highlight w:val="none"/>
              </w:rPr>
              <w:t>)</w:t>
            </w:r>
          </w:p>
        </w:tc>
      </w:tr>
    </w:tbl>
    <w:p>
      <w:pPr>
        <w:rPr>
          <w:rFonts w:ascii="宋体" w:cs="Times New Roman"/>
          <w:kern w:val="0"/>
          <w:sz w:val="24"/>
          <w:szCs w:val="24"/>
          <w:highlight w:val="none"/>
        </w:rPr>
        <w:sectPr>
          <w:pgSz w:w="16838" w:h="11906" w:orient="landscape"/>
          <w:pgMar w:top="663" w:right="1174" w:bottom="550" w:left="1060" w:header="851" w:footer="992" w:gutter="0"/>
          <w:cols w:space="0" w:num="1"/>
          <w:docGrid w:type="lines" w:linePitch="319" w:charSpace="0"/>
        </w:sectPr>
      </w:pPr>
      <w:r>
        <w:rPr>
          <w:rFonts w:ascii="宋体" w:cs="Times New Roman"/>
          <w:kern w:val="0"/>
          <w:sz w:val="24"/>
          <w:szCs w:val="24"/>
          <w:highlight w:val="none"/>
        </w:rPr>
        <w:br w:type="page"/>
      </w:r>
    </w:p>
    <w:p>
      <w:pPr>
        <w:pStyle w:val="8"/>
        <w:ind w:firstLine="3360" w:firstLineChars="700"/>
        <w:rPr>
          <w:rFonts w:ascii="宋体" w:hAnsi="宋体" w:eastAsia="宋体" w:cs="宋体"/>
          <w:b/>
          <w:bCs/>
          <w:sz w:val="48"/>
          <w:szCs w:val="48"/>
          <w:highlight w:val="none"/>
        </w:rPr>
      </w:pPr>
    </w:p>
    <w:p>
      <w:pPr>
        <w:pStyle w:val="8"/>
        <w:ind w:firstLine="3360" w:firstLineChars="700"/>
        <w:rPr>
          <w:rFonts w:ascii="宋体" w:hAnsi="宋体" w:eastAsia="宋体" w:cs="宋体"/>
          <w:b/>
          <w:bCs/>
          <w:sz w:val="48"/>
          <w:szCs w:val="48"/>
          <w:highlight w:val="none"/>
        </w:rPr>
      </w:pPr>
    </w:p>
    <w:p>
      <w:pPr>
        <w:pStyle w:val="8"/>
        <w:ind w:firstLine="3360" w:firstLineChars="700"/>
        <w:rPr>
          <w:rFonts w:ascii="宋体" w:hAnsi="宋体" w:eastAsia="宋体" w:cs="宋体"/>
          <w:b/>
          <w:bCs/>
          <w:sz w:val="48"/>
          <w:szCs w:val="48"/>
          <w:highlight w:val="none"/>
        </w:rPr>
      </w:pPr>
    </w:p>
    <w:p>
      <w:pPr>
        <w:pStyle w:val="8"/>
        <w:ind w:firstLine="3360" w:firstLineChars="700"/>
        <w:rPr>
          <w:rFonts w:ascii="宋体" w:hAnsi="宋体" w:eastAsia="宋体" w:cs="宋体"/>
          <w:b/>
          <w:bCs/>
          <w:sz w:val="48"/>
          <w:szCs w:val="48"/>
          <w:highlight w:val="none"/>
        </w:rPr>
      </w:pPr>
    </w:p>
    <w:p>
      <w:pPr>
        <w:pStyle w:val="8"/>
        <w:ind w:firstLine="3360" w:firstLineChars="700"/>
        <w:rPr>
          <w:rFonts w:ascii="宋体" w:hAnsi="宋体" w:eastAsia="宋体" w:cs="宋体"/>
          <w:b/>
          <w:bCs/>
          <w:sz w:val="48"/>
          <w:szCs w:val="48"/>
          <w:highlight w:val="none"/>
        </w:rPr>
      </w:pPr>
    </w:p>
    <w:p>
      <w:pPr>
        <w:pStyle w:val="8"/>
        <w:ind w:firstLine="3360" w:firstLineChars="700"/>
        <w:rPr>
          <w:rFonts w:ascii="宋体" w:hAnsi="宋体" w:eastAsia="宋体" w:cs="宋体"/>
          <w:b/>
          <w:bCs/>
          <w:sz w:val="48"/>
          <w:szCs w:val="48"/>
          <w:highlight w:val="none"/>
        </w:rPr>
      </w:pPr>
    </w:p>
    <w:p>
      <w:pPr>
        <w:pStyle w:val="8"/>
        <w:ind w:firstLine="3360" w:firstLineChars="700"/>
        <w:rPr>
          <w:rFonts w:ascii="宋体" w:hAnsi="宋体" w:eastAsia="宋体" w:cs="宋体"/>
          <w:b/>
          <w:bCs/>
          <w:sz w:val="48"/>
          <w:szCs w:val="48"/>
          <w:highlight w:val="none"/>
        </w:rPr>
      </w:pPr>
    </w:p>
    <w:p>
      <w:pPr>
        <w:pStyle w:val="8"/>
        <w:ind w:firstLine="3120" w:firstLineChars="600"/>
        <w:rPr>
          <w:rFonts w:ascii="宋体" w:hAnsi="宋体" w:eastAsia="宋体" w:cs="宋体"/>
          <w:b/>
          <w:bCs/>
          <w:sz w:val="52"/>
          <w:szCs w:val="52"/>
          <w:highlight w:val="none"/>
        </w:rPr>
      </w:pPr>
      <w:r>
        <w:rPr>
          <w:rFonts w:hint="eastAsia" w:ascii="宋体" w:hAnsi="宋体" w:eastAsia="宋体" w:cs="宋体"/>
          <w:b/>
          <w:bCs/>
          <w:sz w:val="52"/>
          <w:szCs w:val="52"/>
          <w:highlight w:val="none"/>
        </w:rPr>
        <w:t>第三部分</w:t>
      </w:r>
    </w:p>
    <w:p>
      <w:pPr>
        <w:pStyle w:val="8"/>
        <w:ind w:firstLine="3640" w:firstLineChars="700"/>
        <w:rPr>
          <w:rFonts w:ascii="宋体" w:hAnsi="宋体" w:eastAsia="宋体" w:cs="宋体"/>
          <w:b/>
          <w:bCs/>
          <w:sz w:val="52"/>
          <w:szCs w:val="52"/>
          <w:highlight w:val="none"/>
        </w:rPr>
      </w:pPr>
    </w:p>
    <w:p>
      <w:pPr>
        <w:pStyle w:val="8"/>
        <w:ind w:firstLine="1040" w:firstLineChars="200"/>
        <w:jc w:val="both"/>
        <w:rPr>
          <w:rFonts w:ascii="宋体" w:hAnsi="宋体" w:eastAsia="宋体" w:cs="宋体"/>
          <w:b/>
          <w:bCs/>
          <w:sz w:val="52"/>
          <w:szCs w:val="52"/>
          <w:highlight w:val="none"/>
        </w:rPr>
      </w:pPr>
      <w:r>
        <w:rPr>
          <w:rFonts w:ascii="宋体" w:hAnsi="宋体" w:eastAsia="宋体" w:cs="宋体"/>
          <w:b/>
          <w:bCs/>
          <w:sz w:val="52"/>
          <w:szCs w:val="52"/>
          <w:highlight w:val="none"/>
        </w:rPr>
        <w:t>2021</w:t>
      </w:r>
      <w:r>
        <w:rPr>
          <w:rFonts w:hint="eastAsia" w:ascii="宋体" w:hAnsi="宋体" w:eastAsia="宋体" w:cs="宋体"/>
          <w:b/>
          <w:bCs/>
          <w:sz w:val="52"/>
          <w:szCs w:val="52"/>
          <w:highlight w:val="none"/>
        </w:rPr>
        <w:t>年度部门决算情况说明</w:t>
      </w: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ind w:firstLine="1440" w:firstLineChars="300"/>
        <w:jc w:val="both"/>
        <w:rPr>
          <w:rFonts w:ascii="宋体" w:hAnsi="宋体" w:eastAsia="宋体" w:cs="宋体"/>
          <w:b/>
          <w:bCs/>
          <w:sz w:val="48"/>
          <w:szCs w:val="48"/>
          <w:highlight w:val="none"/>
        </w:rPr>
      </w:pPr>
    </w:p>
    <w:p>
      <w:pPr>
        <w:pStyle w:val="8"/>
        <w:rPr>
          <w:rFonts w:ascii="仿宋" w:hAnsi="仿宋" w:eastAsia="仿宋" w:cs="仿宋"/>
          <w:b/>
          <w:bCs/>
          <w:sz w:val="32"/>
          <w:szCs w:val="32"/>
          <w:highlight w:val="none"/>
        </w:rPr>
      </w:pP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一、收入支出决算总体情况说明</w:t>
      </w:r>
    </w:p>
    <w:p>
      <w:pPr>
        <w:pStyle w:val="8"/>
        <w:ind w:firstLine="640" w:firstLineChars="200"/>
        <w:rPr>
          <w:rFonts w:asciiTheme="minorEastAsia" w:hAnsiTheme="minorEastAsia" w:eastAsiaTheme="minorEastAsia"/>
          <w:sz w:val="32"/>
          <w:szCs w:val="32"/>
          <w:highlight w:val="none"/>
        </w:rPr>
      </w:pPr>
      <w:r>
        <w:rPr>
          <w:rFonts w:hint="eastAsia" w:ascii="仿宋" w:hAnsi="仿宋" w:eastAsia="仿宋" w:cs="仿宋"/>
          <w:sz w:val="32"/>
          <w:szCs w:val="32"/>
          <w:highlight w:val="none"/>
        </w:rPr>
        <w:t>2021年度收、支总计</w:t>
      </w:r>
      <w:r>
        <w:rPr>
          <w:rFonts w:hint="eastAsia" w:ascii="仿宋" w:hAnsi="仿宋" w:eastAsia="仿宋" w:cs="仿宋"/>
          <w:color w:val="auto"/>
          <w:sz w:val="32"/>
          <w:szCs w:val="32"/>
          <w:highlight w:val="none"/>
        </w:rPr>
        <w:t>1035.48</w:t>
      </w:r>
      <w:r>
        <w:rPr>
          <w:rFonts w:hint="eastAsia" w:ascii="仿宋" w:hAnsi="仿宋" w:eastAsia="仿宋" w:cs="仿宋"/>
          <w:sz w:val="32"/>
          <w:szCs w:val="32"/>
          <w:highlight w:val="none"/>
        </w:rPr>
        <w:t>万元。与上年相比，减少</w:t>
      </w:r>
      <w:r>
        <w:rPr>
          <w:rFonts w:hint="eastAsia" w:ascii="仿宋" w:hAnsi="仿宋" w:eastAsia="仿宋" w:cs="仿宋"/>
          <w:color w:val="000000" w:themeColor="text1"/>
          <w:sz w:val="32"/>
          <w:szCs w:val="32"/>
          <w:highlight w:val="none"/>
        </w:rPr>
        <w:t>351.79万元，减少25.35</w:t>
      </w:r>
      <w:r>
        <w:rPr>
          <w:rFonts w:hint="eastAsia" w:ascii="仿宋" w:hAnsi="仿宋" w:eastAsia="仿宋" w:cs="仿宋"/>
          <w:sz w:val="32"/>
          <w:szCs w:val="32"/>
          <w:highlight w:val="none"/>
        </w:rPr>
        <w:t>%，主要是因为财政实拨资金难以到位，一部分本年度应付未付资金没有支出。</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二、收入决算情况说明</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本年收入合计1032.85万元，其中：财政拨款收入1032.85万元，占99.75%；上级补助收入0.00万元，占0%；事业收入0.00万元，占0%；经营收入0.00万元，占0%；附属单位上缴收入0.00万元，占0%；其他收入0.00万元，占0%。</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三、支出决算情况说明</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本年支出合计1033.13万元，其中：基本支出272.94万元，占26.36%；项目支出760.19万元，占73.41%；上缴上级支出0.00万元，占0%；经营支出0.00万元，占0%；对附属单位补助支出0.00万元，占0%。</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四、财政拨款收入支出决算总体情况说明</w:t>
      </w:r>
    </w:p>
    <w:p>
      <w:pPr>
        <w:pStyle w:val="8"/>
        <w:ind w:firstLine="630"/>
        <w:rPr>
          <w:rFonts w:ascii="仿宋" w:hAnsi="仿宋" w:eastAsia="仿宋" w:cs="仿宋"/>
          <w:b/>
          <w:bCs/>
          <w:sz w:val="32"/>
          <w:szCs w:val="32"/>
          <w:highlight w:val="none"/>
        </w:rPr>
      </w:pPr>
      <w:r>
        <w:rPr>
          <w:rFonts w:hint="eastAsia" w:ascii="仿宋" w:hAnsi="仿宋" w:eastAsia="仿宋" w:cs="仿宋"/>
          <w:sz w:val="32"/>
          <w:szCs w:val="32"/>
          <w:highlight w:val="none"/>
        </w:rPr>
        <w:t>2021年度财政拨款收、支总计</w:t>
      </w:r>
      <w:r>
        <w:rPr>
          <w:rFonts w:hint="eastAsia" w:ascii="仿宋" w:hAnsi="仿宋" w:eastAsia="仿宋" w:cs="仿宋"/>
          <w:color w:val="auto"/>
          <w:sz w:val="32"/>
          <w:szCs w:val="32"/>
          <w:highlight w:val="none"/>
        </w:rPr>
        <w:t>1035.48</w:t>
      </w:r>
      <w:r>
        <w:rPr>
          <w:rFonts w:hint="eastAsia" w:ascii="仿宋" w:hAnsi="仿宋" w:eastAsia="仿宋" w:cs="仿宋"/>
          <w:sz w:val="32"/>
          <w:szCs w:val="32"/>
          <w:highlight w:val="none"/>
        </w:rPr>
        <w:t>万元，与上年相比，</w:t>
      </w:r>
      <w:r>
        <w:rPr>
          <w:rFonts w:hint="eastAsia" w:ascii="仿宋" w:hAnsi="仿宋" w:eastAsia="仿宋" w:cs="仿宋"/>
          <w:color w:val="000000" w:themeColor="text1"/>
          <w:sz w:val="32"/>
          <w:szCs w:val="32"/>
          <w:highlight w:val="none"/>
        </w:rPr>
        <w:t>减少335.75万元,减少24.49%，主要因为财政国库实拨资金</w:t>
      </w:r>
      <w:r>
        <w:rPr>
          <w:rFonts w:hint="eastAsia" w:ascii="仿宋" w:hAnsi="仿宋" w:eastAsia="仿宋" w:cs="仿宋"/>
          <w:sz w:val="32"/>
          <w:szCs w:val="32"/>
          <w:highlight w:val="none"/>
        </w:rPr>
        <w:t>难以到位，一部分资金停留在预算指标结余状态。</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五、一般公共预算财政拨款支出决算情况说明</w:t>
      </w:r>
    </w:p>
    <w:p>
      <w:pPr>
        <w:pStyle w:val="8"/>
        <w:ind w:firstLine="320" w:firstLineChars="100"/>
        <w:rPr>
          <w:rFonts w:ascii="仿宋" w:hAnsi="仿宋" w:eastAsia="仿宋" w:cs="仿宋"/>
          <w:b/>
          <w:bCs/>
          <w:sz w:val="32"/>
          <w:szCs w:val="32"/>
          <w:highlight w:val="none"/>
        </w:rPr>
      </w:pPr>
      <w:r>
        <w:rPr>
          <w:rFonts w:hint="eastAsia" w:ascii="仿宋" w:hAnsi="仿宋" w:eastAsia="仿宋" w:cs="仿宋"/>
          <w:b/>
          <w:bCs/>
          <w:sz w:val="32"/>
          <w:szCs w:val="32"/>
          <w:highlight w:val="none"/>
        </w:rPr>
        <w:t>（一）一般公共预算财政拨款支出决算总体情况</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2021年度一般公共预算财政拨款支出</w:t>
      </w:r>
      <w:r>
        <w:rPr>
          <w:rFonts w:hint="eastAsia" w:ascii="仿宋" w:hAnsi="仿宋" w:eastAsia="仿宋" w:cs="仿宋"/>
          <w:color w:val="auto"/>
          <w:sz w:val="32"/>
          <w:szCs w:val="32"/>
          <w:highlight w:val="none"/>
        </w:rPr>
        <w:t>1033.13</w:t>
      </w:r>
      <w:r>
        <w:rPr>
          <w:rFonts w:hint="eastAsia" w:ascii="Times New Roman" w:hAnsi="Times New Roman" w:eastAsia="仿宋_GB2312" w:cs="仿宋_GB2312"/>
          <w:highlight w:val="none"/>
        </w:rPr>
        <w:t>　</w:t>
      </w:r>
      <w:r>
        <w:rPr>
          <w:rFonts w:hint="eastAsia" w:ascii="仿宋" w:hAnsi="仿宋" w:eastAsia="仿宋" w:cs="仿宋"/>
          <w:sz w:val="32"/>
          <w:szCs w:val="32"/>
          <w:highlight w:val="none"/>
        </w:rPr>
        <w:t>万元，占本年支出合计的</w:t>
      </w:r>
      <w:r>
        <w:rPr>
          <w:rFonts w:hint="eastAsia" w:ascii="仿宋" w:hAnsi="仿宋" w:eastAsia="仿宋" w:cs="仿宋"/>
          <w:color w:val="auto"/>
          <w:sz w:val="32"/>
          <w:szCs w:val="32"/>
          <w:highlight w:val="none"/>
        </w:rPr>
        <w:t>100</w:t>
      </w:r>
      <w:r>
        <w:rPr>
          <w:rFonts w:hint="eastAsia" w:ascii="仿宋" w:hAnsi="仿宋" w:eastAsia="仿宋" w:cs="仿宋"/>
          <w:sz w:val="32"/>
          <w:szCs w:val="32"/>
          <w:highlight w:val="none"/>
        </w:rPr>
        <w:t>%，与上年相比，财政拨款支出减</w:t>
      </w:r>
      <w:r>
        <w:rPr>
          <w:rFonts w:hint="eastAsia" w:ascii="仿宋" w:hAnsi="仿宋" w:eastAsia="仿宋" w:cs="仿宋"/>
          <w:color w:val="000000" w:themeColor="text1"/>
          <w:sz w:val="32"/>
          <w:szCs w:val="32"/>
          <w:highlight w:val="none"/>
        </w:rPr>
        <w:t>少67.28万</w:t>
      </w:r>
      <w:r>
        <w:rPr>
          <w:rFonts w:hint="eastAsia" w:ascii="仿宋" w:hAnsi="仿宋" w:eastAsia="仿宋" w:cs="仿宋"/>
          <w:sz w:val="32"/>
          <w:szCs w:val="32"/>
          <w:highlight w:val="none"/>
        </w:rPr>
        <w:t>元，减</w:t>
      </w:r>
      <w:r>
        <w:rPr>
          <w:rFonts w:hint="eastAsia" w:ascii="仿宋" w:hAnsi="仿宋" w:eastAsia="仿宋" w:cs="仿宋"/>
          <w:color w:val="000000" w:themeColor="text1"/>
          <w:sz w:val="32"/>
          <w:szCs w:val="32"/>
          <w:highlight w:val="none"/>
        </w:rPr>
        <w:t>少6.11</w:t>
      </w:r>
      <w:r>
        <w:rPr>
          <w:rFonts w:hint="eastAsia" w:ascii="仿宋" w:hAnsi="仿宋" w:eastAsia="仿宋" w:cs="仿宋"/>
          <w:sz w:val="32"/>
          <w:szCs w:val="32"/>
          <w:highlight w:val="none"/>
        </w:rPr>
        <w:t>%，主要是因为财政压减收支。</w:t>
      </w:r>
    </w:p>
    <w:p>
      <w:pPr>
        <w:pStyle w:val="8"/>
        <w:ind w:firstLine="320" w:firstLineChars="100"/>
        <w:rPr>
          <w:rFonts w:ascii="仿宋" w:hAnsi="仿宋" w:eastAsia="仿宋" w:cs="仿宋"/>
          <w:b/>
          <w:bCs/>
          <w:sz w:val="32"/>
          <w:szCs w:val="32"/>
          <w:highlight w:val="none"/>
        </w:rPr>
      </w:pPr>
      <w:r>
        <w:rPr>
          <w:rFonts w:hint="eastAsia" w:ascii="仿宋" w:hAnsi="仿宋" w:eastAsia="仿宋" w:cs="仿宋"/>
          <w:b/>
          <w:bCs/>
          <w:sz w:val="32"/>
          <w:szCs w:val="32"/>
          <w:highlight w:val="none"/>
        </w:rPr>
        <w:t>（二）一般公共预算财政拨款支出决算结构情况</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2021年度一般公共预算财政拨款支出1033.13万元，主要用于以下方面：一般公共文化服务支出（政府办公厅（室）及相关机构事务）1033.13万元，占100%；</w:t>
      </w:r>
    </w:p>
    <w:p>
      <w:pPr>
        <w:pStyle w:val="8"/>
        <w:ind w:firstLine="320" w:firstLineChars="100"/>
        <w:rPr>
          <w:rFonts w:ascii="仿宋" w:hAnsi="仿宋" w:eastAsia="仿宋" w:cs="仿宋"/>
          <w:b/>
          <w:bCs/>
          <w:sz w:val="32"/>
          <w:szCs w:val="32"/>
          <w:highlight w:val="none"/>
        </w:rPr>
      </w:pPr>
      <w:r>
        <w:rPr>
          <w:rFonts w:hint="eastAsia" w:ascii="仿宋" w:hAnsi="仿宋" w:eastAsia="仿宋" w:cs="仿宋"/>
          <w:b/>
          <w:bCs/>
          <w:sz w:val="32"/>
          <w:szCs w:val="32"/>
          <w:highlight w:val="none"/>
        </w:rPr>
        <w:t>（三）一般公共预算财政拨款支出决算具体情况</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2021年度一般公共预算财政拨款支出年初预算数为</w:t>
      </w:r>
      <w:r>
        <w:rPr>
          <w:rFonts w:hint="eastAsia" w:ascii="仿宋" w:hAnsi="仿宋" w:eastAsia="仿宋" w:cs="仿宋"/>
          <w:color w:val="000000" w:themeColor="text1"/>
          <w:sz w:val="32"/>
          <w:szCs w:val="32"/>
          <w:highlight w:val="none"/>
        </w:rPr>
        <w:t>433.26</w:t>
      </w:r>
      <w:r>
        <w:rPr>
          <w:rFonts w:hint="eastAsia" w:ascii="仿宋" w:hAnsi="仿宋" w:eastAsia="仿宋" w:cs="仿宋"/>
          <w:sz w:val="32"/>
          <w:szCs w:val="32"/>
          <w:highlight w:val="none"/>
        </w:rPr>
        <w:t>万元，支出决算数为</w:t>
      </w:r>
      <w:r>
        <w:rPr>
          <w:rFonts w:hint="eastAsia" w:ascii="仿宋" w:hAnsi="仿宋" w:eastAsia="仿宋" w:cs="仿宋"/>
          <w:color w:val="000000" w:themeColor="text1"/>
          <w:sz w:val="32"/>
          <w:szCs w:val="32"/>
          <w:highlight w:val="none"/>
        </w:rPr>
        <w:t>1033.13</w:t>
      </w:r>
      <w:r>
        <w:rPr>
          <w:rFonts w:hint="eastAsia" w:ascii="仿宋" w:hAnsi="仿宋" w:eastAsia="仿宋" w:cs="仿宋"/>
          <w:sz w:val="32"/>
          <w:szCs w:val="32"/>
          <w:highlight w:val="none"/>
        </w:rPr>
        <w:t>万元，完成年初预算的</w:t>
      </w:r>
      <w:r>
        <w:rPr>
          <w:rFonts w:hint="eastAsia" w:ascii="仿宋" w:hAnsi="仿宋" w:eastAsia="仿宋" w:cs="仿宋"/>
          <w:color w:val="000000" w:themeColor="text1"/>
          <w:sz w:val="32"/>
          <w:szCs w:val="32"/>
          <w:highlight w:val="none"/>
        </w:rPr>
        <w:t>238.45</w:t>
      </w:r>
      <w:r>
        <w:rPr>
          <w:rFonts w:hint="eastAsia" w:ascii="仿宋" w:hAnsi="仿宋" w:eastAsia="仿宋" w:cs="仿宋"/>
          <w:sz w:val="32"/>
          <w:szCs w:val="32"/>
          <w:highlight w:val="none"/>
        </w:rPr>
        <w:t>%，其中：</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1、一般公共服务（类）政府办公厅（室）及相关事务（款）行政运行（项）。</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年初预算为433.26万元，支出决算为647.24万元，完成年初预算的149.39%，决算数大于年初预算数的主要原因是：年中追加项目经费。</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2、一般公共服务政府办公厅（室）及相关事务（款）一般行政管理事务（项）。</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年初预算为</w:t>
      </w:r>
      <w:r>
        <w:rPr>
          <w:rFonts w:ascii="仿宋" w:hAnsi="仿宋" w:eastAsia="仿宋" w:cs="仿宋"/>
          <w:sz w:val="32"/>
          <w:szCs w:val="32"/>
          <w:highlight w:val="none"/>
        </w:rPr>
        <w:t>0</w:t>
      </w:r>
      <w:r>
        <w:rPr>
          <w:rFonts w:hint="eastAsia" w:ascii="仿宋" w:hAnsi="仿宋" w:eastAsia="仿宋" w:cs="仿宋"/>
          <w:sz w:val="32"/>
          <w:szCs w:val="32"/>
          <w:highlight w:val="none"/>
        </w:rPr>
        <w:t>万元，支出决算为15万元，决算数大于年初预算数的主要原因是：年中追加项目经费。</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3、一般公共服务政府办公厅（室）及相关事务（款）政务公开审批（项）。</w:t>
      </w:r>
    </w:p>
    <w:p>
      <w:pPr>
        <w:pStyle w:val="8"/>
        <w:ind w:firstLine="800" w:firstLineChars="250"/>
        <w:rPr>
          <w:rFonts w:ascii="仿宋" w:hAnsi="仿宋" w:eastAsia="仿宋" w:cs="仿宋"/>
          <w:sz w:val="32"/>
          <w:szCs w:val="32"/>
          <w:highlight w:val="none"/>
        </w:rPr>
      </w:pPr>
      <w:r>
        <w:rPr>
          <w:rFonts w:hint="eastAsia" w:ascii="仿宋" w:hAnsi="仿宋" w:eastAsia="仿宋" w:cs="仿宋"/>
          <w:sz w:val="32"/>
          <w:szCs w:val="32"/>
          <w:highlight w:val="none"/>
        </w:rPr>
        <w:t>年初预算为0元，支出决算为370.89万元，决算数大于年初预算数的主要原因是：年中追加项目经费。</w:t>
      </w:r>
    </w:p>
    <w:p>
      <w:pPr>
        <w:pStyle w:val="2"/>
        <w:tabs>
          <w:tab w:val="left" w:pos="6819"/>
        </w:tabs>
        <w:spacing w:before="1"/>
        <w:ind w:left="419"/>
        <w:rPr>
          <w:highlight w:val="none"/>
        </w:rPr>
      </w:pP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六、一般公共预算财政拨款基本支出决算情况说明</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2021年度一般公共预算财政拨款基本支出272.94万元，其中：人员经费213.14万元，占基本支出的78.09%,主要包括基本工资、奖金、伙食补助费、绩效工资、机关事业单位基本养老保险缴费、职工基本医疗保险缴费、职业年金缴费、公务员医疗补助缴费、 其他社会保障缴费、住房公积金、其他工资福利支出等；公用经费59.8万元，占基本支出的21.9%，主要包括办公费、邮电费、差旅费、 维修（护）费、培训费、劳务费、工会经费、其他交通费用、 其他商品和服务支出。</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七、一般公共预算财政拨款三公经费支出决算情况说明</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（一）“三公”经费财政拨款支出决算总体情况说明</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“三公”经费财政拨款支出预算为5万元，支出决算为0.71万元，完成预算的14%，其中：</w:t>
      </w:r>
    </w:p>
    <w:p>
      <w:pPr>
        <w:pStyle w:val="8"/>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因公出国（境）费支出预算为0万元，支出决算为0万元，</w:t>
      </w:r>
      <w:r>
        <w:rPr>
          <w:rFonts w:hint="eastAsia" w:ascii="仿宋" w:hAnsi="仿宋" w:eastAsia="仿宋" w:cs="仿宋"/>
          <w:sz w:val="32"/>
          <w:szCs w:val="32"/>
          <w:highlight w:val="none"/>
          <w:lang w:val="en-US" w:eastAsia="zh-CN"/>
        </w:rPr>
        <w:t>与上年无增减。</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公务接待费支出预算为5万元，支出决算为0.71万元，完成预算的14%，决算数小于预算数的</w:t>
      </w:r>
      <w:r>
        <w:rPr>
          <w:rFonts w:hint="eastAsia" w:ascii="仿宋" w:hAnsi="仿宋" w:eastAsia="仿宋" w:cs="仿宋"/>
          <w:w w:val="95"/>
          <w:sz w:val="32"/>
          <w:szCs w:val="32"/>
          <w:highlight w:val="none"/>
        </w:rPr>
        <w:t>主要原因</w:t>
      </w:r>
      <w:r>
        <w:rPr>
          <w:rFonts w:hint="eastAsia" w:ascii="仿宋" w:hAnsi="仿宋" w:eastAsia="仿宋" w:cs="仿宋"/>
          <w:sz w:val="32"/>
          <w:szCs w:val="32"/>
          <w:highlight w:val="none"/>
        </w:rPr>
        <w:t>是我单位认真贯彻落实中央八项规定等要求，严格控制接待支出，降低接待标准，与上年相比增加0.68万元，增加2266.67%,增加的主要原因是</w:t>
      </w:r>
      <w:r>
        <w:rPr>
          <w:rFonts w:hint="eastAsia" w:ascii="仿宋" w:hAnsi="仿宋" w:eastAsia="仿宋" w:cs="仿宋"/>
          <w:sz w:val="32"/>
          <w:szCs w:val="32"/>
          <w:highlight w:val="none"/>
          <w:shd w:val="clear" w:color="auto" w:fill="FFFFFF"/>
        </w:rPr>
        <w:t>认真贯彻落实中央八项规定精神和厉行节约要求，从严控制“三公”经费开支后的公务接待支出增加。</w:t>
      </w:r>
    </w:p>
    <w:p>
      <w:pPr>
        <w:pStyle w:val="8"/>
        <w:ind w:firstLine="640" w:firstLineChars="200"/>
        <w:rPr>
          <w:rFonts w:ascii="仿宋" w:hAnsi="仿宋" w:eastAsia="仿宋" w:cs="仿宋"/>
          <w:sz w:val="32"/>
          <w:szCs w:val="32"/>
          <w:highlight w:val="none"/>
          <w:shd w:val="clear" w:color="auto" w:fill="FFFFFF"/>
        </w:rPr>
      </w:pPr>
      <w:r>
        <w:rPr>
          <w:rFonts w:hint="eastAsia" w:ascii="仿宋" w:hAnsi="仿宋" w:eastAsia="仿宋" w:cs="仿宋"/>
          <w:sz w:val="32"/>
          <w:szCs w:val="32"/>
          <w:highlight w:val="none"/>
          <w:shd w:val="clear" w:color="auto" w:fill="FFFFFF"/>
        </w:rPr>
        <w:t>公务用车购置费及运行维护费支出预算为0万元，支出决算为0万元，</w:t>
      </w:r>
      <w:bookmarkStart w:id="1" w:name="_GoBack"/>
      <w:bookmarkEnd w:id="1"/>
      <w:r>
        <w:rPr>
          <w:rFonts w:hint="eastAsia" w:ascii="仿宋" w:hAnsi="仿宋" w:eastAsia="仿宋" w:cs="仿宋"/>
          <w:sz w:val="32"/>
          <w:szCs w:val="32"/>
          <w:highlight w:val="none"/>
          <w:shd w:val="clear" w:color="auto" w:fill="FFFFFF"/>
        </w:rPr>
        <w:t>决算数与预算数增减无变化；与上年相比增减无变化。</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（二）“三公”经费财政拨款支出决算具体情况说明</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2021年度“三公”经费财政拨款支出决算中，公务接待费支出决算0.71万元，占14%,因公出国（境）费支出决算0万元，占0%,公务用车购置费及运行维护费支出决算0万元，占0%。其中：</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1、因公出国（境）费支出决算为0万元，全年安排因公出国（境）团组0个，累计0人次,开支内容包括：支出0万元，</w:t>
      </w:r>
    </w:p>
    <w:p>
      <w:pPr>
        <w:pStyle w:val="8"/>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2、公务接待费支出决算为0.71万元，全年共接待来宾178人次，主要是日常接待发生的接待支出。</w:t>
      </w:r>
    </w:p>
    <w:p>
      <w:pPr>
        <w:ind w:firstLine="800" w:firstLineChars="250"/>
        <w:rPr>
          <w:rFonts w:cs="黑体" w:asciiTheme="minorEastAsia" w:hAnsiTheme="minorEastAsia"/>
          <w:color w:val="000000"/>
          <w:kern w:val="0"/>
          <w:sz w:val="32"/>
          <w:szCs w:val="32"/>
          <w:highlight w:val="none"/>
        </w:rPr>
      </w:pPr>
      <w:r>
        <w:rPr>
          <w:rFonts w:hint="eastAsia" w:ascii="仿宋" w:hAnsi="仿宋" w:eastAsia="仿宋" w:cs="仿宋"/>
          <w:sz w:val="32"/>
          <w:szCs w:val="32"/>
          <w:highlight w:val="none"/>
        </w:rPr>
        <w:t>3、公务用车购置费及运行维护费支出决算为0万元，其中：公务用车购置费0万元，更新公务用车0辆</w:t>
      </w:r>
      <w:r>
        <w:rPr>
          <w:rFonts w:hint="eastAsia" w:ascii="仿宋" w:hAnsi="仿宋" w:eastAsia="仿宋" w:cs="仿宋"/>
          <w:color w:val="000000"/>
          <w:sz w:val="32"/>
          <w:szCs w:val="32"/>
          <w:highlight w:val="none"/>
        </w:rPr>
        <w:t>。</w:t>
      </w:r>
    </w:p>
    <w:p>
      <w:pPr>
        <w:ind w:firstLine="640" w:firstLineChars="200"/>
        <w:rPr>
          <w:rFonts w:ascii="仿宋" w:hAnsi="仿宋" w:eastAsia="仿宋" w:cs="仿宋"/>
          <w:color w:val="000000"/>
          <w:kern w:val="0"/>
          <w:sz w:val="32"/>
          <w:szCs w:val="32"/>
          <w:highlight w:val="none"/>
        </w:rPr>
      </w:pPr>
      <w:r>
        <w:rPr>
          <w:rFonts w:hint="eastAsia" w:ascii="仿宋" w:hAnsi="仿宋" w:eastAsia="仿宋" w:cs="仿宋"/>
          <w:sz w:val="32"/>
          <w:szCs w:val="32"/>
          <w:highlight w:val="none"/>
        </w:rPr>
        <w:t>公务用车运行维护费0万元，截止2021年12月31日，我单位开支财政拨款的公务用车保有量为0辆。</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八、政府性基金预算收入支出决算情况</w:t>
      </w:r>
    </w:p>
    <w:p>
      <w:pPr>
        <w:pStyle w:val="8"/>
        <w:rPr>
          <w:rFonts w:ascii="仿宋" w:hAnsi="仿宋" w:eastAsia="仿宋" w:cs="仿宋"/>
          <w:sz w:val="32"/>
          <w:highlight w:val="none"/>
        </w:rPr>
      </w:pPr>
      <w:r>
        <w:rPr>
          <w:rFonts w:hint="eastAsia" w:ascii="仿宋" w:hAnsi="仿宋" w:eastAsia="仿宋" w:cs="仿宋"/>
          <w:sz w:val="32"/>
          <w:szCs w:val="32"/>
          <w:highlight w:val="none"/>
        </w:rPr>
        <w:t xml:space="preserve">    2021年度本</w:t>
      </w:r>
      <w:r>
        <w:rPr>
          <w:rFonts w:hint="eastAsia" w:ascii="仿宋" w:hAnsi="仿宋" w:eastAsia="仿宋" w:cs="仿宋"/>
          <w:sz w:val="32"/>
          <w:highlight w:val="none"/>
        </w:rPr>
        <w:t>单位无政府性基金此项指标。</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九、关于机关运行经费支出说明</w:t>
      </w:r>
    </w:p>
    <w:p>
      <w:pPr>
        <w:pStyle w:val="8"/>
        <w:ind w:firstLine="640" w:firstLineChars="200"/>
        <w:rPr>
          <w:rFonts w:ascii="仿宋" w:hAnsi="仿宋" w:eastAsia="仿宋" w:cs="仿宋"/>
          <w:color w:val="auto"/>
          <w:sz w:val="32"/>
          <w:szCs w:val="32"/>
          <w:highlight w:val="none"/>
        </w:rPr>
      </w:pPr>
      <w:r>
        <w:rPr>
          <w:rFonts w:hint="eastAsia" w:ascii="仿宋" w:hAnsi="仿宋" w:eastAsia="仿宋" w:cs="仿宋"/>
          <w:sz w:val="32"/>
          <w:szCs w:val="32"/>
          <w:highlight w:val="none"/>
        </w:rPr>
        <w:t>本部门2021年度机关运行经费支出59.8万元，比年初预算数增加29.98万元，增长100.54%。主要原因是</w:t>
      </w:r>
      <w:r>
        <w:rPr>
          <w:rFonts w:hint="eastAsia" w:ascii="仿宋" w:hAnsi="仿宋" w:eastAsia="仿宋" w:cs="仿宋"/>
          <w:color w:val="auto"/>
          <w:sz w:val="32"/>
          <w:szCs w:val="32"/>
          <w:highlight w:val="none"/>
        </w:rPr>
        <w:t>：一是年中追加公务交通补贴；二是如工会经费、扶贫、党建等相关工作支出年初无预算或预算较少。</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十、一般性支出情况</w:t>
      </w:r>
    </w:p>
    <w:p>
      <w:pPr>
        <w:autoSpaceDE w:val="0"/>
        <w:autoSpaceDN w:val="0"/>
        <w:adjustRightInd w:val="0"/>
        <w:spacing w:line="520" w:lineRule="exact"/>
        <w:ind w:firstLine="640" w:firstLineChars="200"/>
        <w:jc w:val="left"/>
        <w:rPr>
          <w:rFonts w:ascii="仿宋" w:hAnsi="仿宋" w:eastAsia="仿宋" w:cs="仿宋"/>
          <w:kern w:val="0"/>
          <w:sz w:val="32"/>
          <w:szCs w:val="32"/>
          <w:highlight w:val="none"/>
        </w:rPr>
      </w:pPr>
      <w:r>
        <w:rPr>
          <w:rFonts w:hint="eastAsia" w:ascii="仿宋" w:hAnsi="仿宋" w:eastAsia="仿宋" w:cs="仿宋"/>
          <w:sz w:val="32"/>
          <w:szCs w:val="32"/>
          <w:highlight w:val="none"/>
        </w:rPr>
        <w:t>2021年本部门年</w:t>
      </w:r>
      <w:r>
        <w:rPr>
          <w:rFonts w:hint="eastAsia" w:ascii="仿宋" w:hAnsi="仿宋" w:eastAsia="仿宋" w:cs="仿宋"/>
          <w:kern w:val="0"/>
          <w:sz w:val="32"/>
          <w:szCs w:val="32"/>
          <w:highlight w:val="none"/>
        </w:rPr>
        <w:t>度开支会议费0万元；开支培训费3.51万元，用于开展党建培训，人数17人，内容为开展党史学习教育；举办节庆、晚会、论坛、赛事等活动开支0万元。</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十一、关于政府采购支出说明</w:t>
      </w:r>
    </w:p>
    <w:p>
      <w:pPr>
        <w:pStyle w:val="2"/>
        <w:ind w:firstLine="640" w:firstLineChars="200"/>
        <w:rPr>
          <w:highlight w:val="none"/>
        </w:rPr>
      </w:pPr>
      <w:r>
        <w:rPr>
          <w:rFonts w:hint="eastAsia"/>
          <w:highlight w:val="none"/>
        </w:rPr>
        <w:t>本部门2021年度政府采购支出总额</w:t>
      </w:r>
      <w:r>
        <w:rPr>
          <w:rFonts w:hint="eastAsia"/>
          <w:highlight w:val="none"/>
          <w:lang w:val="en-US"/>
        </w:rPr>
        <w:t>324.70</w:t>
      </w:r>
      <w:r>
        <w:rPr>
          <w:rFonts w:hint="eastAsia"/>
          <w:highlight w:val="none"/>
        </w:rPr>
        <w:t>万元，其中：政府采购货物支出</w:t>
      </w:r>
      <w:r>
        <w:rPr>
          <w:rFonts w:hint="eastAsia"/>
          <w:highlight w:val="none"/>
          <w:lang w:val="en-US"/>
        </w:rPr>
        <w:t>141.92</w:t>
      </w:r>
      <w:r>
        <w:rPr>
          <w:rFonts w:hint="eastAsia"/>
          <w:highlight w:val="none"/>
        </w:rPr>
        <w:t>万元、政府采购工程支出</w:t>
      </w:r>
      <w:r>
        <w:rPr>
          <w:rFonts w:hint="eastAsia"/>
          <w:highlight w:val="none"/>
          <w:lang w:val="en-US"/>
        </w:rPr>
        <w:t>0</w:t>
      </w:r>
      <w:r>
        <w:rPr>
          <w:rFonts w:hint="eastAsia"/>
          <w:highlight w:val="none"/>
        </w:rPr>
        <w:t>万元、政府采购服务支出</w:t>
      </w:r>
      <w:r>
        <w:rPr>
          <w:rFonts w:hint="eastAsia"/>
          <w:highlight w:val="none"/>
          <w:lang w:val="en-US"/>
        </w:rPr>
        <w:t>182.78</w:t>
      </w:r>
      <w:r>
        <w:rPr>
          <w:rFonts w:hint="eastAsia"/>
          <w:highlight w:val="none"/>
        </w:rPr>
        <w:t>万元。授予中小企业合同金额</w:t>
      </w:r>
      <w:r>
        <w:rPr>
          <w:rFonts w:hint="eastAsia"/>
          <w:highlight w:val="none"/>
          <w:lang w:val="en-US"/>
        </w:rPr>
        <w:t>0</w:t>
      </w:r>
      <w:r>
        <w:rPr>
          <w:rFonts w:hint="eastAsia"/>
          <w:highlight w:val="none"/>
        </w:rPr>
        <w:t>万元，占政府采购支出总额的</w:t>
      </w:r>
      <w:r>
        <w:rPr>
          <w:rFonts w:hint="eastAsia"/>
          <w:highlight w:val="none"/>
          <w:lang w:val="en-US"/>
        </w:rPr>
        <w:t>0</w:t>
      </w:r>
      <w:r>
        <w:rPr>
          <w:rFonts w:hint="eastAsia"/>
          <w:highlight w:val="none"/>
        </w:rPr>
        <w:t>%，其中：授予小微企业合同金额</w:t>
      </w:r>
      <w:r>
        <w:rPr>
          <w:rFonts w:hint="eastAsia"/>
          <w:highlight w:val="none"/>
          <w:lang w:val="en-US"/>
        </w:rPr>
        <w:t>0</w:t>
      </w:r>
      <w:r>
        <w:rPr>
          <w:rFonts w:hint="eastAsia"/>
          <w:highlight w:val="none"/>
        </w:rPr>
        <w:t>万元，占政府采购支出总额的</w:t>
      </w:r>
      <w:r>
        <w:rPr>
          <w:rFonts w:hint="eastAsia"/>
          <w:highlight w:val="none"/>
          <w:lang w:val="en-US"/>
        </w:rPr>
        <w:t>0</w:t>
      </w:r>
      <w:r>
        <w:rPr>
          <w:rFonts w:hint="eastAsia"/>
          <w:highlight w:val="none"/>
        </w:rPr>
        <w:t>%。</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十二、关于国有资产占用情况说明</w:t>
      </w:r>
    </w:p>
    <w:p>
      <w:pPr>
        <w:spacing w:line="600" w:lineRule="exact"/>
        <w:ind w:firstLine="640" w:firstLineChars="200"/>
        <w:rPr>
          <w:rFonts w:ascii="仿宋" w:hAnsi="仿宋" w:eastAsia="仿宋" w:cs="仿宋"/>
          <w:kern w:val="0"/>
          <w:sz w:val="32"/>
          <w:szCs w:val="32"/>
          <w:highlight w:val="none"/>
        </w:rPr>
      </w:pPr>
      <w:r>
        <w:rPr>
          <w:rFonts w:hint="eastAsia" w:ascii="仿宋" w:hAnsi="仿宋" w:eastAsia="仿宋" w:cs="仿宋"/>
          <w:sz w:val="32"/>
          <w:szCs w:val="32"/>
          <w:highlight w:val="none"/>
        </w:rPr>
        <w:t>截至2021年12月31日，本单位共有车辆0辆，其中，主要业务用车0辆，专业技术</w:t>
      </w:r>
      <w:r>
        <w:rPr>
          <w:rFonts w:hint="eastAsia" w:ascii="仿宋" w:hAnsi="仿宋" w:eastAsia="仿宋" w:cs="仿宋"/>
          <w:kern w:val="0"/>
          <w:sz w:val="32"/>
          <w:szCs w:val="32"/>
          <w:highlight w:val="none"/>
        </w:rPr>
        <w:t>用车0辆、应急保障用车0辆、执法执勤用车0辆、特种专业技术用车0辆、其他用车0辆；单位价值50万元以上通用设备</w:t>
      </w:r>
      <w:r>
        <w:rPr>
          <w:rFonts w:hint="eastAsia" w:ascii="仿宋" w:hAnsi="仿宋" w:eastAsia="仿宋" w:cs="仿宋"/>
          <w:color w:val="000000" w:themeColor="text1"/>
          <w:kern w:val="0"/>
          <w:sz w:val="32"/>
          <w:szCs w:val="32"/>
          <w:highlight w:val="none"/>
        </w:rPr>
        <w:t>0</w:t>
      </w:r>
      <w:r>
        <w:rPr>
          <w:rFonts w:hint="eastAsia" w:ascii="仿宋" w:hAnsi="仿宋" w:eastAsia="仿宋" w:cs="仿宋"/>
          <w:kern w:val="0"/>
          <w:sz w:val="32"/>
          <w:szCs w:val="32"/>
          <w:highlight w:val="none"/>
        </w:rPr>
        <w:t>台（套）；单位价值100万元以上专用设备0台（套）。</w:t>
      </w:r>
    </w:p>
    <w:p>
      <w:pPr>
        <w:pStyle w:val="8"/>
        <w:rPr>
          <w:rFonts w:ascii="仿宋" w:hAnsi="仿宋" w:eastAsia="仿宋" w:cs="仿宋"/>
          <w:b/>
          <w:bCs/>
          <w:sz w:val="32"/>
          <w:szCs w:val="32"/>
          <w:highlight w:val="none"/>
        </w:rPr>
      </w:pPr>
      <w:r>
        <w:rPr>
          <w:rFonts w:hint="eastAsia" w:ascii="仿宋" w:hAnsi="仿宋" w:eastAsia="仿宋" w:cs="仿宋"/>
          <w:b/>
          <w:bCs/>
          <w:sz w:val="32"/>
          <w:szCs w:val="32"/>
          <w:highlight w:val="none"/>
        </w:rPr>
        <w:t>十三、关于2021年度预算绩效情况的说明</w:t>
      </w:r>
    </w:p>
    <w:p>
      <w:pPr>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根据《湘潭县财政局关于做好 2021 年度县本级预算支出绩效自评工作的通知》的工作要求，2021 年我单位继续加强了对项目资金的绩效管理工作，认真对照财政支出绩效评价指标体系进行自评，围绕项目产出、项目效益等指标进行评价，预算绩效管理开展情况良好。具体明细见附件</w:t>
      </w:r>
    </w:p>
    <w:p>
      <w:pPr>
        <w:pStyle w:val="8"/>
        <w:jc w:val="center"/>
        <w:rPr>
          <w:rFonts w:ascii="仿宋" w:hAnsi="仿宋" w:eastAsia="仿宋" w:cs="仿宋"/>
          <w:sz w:val="32"/>
          <w:szCs w:val="32"/>
          <w:highlight w:val="none"/>
        </w:rPr>
      </w:pPr>
    </w:p>
    <w:p>
      <w:pPr>
        <w:pStyle w:val="8"/>
        <w:jc w:val="center"/>
        <w:rPr>
          <w:rFonts w:ascii="仿宋" w:hAnsi="仿宋" w:eastAsia="仿宋" w:cs="仿宋"/>
          <w:sz w:val="32"/>
          <w:szCs w:val="32"/>
          <w:highlight w:val="none"/>
        </w:rPr>
      </w:pPr>
    </w:p>
    <w:p>
      <w:pPr>
        <w:pStyle w:val="8"/>
        <w:jc w:val="center"/>
        <w:rPr>
          <w:rFonts w:ascii="仿宋" w:hAnsi="仿宋" w:eastAsia="仿宋" w:cs="仿宋"/>
          <w:sz w:val="32"/>
          <w:szCs w:val="32"/>
          <w:highlight w:val="none"/>
        </w:rPr>
      </w:pPr>
    </w:p>
    <w:p>
      <w:pPr>
        <w:pStyle w:val="8"/>
        <w:jc w:val="center"/>
        <w:rPr>
          <w:rFonts w:ascii="仿宋" w:hAnsi="仿宋" w:eastAsia="仿宋" w:cs="仿宋"/>
          <w:sz w:val="32"/>
          <w:szCs w:val="32"/>
          <w:highlight w:val="none"/>
        </w:rPr>
      </w:pPr>
    </w:p>
    <w:p>
      <w:pPr>
        <w:pStyle w:val="8"/>
        <w:jc w:val="center"/>
        <w:rPr>
          <w:rFonts w:ascii="仿宋" w:hAnsi="仿宋" w:eastAsia="仿宋" w:cs="仿宋"/>
          <w:sz w:val="32"/>
          <w:szCs w:val="32"/>
          <w:highlight w:val="none"/>
        </w:rPr>
        <w:sectPr>
          <w:pgSz w:w="11906" w:h="16838"/>
          <w:pgMar w:top="1440" w:right="1797" w:bottom="1440" w:left="1797" w:header="851" w:footer="992" w:gutter="0"/>
          <w:cols w:space="0" w:num="1"/>
          <w:docGrid w:type="linesAndChars" w:linePitch="312" w:charSpace="0"/>
        </w:sectPr>
      </w:pPr>
    </w:p>
    <w:p>
      <w:pPr>
        <w:pStyle w:val="8"/>
        <w:jc w:val="both"/>
        <w:rPr>
          <w:rFonts w:ascii="仿宋" w:hAnsi="仿宋" w:eastAsia="仿宋" w:cs="仿宋"/>
          <w:b/>
          <w:bCs/>
          <w:sz w:val="36"/>
          <w:szCs w:val="36"/>
          <w:highlight w:val="none"/>
        </w:rPr>
      </w:pPr>
    </w:p>
    <w:p>
      <w:pPr>
        <w:pStyle w:val="8"/>
        <w:ind w:firstLine="2520" w:firstLineChars="700"/>
        <w:jc w:val="both"/>
        <w:rPr>
          <w:rFonts w:ascii="仿宋" w:hAnsi="仿宋" w:eastAsia="仿宋" w:cs="仿宋"/>
          <w:b/>
          <w:bCs/>
          <w:sz w:val="36"/>
          <w:szCs w:val="36"/>
          <w:highlight w:val="none"/>
        </w:rPr>
      </w:pPr>
    </w:p>
    <w:p>
      <w:pPr>
        <w:pStyle w:val="8"/>
        <w:ind w:firstLine="2520" w:firstLineChars="700"/>
        <w:jc w:val="both"/>
        <w:rPr>
          <w:rFonts w:ascii="仿宋" w:hAnsi="仿宋" w:eastAsia="仿宋" w:cs="仿宋"/>
          <w:b/>
          <w:bCs/>
          <w:sz w:val="36"/>
          <w:szCs w:val="36"/>
          <w:highlight w:val="none"/>
        </w:rPr>
      </w:pPr>
    </w:p>
    <w:p>
      <w:pPr>
        <w:pStyle w:val="8"/>
        <w:ind w:firstLine="2520" w:firstLineChars="700"/>
        <w:jc w:val="both"/>
        <w:rPr>
          <w:rFonts w:ascii="仿宋" w:hAnsi="仿宋" w:eastAsia="仿宋" w:cs="仿宋"/>
          <w:b/>
          <w:bCs/>
          <w:sz w:val="36"/>
          <w:szCs w:val="36"/>
          <w:highlight w:val="none"/>
        </w:rPr>
      </w:pPr>
    </w:p>
    <w:p>
      <w:pPr>
        <w:pStyle w:val="8"/>
        <w:numPr>
          <w:ilvl w:val="0"/>
          <w:numId w:val="3"/>
        </w:numPr>
        <w:ind w:firstLine="2520"/>
        <w:jc w:val="both"/>
        <w:rPr>
          <w:rFonts w:ascii="仿宋" w:hAnsi="仿宋" w:eastAsia="仿宋" w:cs="仿宋"/>
          <w:b/>
          <w:bCs/>
          <w:sz w:val="48"/>
          <w:szCs w:val="48"/>
          <w:highlight w:val="none"/>
        </w:rPr>
      </w:pPr>
      <w:r>
        <w:rPr>
          <w:rFonts w:hint="eastAsia" w:ascii="仿宋" w:hAnsi="仿宋" w:eastAsia="仿宋" w:cs="仿宋"/>
          <w:b/>
          <w:bCs/>
          <w:sz w:val="48"/>
          <w:szCs w:val="48"/>
          <w:highlight w:val="none"/>
        </w:rPr>
        <w:t xml:space="preserve">     </w:t>
      </w:r>
    </w:p>
    <w:p>
      <w:pPr>
        <w:pStyle w:val="8"/>
        <w:ind w:firstLine="3360" w:firstLineChars="7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r>
        <w:rPr>
          <w:rFonts w:hint="eastAsia" w:ascii="仿宋" w:hAnsi="仿宋" w:eastAsia="仿宋" w:cs="仿宋"/>
          <w:b/>
          <w:bCs/>
          <w:sz w:val="48"/>
          <w:szCs w:val="48"/>
          <w:highlight w:val="none"/>
        </w:rPr>
        <w:t>名词解释</w:t>
      </w: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pStyle w:val="8"/>
        <w:ind w:firstLine="3840" w:firstLineChars="800"/>
        <w:jc w:val="both"/>
        <w:rPr>
          <w:rFonts w:ascii="仿宋" w:hAnsi="仿宋" w:eastAsia="仿宋" w:cs="仿宋"/>
          <w:b/>
          <w:bCs/>
          <w:sz w:val="48"/>
          <w:szCs w:val="48"/>
          <w:highlight w:val="none"/>
        </w:rPr>
      </w:pPr>
    </w:p>
    <w:p>
      <w:pPr>
        <w:ind w:firstLine="5760" w:firstLineChars="1200"/>
        <w:rPr>
          <w:rFonts w:ascii="仿宋" w:hAnsi="仿宋" w:eastAsia="仿宋" w:cs="仿宋"/>
          <w:b/>
          <w:bCs/>
          <w:color w:val="000000"/>
          <w:kern w:val="0"/>
          <w:sz w:val="48"/>
          <w:szCs w:val="48"/>
          <w:highlight w:val="none"/>
        </w:rPr>
      </w:pPr>
    </w:p>
    <w:p>
      <w:pPr>
        <w:ind w:firstLine="1550" w:firstLineChars="500"/>
        <w:jc w:val="left"/>
        <w:rPr>
          <w:rFonts w:ascii="仿宋" w:hAnsi="仿宋" w:eastAsia="仿宋" w:cs="仿宋"/>
          <w:sz w:val="31"/>
          <w:highlight w:val="none"/>
        </w:rPr>
      </w:pPr>
    </w:p>
    <w:p>
      <w:pPr>
        <w:ind w:firstLine="1550" w:firstLineChars="500"/>
        <w:jc w:val="left"/>
        <w:rPr>
          <w:rFonts w:ascii="仿宋" w:hAnsi="仿宋" w:eastAsia="仿宋" w:cs="仿宋"/>
          <w:sz w:val="31"/>
          <w:highlight w:val="none"/>
        </w:rPr>
      </w:pPr>
      <w:r>
        <w:rPr>
          <w:rFonts w:hint="eastAsia" w:ascii="仿宋" w:hAnsi="仿宋" w:eastAsia="仿宋" w:cs="仿宋"/>
          <w:sz w:val="31"/>
          <w:highlight w:val="none"/>
        </w:rPr>
        <w:t>1、机关运行经费：是指各部门的公用经费，包括办公</w:t>
      </w:r>
    </w:p>
    <w:p>
      <w:pPr>
        <w:ind w:firstLine="924" w:firstLineChars="300"/>
        <w:jc w:val="left"/>
        <w:rPr>
          <w:rFonts w:ascii="仿宋" w:hAnsi="仿宋" w:eastAsia="仿宋" w:cs="仿宋"/>
          <w:spacing w:val="-1"/>
          <w:sz w:val="31"/>
          <w:highlight w:val="none"/>
        </w:rPr>
      </w:pPr>
      <w:r>
        <w:rPr>
          <w:rFonts w:hint="eastAsia" w:ascii="仿宋" w:hAnsi="仿宋" w:eastAsia="仿宋" w:cs="仿宋"/>
          <w:spacing w:val="-1"/>
          <w:sz w:val="31"/>
          <w:highlight w:val="none"/>
        </w:rPr>
        <w:t>及印刷费、邮电费、差旅费、会议费、福利费、日常维修费、</w:t>
      </w:r>
    </w:p>
    <w:p>
      <w:pPr>
        <w:ind w:firstLine="924" w:firstLineChars="300"/>
        <w:jc w:val="left"/>
        <w:rPr>
          <w:rFonts w:ascii="仿宋" w:hAnsi="仿宋" w:eastAsia="仿宋" w:cs="仿宋"/>
          <w:spacing w:val="-1"/>
          <w:sz w:val="31"/>
          <w:highlight w:val="none"/>
        </w:rPr>
      </w:pPr>
      <w:r>
        <w:rPr>
          <w:rFonts w:hint="eastAsia" w:ascii="仿宋" w:hAnsi="仿宋" w:eastAsia="仿宋" w:cs="仿宋"/>
          <w:spacing w:val="-1"/>
          <w:sz w:val="31"/>
          <w:highlight w:val="none"/>
        </w:rPr>
        <w:t xml:space="preserve">专用资料及一般设备购置费、办公用房水电费、办公用房取 </w:t>
      </w:r>
    </w:p>
    <w:p>
      <w:pPr>
        <w:ind w:firstLine="924" w:firstLineChars="300"/>
        <w:jc w:val="left"/>
        <w:rPr>
          <w:rFonts w:ascii="仿宋" w:hAnsi="仿宋" w:eastAsia="仿宋" w:cs="仿宋"/>
          <w:spacing w:val="-1"/>
          <w:sz w:val="31"/>
          <w:highlight w:val="none"/>
        </w:rPr>
      </w:pPr>
      <w:r>
        <w:rPr>
          <w:rFonts w:hint="eastAsia" w:ascii="仿宋" w:hAnsi="仿宋" w:eastAsia="仿宋" w:cs="仿宋"/>
          <w:spacing w:val="-1"/>
          <w:sz w:val="31"/>
          <w:highlight w:val="none"/>
        </w:rPr>
        <w:t>暖费、办公用房物业管理费、公务用车运行维护费以及其他</w:t>
      </w:r>
    </w:p>
    <w:p>
      <w:pPr>
        <w:ind w:firstLine="924" w:firstLineChars="300"/>
        <w:jc w:val="left"/>
        <w:rPr>
          <w:rFonts w:ascii="仿宋" w:hAnsi="仿宋" w:eastAsia="仿宋" w:cs="仿宋"/>
          <w:spacing w:val="-1"/>
          <w:sz w:val="31"/>
          <w:highlight w:val="none"/>
        </w:rPr>
      </w:pPr>
      <w:r>
        <w:rPr>
          <w:rFonts w:hint="eastAsia" w:ascii="仿宋" w:hAnsi="仿宋" w:eastAsia="仿宋" w:cs="仿宋"/>
          <w:spacing w:val="-1"/>
          <w:sz w:val="31"/>
          <w:highlight w:val="none"/>
        </w:rPr>
        <w:t>费用。</w:t>
      </w:r>
    </w:p>
    <w:p>
      <w:pPr>
        <w:spacing w:before="2"/>
        <w:ind w:firstLine="930" w:firstLineChars="300"/>
        <w:jc w:val="left"/>
        <w:rPr>
          <w:rFonts w:ascii="仿宋" w:hAnsi="仿宋" w:eastAsia="仿宋" w:cs="仿宋"/>
          <w:sz w:val="31"/>
          <w:highlight w:val="none"/>
        </w:rPr>
      </w:pPr>
    </w:p>
    <w:p>
      <w:pPr>
        <w:spacing w:before="2"/>
        <w:ind w:firstLine="1550" w:firstLineChars="500"/>
        <w:jc w:val="left"/>
        <w:rPr>
          <w:rFonts w:ascii="仿宋" w:hAnsi="仿宋" w:eastAsia="仿宋" w:cs="仿宋"/>
          <w:sz w:val="31"/>
          <w:highlight w:val="none"/>
        </w:rPr>
      </w:pPr>
      <w:r>
        <w:rPr>
          <w:rFonts w:hint="eastAsia" w:ascii="仿宋" w:hAnsi="仿宋" w:eastAsia="仿宋" w:cs="仿宋"/>
          <w:sz w:val="31"/>
          <w:highlight w:val="none"/>
        </w:rPr>
        <w:t>2、“三公”经费：纳入省财政预算管理的“三公“经费，</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是指用一般公共预算拨款安排的公务接待费、公务用车购置</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及运行维护费和因公出国（境）费。其中，公务接待费反映</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单位按规定开支的各类公务接待支出；公务用车购置及运行</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费反映单位公务用车车辆购置支出（含车辆购置税）， 以及</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燃料费、维修费、保险费等支出；因公出国（境）费反映单</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位公务出国（境）的国际旅费、国外城市间交通费、食宿费</w:t>
      </w:r>
    </w:p>
    <w:p>
      <w:pPr>
        <w:spacing w:before="2"/>
        <w:ind w:firstLine="930" w:firstLineChars="300"/>
        <w:jc w:val="left"/>
        <w:rPr>
          <w:rFonts w:ascii="仿宋" w:hAnsi="仿宋" w:eastAsia="仿宋" w:cs="仿宋"/>
          <w:sz w:val="31"/>
          <w:highlight w:val="none"/>
        </w:rPr>
      </w:pPr>
      <w:r>
        <w:rPr>
          <w:rFonts w:hint="eastAsia" w:ascii="仿宋" w:hAnsi="仿宋" w:eastAsia="仿宋" w:cs="仿宋"/>
          <w:sz w:val="31"/>
          <w:highlight w:val="none"/>
        </w:rPr>
        <w:t>等支出。</w:t>
      </w:r>
    </w:p>
    <w:p>
      <w:pPr>
        <w:widowControl/>
        <w:jc w:val="left"/>
        <w:rPr>
          <w:rFonts w:ascii="仿宋" w:hAnsi="仿宋" w:eastAsia="仿宋" w:cs="仿宋"/>
          <w:sz w:val="32"/>
          <w:szCs w:val="32"/>
          <w:highlight w:val="none"/>
        </w:rPr>
      </w:pPr>
    </w:p>
    <w:p>
      <w:pPr>
        <w:widowControl/>
        <w:ind w:firstLine="1600" w:firstLineChars="500"/>
        <w:jc w:val="left"/>
        <w:rPr>
          <w:rFonts w:ascii="仿宋" w:hAnsi="仿宋" w:eastAsia="仿宋" w:cs="仿宋"/>
          <w:sz w:val="32"/>
          <w:szCs w:val="32"/>
          <w:highlight w:val="none"/>
        </w:rPr>
      </w:pPr>
      <w:r>
        <w:rPr>
          <w:rFonts w:hint="eastAsia" w:ascii="仿宋" w:hAnsi="仿宋" w:eastAsia="仿宋" w:cs="仿宋"/>
          <w:sz w:val="32"/>
          <w:szCs w:val="32"/>
          <w:highlight w:val="none"/>
        </w:rPr>
        <w:t>3、基本支出：是指为保障机构正常运转、完成日常工作</w:t>
      </w:r>
    </w:p>
    <w:p>
      <w:pPr>
        <w:widowControl/>
        <w:ind w:firstLine="960" w:firstLineChars="300"/>
        <w:jc w:val="left"/>
        <w:rPr>
          <w:rFonts w:ascii="仿宋" w:hAnsi="仿宋" w:eastAsia="仿宋" w:cs="仿宋"/>
          <w:sz w:val="32"/>
          <w:szCs w:val="32"/>
          <w:highlight w:val="none"/>
        </w:rPr>
      </w:pPr>
      <w:r>
        <w:rPr>
          <w:rFonts w:hint="eastAsia" w:ascii="仿宋" w:hAnsi="仿宋" w:eastAsia="仿宋" w:cs="仿宋"/>
          <w:sz w:val="32"/>
          <w:szCs w:val="32"/>
          <w:highlight w:val="none"/>
        </w:rPr>
        <w:t xml:space="preserve">任务而发生的人员支出和公用支出。 </w:t>
      </w:r>
    </w:p>
    <w:p>
      <w:pPr>
        <w:widowControl/>
        <w:ind w:left="1050" w:leftChars="500" w:firstLine="320" w:firstLineChars="100"/>
        <w:jc w:val="left"/>
        <w:rPr>
          <w:rFonts w:ascii="仿宋" w:hAnsi="仿宋" w:eastAsia="仿宋" w:cs="仿宋"/>
          <w:sz w:val="32"/>
          <w:szCs w:val="32"/>
          <w:highlight w:val="none"/>
        </w:rPr>
      </w:pPr>
    </w:p>
    <w:p>
      <w:pPr>
        <w:widowControl/>
        <w:ind w:left="1050" w:leftChars="500" w:firstLine="320" w:firstLineChars="100"/>
        <w:jc w:val="left"/>
        <w:rPr>
          <w:rFonts w:ascii="仿宋" w:hAnsi="仿宋" w:eastAsia="仿宋" w:cs="仿宋"/>
          <w:sz w:val="32"/>
          <w:szCs w:val="32"/>
          <w:highlight w:val="none"/>
        </w:rPr>
      </w:pPr>
      <w:r>
        <w:rPr>
          <w:rFonts w:hint="eastAsia" w:ascii="仿宋" w:hAnsi="仿宋" w:eastAsia="仿宋" w:cs="仿宋"/>
          <w:sz w:val="32"/>
          <w:szCs w:val="32"/>
          <w:highlight w:val="none"/>
        </w:rPr>
        <w:t>4、项目支出：是指在基本支出之外为完成特定行政任务和</w:t>
      </w:r>
    </w:p>
    <w:p>
      <w:pPr>
        <w:widowControl/>
        <w:ind w:left="1050" w:leftChars="500"/>
        <w:jc w:val="left"/>
        <w:rPr>
          <w:rFonts w:ascii="仿宋" w:hAnsi="仿宋" w:eastAsia="仿宋" w:cs="仿宋"/>
          <w:sz w:val="32"/>
          <w:szCs w:val="32"/>
          <w:highlight w:val="none"/>
        </w:rPr>
      </w:pPr>
      <w:r>
        <w:rPr>
          <w:rFonts w:hint="eastAsia" w:ascii="仿宋" w:hAnsi="仿宋" w:eastAsia="仿宋" w:cs="仿宋"/>
          <w:sz w:val="32"/>
          <w:szCs w:val="32"/>
          <w:highlight w:val="none"/>
        </w:rPr>
        <w:t>事业发展目标所发生的支出。</w:t>
      </w:r>
    </w:p>
    <w:p>
      <w:pPr>
        <w:pStyle w:val="8"/>
        <w:jc w:val="both"/>
        <w:rPr>
          <w:rFonts w:ascii="仿宋" w:hAnsi="仿宋" w:eastAsia="仿宋" w:cs="仿宋"/>
          <w:sz w:val="32"/>
          <w:szCs w:val="32"/>
          <w:highlight w:val="none"/>
        </w:rPr>
      </w:pPr>
    </w:p>
    <w:p>
      <w:pPr>
        <w:pStyle w:val="8"/>
        <w:jc w:val="center"/>
        <w:rPr>
          <w:rFonts w:ascii="仿宋" w:hAnsi="仿宋" w:eastAsia="仿宋" w:cs="仿宋"/>
          <w:sz w:val="32"/>
          <w:szCs w:val="32"/>
          <w:highlight w:val="none"/>
        </w:rPr>
      </w:pPr>
    </w:p>
    <w:p>
      <w:pPr>
        <w:pStyle w:val="8"/>
        <w:ind w:firstLine="1760" w:firstLineChars="550"/>
        <w:rPr>
          <w:rFonts w:ascii="仿宋" w:hAnsi="仿宋" w:eastAsia="仿宋" w:cs="仿宋"/>
          <w:sz w:val="32"/>
          <w:szCs w:val="32"/>
          <w:highlight w:val="none"/>
        </w:rPr>
      </w:pPr>
    </w:p>
    <w:p>
      <w:pPr>
        <w:pStyle w:val="8"/>
        <w:ind w:firstLine="1760" w:firstLineChars="550"/>
        <w:rPr>
          <w:rFonts w:ascii="仿宋" w:hAnsi="仿宋" w:eastAsia="仿宋" w:cs="仿宋"/>
          <w:sz w:val="32"/>
          <w:szCs w:val="32"/>
          <w:highlight w:val="none"/>
        </w:rPr>
      </w:pPr>
    </w:p>
    <w:p>
      <w:pPr>
        <w:pStyle w:val="8"/>
        <w:ind w:firstLine="1760" w:firstLineChars="550"/>
        <w:rPr>
          <w:rFonts w:ascii="仿宋" w:hAnsi="仿宋" w:eastAsia="仿宋" w:cs="仿宋"/>
          <w:sz w:val="32"/>
          <w:szCs w:val="32"/>
          <w:highlight w:val="none"/>
        </w:rPr>
      </w:pPr>
    </w:p>
    <w:p>
      <w:pPr>
        <w:pStyle w:val="8"/>
        <w:ind w:firstLine="1760" w:firstLineChars="550"/>
        <w:rPr>
          <w:rFonts w:ascii="仿宋" w:hAnsi="仿宋" w:eastAsia="仿宋" w:cs="仿宋"/>
          <w:sz w:val="32"/>
          <w:szCs w:val="32"/>
          <w:highlight w:val="none"/>
        </w:rPr>
      </w:pPr>
    </w:p>
    <w:p>
      <w:pPr>
        <w:pStyle w:val="8"/>
        <w:ind w:firstLine="2720" w:firstLineChars="850"/>
        <w:rPr>
          <w:rFonts w:ascii="仿宋" w:hAnsi="仿宋" w:eastAsia="仿宋" w:cs="仿宋"/>
          <w:sz w:val="32"/>
          <w:szCs w:val="32"/>
          <w:highlight w:val="none"/>
        </w:rPr>
      </w:pPr>
    </w:p>
    <w:p>
      <w:pPr>
        <w:pStyle w:val="8"/>
        <w:ind w:firstLine="3400" w:firstLineChars="850"/>
        <w:rPr>
          <w:rFonts w:ascii="仿宋" w:hAnsi="仿宋" w:eastAsia="仿宋" w:cs="仿宋"/>
          <w:b/>
          <w:bCs/>
          <w:sz w:val="40"/>
          <w:szCs w:val="40"/>
          <w:highlight w:val="none"/>
        </w:rPr>
      </w:pPr>
    </w:p>
    <w:p>
      <w:pPr>
        <w:pStyle w:val="8"/>
        <w:ind w:firstLine="3400" w:firstLineChars="850"/>
        <w:rPr>
          <w:rFonts w:ascii="仿宋" w:hAnsi="仿宋" w:eastAsia="仿宋" w:cs="仿宋"/>
          <w:b/>
          <w:bCs/>
          <w:sz w:val="40"/>
          <w:szCs w:val="40"/>
          <w:highlight w:val="none"/>
        </w:rPr>
      </w:pPr>
    </w:p>
    <w:p>
      <w:pPr>
        <w:pStyle w:val="8"/>
        <w:ind w:firstLine="3400" w:firstLineChars="850"/>
        <w:rPr>
          <w:rFonts w:ascii="仿宋" w:hAnsi="仿宋" w:eastAsia="仿宋" w:cs="仿宋"/>
          <w:b/>
          <w:bCs/>
          <w:sz w:val="40"/>
          <w:szCs w:val="40"/>
          <w:highlight w:val="none"/>
        </w:rPr>
      </w:pPr>
    </w:p>
    <w:p>
      <w:pPr>
        <w:pStyle w:val="8"/>
        <w:ind w:firstLine="3400" w:firstLineChars="850"/>
        <w:rPr>
          <w:rFonts w:ascii="仿宋" w:hAnsi="仿宋" w:eastAsia="仿宋" w:cs="仿宋"/>
          <w:b/>
          <w:bCs/>
          <w:sz w:val="40"/>
          <w:szCs w:val="40"/>
          <w:highlight w:val="none"/>
        </w:rPr>
      </w:pPr>
    </w:p>
    <w:p>
      <w:pPr>
        <w:pStyle w:val="8"/>
        <w:ind w:firstLine="3400" w:firstLineChars="850"/>
        <w:rPr>
          <w:rFonts w:ascii="仿宋" w:hAnsi="仿宋" w:eastAsia="仿宋" w:cs="仿宋"/>
          <w:b/>
          <w:bCs/>
          <w:sz w:val="40"/>
          <w:szCs w:val="40"/>
          <w:highlight w:val="none"/>
        </w:rPr>
      </w:pPr>
    </w:p>
    <w:p>
      <w:pPr>
        <w:pStyle w:val="8"/>
        <w:ind w:firstLine="3400" w:firstLineChars="850"/>
        <w:rPr>
          <w:rFonts w:ascii="仿宋" w:hAnsi="仿宋" w:eastAsia="仿宋" w:cs="仿宋"/>
          <w:b/>
          <w:bCs/>
          <w:sz w:val="40"/>
          <w:szCs w:val="40"/>
          <w:highlight w:val="none"/>
        </w:rPr>
      </w:pPr>
    </w:p>
    <w:p>
      <w:pPr>
        <w:pStyle w:val="8"/>
        <w:numPr>
          <w:ilvl w:val="0"/>
          <w:numId w:val="3"/>
        </w:numPr>
        <w:ind w:firstLine="2520"/>
        <w:rPr>
          <w:rFonts w:ascii="仿宋" w:hAnsi="仿宋" w:eastAsia="仿宋" w:cs="仿宋"/>
          <w:b/>
          <w:bCs/>
          <w:sz w:val="40"/>
          <w:szCs w:val="40"/>
          <w:highlight w:val="none"/>
        </w:rPr>
      </w:pPr>
      <w:r>
        <w:rPr>
          <w:rFonts w:hint="eastAsia" w:ascii="仿宋" w:hAnsi="仿宋" w:eastAsia="仿宋" w:cs="仿宋"/>
          <w:b/>
          <w:bCs/>
          <w:sz w:val="40"/>
          <w:szCs w:val="40"/>
          <w:highlight w:val="none"/>
        </w:rPr>
        <w:t xml:space="preserve">    </w:t>
      </w:r>
    </w:p>
    <w:p>
      <w:pPr>
        <w:pStyle w:val="8"/>
        <w:ind w:left="3780"/>
        <w:rPr>
          <w:rFonts w:ascii="仿宋" w:hAnsi="仿宋" w:eastAsia="仿宋" w:cs="仿宋"/>
          <w:b/>
          <w:bCs/>
          <w:sz w:val="40"/>
          <w:szCs w:val="40"/>
          <w:highlight w:val="none"/>
        </w:rPr>
      </w:pPr>
      <w:r>
        <w:rPr>
          <w:rFonts w:hint="eastAsia" w:ascii="仿宋" w:hAnsi="仿宋" w:eastAsia="仿宋" w:cs="仿宋"/>
          <w:b/>
          <w:bCs/>
          <w:sz w:val="40"/>
          <w:szCs w:val="40"/>
          <w:highlight w:val="none"/>
        </w:rPr>
        <w:t xml:space="preserve"> </w:t>
      </w:r>
    </w:p>
    <w:p>
      <w:pPr>
        <w:pStyle w:val="8"/>
        <w:ind w:left="3780" w:firstLine="440" w:firstLineChars="100"/>
        <w:rPr>
          <w:rFonts w:ascii="仿宋" w:hAnsi="仿宋" w:eastAsia="仿宋" w:cs="仿宋"/>
          <w:b/>
          <w:bCs/>
          <w:sz w:val="44"/>
          <w:szCs w:val="44"/>
          <w:highlight w:val="none"/>
        </w:rPr>
      </w:pPr>
      <w:r>
        <w:rPr>
          <w:rFonts w:hint="eastAsia" w:ascii="仿宋" w:hAnsi="仿宋" w:eastAsia="仿宋" w:cs="仿宋"/>
          <w:b/>
          <w:bCs/>
          <w:sz w:val="44"/>
          <w:szCs w:val="44"/>
          <w:highlight w:val="none"/>
        </w:rPr>
        <w:t>附 件</w:t>
      </w: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jc w:val="center"/>
        <w:rPr>
          <w:rFonts w:ascii="仿宋" w:hAnsi="仿宋" w:eastAsia="仿宋" w:cs="仿宋"/>
          <w:color w:val="000000"/>
          <w:kern w:val="0"/>
          <w:sz w:val="32"/>
          <w:szCs w:val="32"/>
          <w:highlight w:val="none"/>
        </w:rPr>
      </w:pPr>
    </w:p>
    <w:p>
      <w:pPr>
        <w:tabs>
          <w:tab w:val="left" w:pos="6480"/>
        </w:tabs>
        <w:spacing w:line="600" w:lineRule="exact"/>
        <w:jc w:val="center"/>
        <w:rPr>
          <w:rFonts w:ascii="宋体" w:hAnsi="宋体" w:cs="方正小标宋_GBK"/>
          <w:b/>
          <w:bCs/>
          <w:sz w:val="36"/>
          <w:szCs w:val="36"/>
          <w:highlight w:val="none"/>
        </w:rPr>
      </w:pPr>
    </w:p>
    <w:p>
      <w:pPr>
        <w:tabs>
          <w:tab w:val="left" w:pos="6480"/>
        </w:tabs>
        <w:spacing w:line="600" w:lineRule="exact"/>
        <w:jc w:val="center"/>
        <w:rPr>
          <w:rFonts w:ascii="宋体" w:hAnsi="宋体" w:cs="方正小标宋_GBK"/>
          <w:b/>
          <w:bCs/>
          <w:sz w:val="36"/>
          <w:szCs w:val="36"/>
          <w:highlight w:val="none"/>
        </w:rPr>
      </w:pPr>
      <w:r>
        <w:rPr>
          <w:rFonts w:hint="eastAsia" w:ascii="宋体" w:hAnsi="宋体" w:cs="方正小标宋_GBK"/>
          <w:b/>
          <w:bCs/>
          <w:sz w:val="36"/>
          <w:szCs w:val="36"/>
          <w:highlight w:val="none"/>
        </w:rPr>
        <w:t>湘潭县行政审批服务局</w:t>
      </w:r>
    </w:p>
    <w:p>
      <w:pPr>
        <w:tabs>
          <w:tab w:val="left" w:pos="6480"/>
        </w:tabs>
        <w:spacing w:line="600" w:lineRule="exact"/>
        <w:jc w:val="center"/>
        <w:rPr>
          <w:rFonts w:ascii="宋体" w:hAnsi="宋体" w:cs="方正小标宋_GBK"/>
          <w:b/>
          <w:bCs/>
          <w:sz w:val="36"/>
          <w:szCs w:val="36"/>
          <w:highlight w:val="none"/>
        </w:rPr>
      </w:pPr>
      <w:r>
        <w:rPr>
          <w:rFonts w:hint="eastAsia" w:ascii="宋体" w:hAnsi="宋体" w:cs="方正小标宋_GBK"/>
          <w:b/>
          <w:bCs/>
          <w:sz w:val="36"/>
          <w:szCs w:val="36"/>
          <w:highlight w:val="none"/>
        </w:rPr>
        <w:t>部门整体支出绩效评价报告</w:t>
      </w:r>
    </w:p>
    <w:p>
      <w:pPr>
        <w:tabs>
          <w:tab w:val="left" w:pos="6480"/>
        </w:tabs>
        <w:spacing w:line="600" w:lineRule="exact"/>
        <w:jc w:val="center"/>
        <w:rPr>
          <w:rFonts w:ascii="宋体" w:hAnsi="宋体" w:cs="方正小标宋_GBK"/>
          <w:b/>
          <w:bCs/>
          <w:sz w:val="36"/>
          <w:szCs w:val="36"/>
          <w:highlight w:val="none"/>
        </w:rPr>
      </w:pP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部门概况</w:t>
            </w: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单位名称</w:t>
            </w:r>
          </w:p>
        </w:tc>
        <w:tc>
          <w:tcPr>
            <w:tcW w:w="5670" w:type="dxa"/>
            <w:vAlign w:val="center"/>
          </w:tcPr>
          <w:p>
            <w:pPr>
              <w:spacing w:line="576" w:lineRule="exact"/>
              <w:ind w:right="879" w:rightChars="419"/>
              <w:jc w:val="center"/>
              <w:rPr>
                <w:rFonts w:ascii="仿宋_GB2312" w:hAnsi="宋体" w:eastAsia="仿宋_GB2312" w:cs="宋体"/>
                <w:highlight w:val="none"/>
              </w:rPr>
            </w:pPr>
            <w:r>
              <w:rPr>
                <w:rFonts w:hint="eastAsia" w:ascii="仿宋_GB2312" w:hAnsi="宋体" w:eastAsia="仿宋_GB2312" w:cs="宋体"/>
                <w:highlight w:val="none"/>
              </w:rPr>
              <w:t>湘潭县行政审批服务局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highlight w:val="none"/>
              </w:rPr>
            </w:pP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年度预算金额</w:t>
            </w:r>
          </w:p>
        </w:tc>
        <w:tc>
          <w:tcPr>
            <w:tcW w:w="5670" w:type="dxa"/>
            <w:vAlign w:val="center"/>
          </w:tcPr>
          <w:p>
            <w:pPr>
              <w:spacing w:line="576" w:lineRule="exact"/>
              <w:ind w:right="879" w:rightChars="419"/>
              <w:jc w:val="center"/>
              <w:rPr>
                <w:rFonts w:ascii="仿宋_GB2312" w:hAnsi="宋体" w:eastAsia="仿宋_GB2312" w:cs="宋体"/>
                <w:highlight w:val="none"/>
              </w:rPr>
            </w:pPr>
            <w:r>
              <w:rPr>
                <w:rFonts w:ascii="仿宋_GB2312" w:hAnsi="宋体" w:eastAsia="仿宋_GB2312" w:cs="宋体"/>
                <w:highlight w:val="none"/>
              </w:rPr>
              <w:t>1032</w:t>
            </w:r>
            <w:r>
              <w:rPr>
                <w:rFonts w:hint="eastAsia" w:ascii="仿宋_GB2312" w:hAnsi="宋体" w:eastAsia="仿宋_GB2312" w:cs="宋体"/>
                <w:highlight w:val="none"/>
              </w:rPr>
              <w:t>.</w:t>
            </w:r>
            <w:r>
              <w:rPr>
                <w:rFonts w:ascii="仿宋_GB2312" w:hAnsi="宋体" w:eastAsia="仿宋_GB2312" w:cs="宋体"/>
                <w:highlight w:val="none"/>
              </w:rPr>
              <w:t>85</w:t>
            </w:r>
            <w:r>
              <w:rPr>
                <w:rFonts w:hint="eastAsia" w:ascii="仿宋_GB2312" w:hAnsi="宋体" w:eastAsia="仿宋_GB2312" w:cs="宋体"/>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highlight w:val="none"/>
              </w:rPr>
            </w:pP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主管部门</w:t>
            </w:r>
          </w:p>
        </w:tc>
        <w:tc>
          <w:tcPr>
            <w:tcW w:w="5670" w:type="dxa"/>
            <w:vAlign w:val="center"/>
          </w:tcPr>
          <w:p>
            <w:pPr>
              <w:spacing w:line="576" w:lineRule="exact"/>
              <w:ind w:right="879" w:rightChars="419"/>
              <w:jc w:val="center"/>
              <w:rPr>
                <w:rFonts w:ascii="仿宋_GB2312" w:hAnsi="宋体" w:eastAsia="仿宋_GB2312" w:cs="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highlight w:val="none"/>
              </w:rPr>
            </w:pP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单位基本职能</w:t>
            </w:r>
          </w:p>
        </w:tc>
        <w:tc>
          <w:tcPr>
            <w:tcW w:w="5670" w:type="dxa"/>
            <w:vAlign w:val="center"/>
          </w:tcPr>
          <w:p>
            <w:pPr>
              <w:spacing w:line="576" w:lineRule="exact"/>
              <w:ind w:right="-6"/>
              <w:rPr>
                <w:rFonts w:ascii="仿宋_GB2312" w:hAnsi="宋体" w:eastAsia="仿宋_GB2312" w:cs="宋体"/>
                <w:highlight w:val="none"/>
              </w:rPr>
            </w:pPr>
            <w:r>
              <w:rPr>
                <w:rFonts w:hint="eastAsia" w:ascii="仿宋_GB2312" w:hAnsi="宋体" w:eastAsia="仿宋_GB2312" w:cs="宋体"/>
                <w:highlight w:val="none"/>
              </w:rPr>
              <w:t>（一）负责组织拟订全县行政审批制度改革、政务公开协调、政务服务、电子政务管理、县长热线管理相关政策，制定、起草有关规定、制度和管理办法，并组织实施。对县直单位和乡镇进行业务指导。</w:t>
            </w:r>
          </w:p>
          <w:p>
            <w:pPr>
              <w:spacing w:line="576" w:lineRule="exact"/>
              <w:ind w:right="-6"/>
              <w:rPr>
                <w:rFonts w:ascii="仿宋_GB2312" w:hAnsi="宋体" w:eastAsia="仿宋_GB2312" w:cs="宋体"/>
                <w:highlight w:val="none"/>
              </w:rPr>
            </w:pPr>
            <w:r>
              <w:rPr>
                <w:rFonts w:hint="eastAsia" w:ascii="仿宋_GB2312" w:hAnsi="宋体" w:eastAsia="仿宋_GB2312" w:cs="宋体"/>
                <w:highlight w:val="none"/>
              </w:rPr>
              <w:t>（二）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spacing w:line="576" w:lineRule="exact"/>
              <w:ind w:right="-6"/>
              <w:rPr>
                <w:rFonts w:ascii="仿宋_GB2312" w:hAnsi="宋体" w:eastAsia="仿宋_GB2312" w:cs="宋体"/>
                <w:highlight w:val="none"/>
              </w:rPr>
            </w:pPr>
            <w:r>
              <w:rPr>
                <w:rFonts w:hint="eastAsia" w:ascii="仿宋_GB2312" w:hAnsi="宋体" w:eastAsia="仿宋_GB2312" w:cs="宋体"/>
                <w:highlight w:val="none"/>
              </w:rPr>
              <w:t>（三）负责推进、指导、协调、监督全县政务公开（政府信息公开、办事公开）工作，并负责县政府的政府信息公开的日常工作。负责全县政府网站建设管理工作，承担县政府门户网站主办职责，统筹规划、监督全县政府系统网站。</w:t>
            </w:r>
          </w:p>
          <w:p>
            <w:pPr>
              <w:spacing w:line="576" w:lineRule="exact"/>
              <w:ind w:right="-6"/>
              <w:rPr>
                <w:rFonts w:ascii="仿宋_GB2312" w:hAnsi="宋体" w:eastAsia="仿宋_GB2312" w:cs="宋体"/>
                <w:highlight w:val="none"/>
              </w:rPr>
            </w:pPr>
            <w:r>
              <w:rPr>
                <w:rFonts w:hint="eastAsia" w:ascii="仿宋_GB2312" w:hAnsi="宋体" w:eastAsia="仿宋_GB2312" w:cs="宋体"/>
                <w:highlight w:val="none"/>
              </w:rPr>
              <w:t>（四）统筹推进、协调、监督全县政府系统电子政务、“互联网+政务服务”、政务数据资源体系建设与管理工作。</w:t>
            </w:r>
          </w:p>
          <w:p>
            <w:pPr>
              <w:spacing w:line="576" w:lineRule="exact"/>
              <w:ind w:right="-6"/>
              <w:rPr>
                <w:rFonts w:ascii="仿宋_GB2312" w:hAnsi="宋体" w:eastAsia="仿宋_GB2312" w:cs="宋体"/>
                <w:highlight w:val="none"/>
              </w:rPr>
            </w:pPr>
            <w:r>
              <w:rPr>
                <w:rFonts w:hint="eastAsia" w:ascii="仿宋_GB2312" w:hAnsi="宋体" w:eastAsia="仿宋_GB2312" w:cs="宋体"/>
                <w:highlight w:val="none"/>
              </w:rPr>
              <w:t>（五）统筹推进县长热线和“县长信箱”工作。负责市民通过县长热线向县政府进行的咨询建议、投诉、求助等事项的处理。</w:t>
            </w:r>
          </w:p>
          <w:p>
            <w:pPr>
              <w:spacing w:line="576" w:lineRule="exact"/>
              <w:ind w:right="-6"/>
              <w:rPr>
                <w:rFonts w:ascii="仿宋_GB2312" w:hAnsi="宋体" w:eastAsia="仿宋_GB2312" w:cs="宋体"/>
                <w:highlight w:val="none"/>
              </w:rPr>
            </w:pPr>
            <w:r>
              <w:rPr>
                <w:rFonts w:hint="eastAsia" w:ascii="仿宋_GB2312" w:hAnsi="宋体" w:eastAsia="仿宋_GB2312" w:cs="宋体"/>
                <w:highlight w:val="none"/>
              </w:rPr>
              <w:t>（六）完成县委、县人民政府交办的其他任务。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绩效完成情况</w:t>
            </w: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部门整体支出管理和使用基本情况</w:t>
            </w:r>
          </w:p>
        </w:tc>
        <w:tc>
          <w:tcPr>
            <w:tcW w:w="5670" w:type="dxa"/>
            <w:vAlign w:val="center"/>
          </w:tcPr>
          <w:p>
            <w:pPr>
              <w:spacing w:line="576" w:lineRule="exact"/>
              <w:ind w:right="-6"/>
              <w:jc w:val="center"/>
              <w:rPr>
                <w:rFonts w:ascii="仿宋_GB2312" w:hAnsi="宋体" w:eastAsia="仿宋_GB2312" w:cs="宋体"/>
                <w:highlight w:val="none"/>
              </w:rPr>
            </w:pPr>
            <w:r>
              <w:rPr>
                <w:rFonts w:hint="eastAsia" w:ascii="仿宋_GB2312" w:hAnsi="宋体" w:eastAsia="仿宋_GB2312" w:cs="宋体"/>
                <w:highlight w:val="none"/>
              </w:rPr>
              <w:t>20</w:t>
            </w:r>
            <w:r>
              <w:rPr>
                <w:rFonts w:ascii="仿宋_GB2312" w:hAnsi="宋体" w:eastAsia="仿宋_GB2312" w:cs="宋体"/>
                <w:highlight w:val="none"/>
              </w:rPr>
              <w:t>21</w:t>
            </w:r>
            <w:r>
              <w:rPr>
                <w:rFonts w:hint="eastAsia" w:ascii="仿宋_GB2312" w:hAnsi="宋体" w:eastAsia="仿宋_GB2312" w:cs="宋体"/>
                <w:highlight w:val="none"/>
              </w:rPr>
              <w:t>年度，我单位年度预算收入总计</w:t>
            </w:r>
            <w:r>
              <w:rPr>
                <w:rFonts w:ascii="仿宋_GB2312" w:hAnsi="宋体" w:eastAsia="仿宋_GB2312" w:cs="宋体"/>
                <w:highlight w:val="none"/>
              </w:rPr>
              <w:t>1032.85</w:t>
            </w:r>
            <w:r>
              <w:rPr>
                <w:rFonts w:hint="eastAsia" w:ascii="仿宋_GB2312" w:hAnsi="宋体" w:eastAsia="仿宋_GB2312" w:cs="宋体"/>
                <w:highlight w:val="none"/>
              </w:rPr>
              <w:t>万元，其中年初预算批复</w:t>
            </w:r>
            <w:r>
              <w:rPr>
                <w:rFonts w:ascii="仿宋_GB2312" w:hAnsi="宋体" w:eastAsia="仿宋_GB2312" w:cs="宋体"/>
                <w:highlight w:val="none"/>
              </w:rPr>
              <w:t>433.26</w:t>
            </w:r>
            <w:r>
              <w:rPr>
                <w:rFonts w:hint="eastAsia" w:ascii="仿宋_GB2312" w:hAnsi="宋体" w:eastAsia="仿宋_GB2312" w:cs="宋体"/>
                <w:highlight w:val="none"/>
              </w:rPr>
              <w:t>万元，全年追加</w:t>
            </w:r>
            <w:r>
              <w:rPr>
                <w:rFonts w:ascii="仿宋_GB2312" w:hAnsi="宋体" w:eastAsia="仿宋_GB2312" w:cs="宋体"/>
                <w:highlight w:val="none"/>
              </w:rPr>
              <w:t>599.59</w:t>
            </w:r>
            <w:r>
              <w:rPr>
                <w:rFonts w:hint="eastAsia" w:ascii="仿宋_GB2312" w:hAnsi="宋体" w:eastAsia="仿宋_GB2312" w:cs="宋体"/>
                <w:highlight w:val="none"/>
              </w:rPr>
              <w:t>万元，支出总额为</w:t>
            </w:r>
            <w:r>
              <w:rPr>
                <w:rFonts w:ascii="仿宋_GB2312" w:hAnsi="宋体" w:eastAsia="仿宋_GB2312" w:cs="宋体"/>
                <w:highlight w:val="none"/>
              </w:rPr>
              <w:t>1033.13</w:t>
            </w:r>
            <w:r>
              <w:rPr>
                <w:rFonts w:hint="eastAsia" w:ascii="仿宋_GB2312" w:hAnsi="宋体" w:eastAsia="仿宋_GB2312" w:cs="宋体"/>
                <w:highlight w:val="none"/>
              </w:rPr>
              <w:t>万元（其中基本支出</w:t>
            </w:r>
            <w:r>
              <w:rPr>
                <w:rFonts w:ascii="仿宋_GB2312" w:hAnsi="宋体" w:eastAsia="仿宋_GB2312" w:cs="宋体"/>
                <w:highlight w:val="none"/>
              </w:rPr>
              <w:t>272.94</w:t>
            </w:r>
            <w:r>
              <w:rPr>
                <w:rFonts w:hint="eastAsia" w:ascii="仿宋_GB2312" w:hAnsi="宋体" w:eastAsia="仿宋_GB2312" w:cs="宋体"/>
                <w:highlight w:val="none"/>
              </w:rPr>
              <w:t>万元，项目支出</w:t>
            </w:r>
            <w:r>
              <w:rPr>
                <w:rFonts w:ascii="仿宋_GB2312" w:hAnsi="宋体" w:eastAsia="仿宋_GB2312" w:cs="宋体"/>
                <w:highlight w:val="none"/>
              </w:rPr>
              <w:t>760.19</w:t>
            </w:r>
            <w:r>
              <w:rPr>
                <w:rFonts w:hint="eastAsia" w:ascii="仿宋_GB2312" w:hAnsi="宋体" w:eastAsia="仿宋_GB2312" w:cs="宋体"/>
                <w:highlight w:val="none"/>
              </w:rPr>
              <w:t>万元），20</w:t>
            </w:r>
            <w:r>
              <w:rPr>
                <w:rFonts w:ascii="仿宋_GB2312" w:hAnsi="宋体" w:eastAsia="仿宋_GB2312" w:cs="宋体"/>
                <w:highlight w:val="none"/>
              </w:rPr>
              <w:t>20</w:t>
            </w:r>
            <w:r>
              <w:rPr>
                <w:rFonts w:hint="eastAsia" w:ascii="仿宋_GB2312" w:hAnsi="宋体" w:eastAsia="仿宋_GB2312" w:cs="宋体"/>
                <w:highlight w:val="none"/>
              </w:rPr>
              <w:t>年度结余</w:t>
            </w:r>
            <w:r>
              <w:rPr>
                <w:rFonts w:ascii="仿宋_GB2312" w:hAnsi="宋体" w:eastAsia="仿宋_GB2312" w:cs="宋体"/>
                <w:highlight w:val="none"/>
              </w:rPr>
              <w:t>2.63</w:t>
            </w:r>
            <w:r>
              <w:rPr>
                <w:rFonts w:hint="eastAsia" w:ascii="仿宋_GB2312" w:hAnsi="宋体" w:eastAsia="仿宋_GB2312" w:cs="宋体"/>
                <w:highlight w:val="none"/>
              </w:rPr>
              <w:t>元，本年度结余资金为</w:t>
            </w:r>
          </w:p>
          <w:p>
            <w:pPr>
              <w:spacing w:line="576" w:lineRule="exact"/>
              <w:ind w:right="-6"/>
              <w:rPr>
                <w:rFonts w:ascii="仿宋_GB2312" w:hAnsi="宋体" w:eastAsia="仿宋_GB2312" w:cs="宋体"/>
                <w:highlight w:val="none"/>
              </w:rPr>
            </w:pPr>
            <w:r>
              <w:rPr>
                <w:rFonts w:ascii="仿宋_GB2312" w:hAnsi="宋体" w:eastAsia="仿宋_GB2312" w:cs="宋体"/>
                <w:highlight w:val="none"/>
              </w:rPr>
              <w:t>2.35</w:t>
            </w:r>
            <w:r>
              <w:rPr>
                <w:rFonts w:hint="eastAsia" w:ascii="仿宋_GB2312" w:hAnsi="宋体" w:eastAsia="仿宋_GB2312" w:cs="宋体"/>
                <w:highlight w:val="none"/>
              </w:rPr>
              <w:t>万元。</w:t>
            </w:r>
          </w:p>
          <w:p>
            <w:pPr>
              <w:spacing w:line="576" w:lineRule="exact"/>
              <w:ind w:right="-6" w:firstLine="420" w:firstLineChars="200"/>
              <w:rPr>
                <w:rFonts w:ascii="仿宋_GB2312" w:hAnsi="宋体" w:eastAsia="仿宋_GB2312" w:cs="宋体"/>
                <w:highlight w:val="none"/>
              </w:rPr>
            </w:pPr>
            <w:r>
              <w:rPr>
                <w:rFonts w:hint="eastAsia" w:ascii="仿宋_GB2312" w:hAnsi="宋体" w:eastAsia="仿宋_GB2312" w:cs="宋体"/>
                <w:highlight w:val="none"/>
              </w:rPr>
              <w:t>20</w:t>
            </w:r>
            <w:r>
              <w:rPr>
                <w:rFonts w:ascii="仿宋_GB2312" w:hAnsi="宋体" w:eastAsia="仿宋_GB2312" w:cs="宋体"/>
                <w:highlight w:val="none"/>
              </w:rPr>
              <w:t>21</w:t>
            </w:r>
            <w:r>
              <w:rPr>
                <w:rFonts w:hint="eastAsia" w:ascii="仿宋_GB2312" w:hAnsi="宋体" w:eastAsia="仿宋_GB2312" w:cs="宋体"/>
                <w:highlight w:val="none"/>
              </w:rPr>
              <w:t>年度，我单位 “三公”经费控制数为5元，其中：公务接待费5万元；“三公”经费实际支出为</w:t>
            </w:r>
            <w:r>
              <w:rPr>
                <w:rFonts w:ascii="仿宋_GB2312" w:hAnsi="宋体" w:eastAsia="仿宋_GB2312" w:cs="宋体"/>
                <w:highlight w:val="none"/>
              </w:rPr>
              <w:t>0.71</w:t>
            </w:r>
            <w:r>
              <w:rPr>
                <w:rFonts w:hint="eastAsia" w:ascii="仿宋_GB2312" w:hAnsi="宋体" w:eastAsia="仿宋_GB2312" w:cs="宋体"/>
                <w:highlight w:val="none"/>
              </w:rPr>
              <w:t>万元，其中：公务接待费</w:t>
            </w:r>
            <w:r>
              <w:rPr>
                <w:rFonts w:ascii="仿宋_GB2312" w:hAnsi="宋体" w:eastAsia="仿宋_GB2312" w:cs="宋体"/>
                <w:highlight w:val="none"/>
              </w:rPr>
              <w:t>0.71</w:t>
            </w:r>
            <w:r>
              <w:rPr>
                <w:rFonts w:hint="eastAsia" w:ascii="仿宋_GB2312" w:hAnsi="宋体" w:eastAsia="仿宋_GB2312" w:cs="宋体"/>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highlight w:val="none"/>
              </w:rPr>
            </w:pP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绩效目标完成情况</w:t>
            </w:r>
          </w:p>
        </w:tc>
        <w:tc>
          <w:tcPr>
            <w:tcW w:w="5670" w:type="dxa"/>
            <w:vAlign w:val="center"/>
          </w:tcPr>
          <w:p>
            <w:pPr>
              <w:spacing w:line="576" w:lineRule="exact"/>
              <w:ind w:right="-6"/>
              <w:jc w:val="center"/>
              <w:rPr>
                <w:rFonts w:ascii="仿宋_GB2312" w:hAnsi="宋体" w:eastAsia="仿宋_GB2312" w:cs="宋体"/>
                <w:highlight w:val="none"/>
              </w:rPr>
            </w:pPr>
            <w:r>
              <w:rPr>
                <w:rFonts w:ascii="仿宋_GB2312" w:hAnsi="宋体" w:eastAsia="仿宋_GB2312" w:cs="宋体"/>
                <w:highlight w:val="none"/>
              </w:rPr>
              <w:t>2021</w:t>
            </w:r>
            <w:r>
              <w:rPr>
                <w:rFonts w:hint="eastAsia" w:ascii="仿宋_GB2312" w:hAnsi="宋体" w:eastAsia="仿宋_GB2312" w:cs="宋体"/>
                <w:highlight w:val="none"/>
              </w:rPr>
              <w:t>年我局在县委、县政府的坚强领导下，坚持“便民利企”为宗旨，突出“放管服”改革、优化营商环境等重点工作，积极构建“一网、一线、一厅”行政审批服务工作基本格局，全县营商环境不断优化。</w:t>
            </w:r>
          </w:p>
          <w:p>
            <w:pPr>
              <w:pStyle w:val="9"/>
              <w:numPr>
                <w:ilvl w:val="0"/>
                <w:numId w:val="4"/>
              </w:numPr>
              <w:spacing w:line="576" w:lineRule="exact"/>
              <w:ind w:right="-6" w:firstLineChars="0"/>
              <w:jc w:val="center"/>
              <w:rPr>
                <w:rFonts w:ascii="仿宋_GB2312" w:hAnsi="宋体" w:eastAsia="仿宋_GB2312" w:cs="宋体"/>
                <w:highlight w:val="none"/>
              </w:rPr>
            </w:pPr>
            <w:r>
              <w:rPr>
                <w:rFonts w:hint="eastAsia" w:ascii="仿宋_GB2312" w:hAnsi="宋体" w:eastAsia="仿宋_GB2312" w:cs="宋体"/>
                <w:highlight w:val="none"/>
              </w:rPr>
              <w:t>推进“放管服”改革，县域营商环境进一步优化，调整优化窗口布局，新增天易专窗，深入推进“三集中三到位”，严格落实大厅首席代表制，政务服务中心基本实现“一厅办结”。及时动态调整和发布县乡村三级权责清单，依申请类政务服务事项三级“引用率”和“实施清单发布率”达100%。</w:t>
            </w:r>
          </w:p>
          <w:p>
            <w:pPr>
              <w:pStyle w:val="9"/>
              <w:numPr>
                <w:ilvl w:val="0"/>
                <w:numId w:val="4"/>
              </w:numPr>
              <w:spacing w:line="576" w:lineRule="exact"/>
              <w:ind w:right="-6" w:firstLineChars="0"/>
              <w:jc w:val="center"/>
              <w:rPr>
                <w:rFonts w:ascii="仿宋_GB2312" w:hAnsi="宋体" w:eastAsia="仿宋_GB2312" w:cs="宋体"/>
                <w:highlight w:val="none"/>
              </w:rPr>
            </w:pPr>
            <w:r>
              <w:rPr>
                <w:rFonts w:hint="eastAsia" w:ascii="仿宋_GB2312" w:hAnsi="宋体" w:eastAsia="仿宋_GB2312" w:cs="宋体"/>
                <w:highlight w:val="none"/>
              </w:rPr>
              <w:t>深化“一件事一次办”改革，政务服务进一步优质高效。开设线上线下“一件事一次办”综合窗口，落实省“一事一标准”要求，实现同一件事无差别受理、同标准办理。编制办事指南，一次性告知办事流程和所需材料，方便群众办事。推进“一件事一次办”跨域通办、跨省通办，健全完善《窗口及窗口工作人员管理考核办法》和《政务大厅管理办法》，采用“月通报、季讲评、年总结”的工作机制，督促进驻单位落实主体责任，切实提升管理针对性和实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存在的问题分析及改进措施</w:t>
            </w: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存在的问题</w:t>
            </w:r>
          </w:p>
        </w:tc>
        <w:tc>
          <w:tcPr>
            <w:tcW w:w="5670" w:type="dxa"/>
            <w:vAlign w:val="center"/>
          </w:tcPr>
          <w:p>
            <w:pPr>
              <w:spacing w:line="576" w:lineRule="exact"/>
              <w:ind w:right="-6"/>
              <w:jc w:val="center"/>
              <w:rPr>
                <w:rFonts w:ascii="仿宋" w:hAnsi="仿宋" w:eastAsia="仿宋" w:cs="宋体"/>
                <w:kern w:val="0"/>
                <w:highlight w:val="none"/>
              </w:rPr>
            </w:pPr>
            <w:r>
              <w:rPr>
                <w:rFonts w:hint="eastAsia" w:ascii="仿宋" w:hAnsi="仿宋" w:eastAsia="仿宋" w:cs="宋体"/>
                <w:kern w:val="0"/>
                <w:highlight w:val="none"/>
              </w:rPr>
              <w:t>因部门整体支出的预算资金安排和使用上仍有不可预见性，故预算调整率偏大。预算编制的科学性、合理性应进一步提</w:t>
            </w:r>
          </w:p>
          <w:p>
            <w:pPr>
              <w:spacing w:line="576" w:lineRule="exact"/>
              <w:ind w:right="-6"/>
              <w:rPr>
                <w:rFonts w:ascii="仿宋_GB2312" w:hAnsi="宋体" w:eastAsia="仿宋_GB2312" w:cs="宋体"/>
                <w:highlight w:val="none"/>
              </w:rPr>
            </w:pPr>
            <w:r>
              <w:rPr>
                <w:rFonts w:hint="eastAsia" w:ascii="仿宋" w:hAnsi="仿宋" w:eastAsia="仿宋" w:cs="宋体"/>
                <w:kern w:val="0"/>
                <w:highlight w:val="none"/>
              </w:rPr>
              <w:t>高，预算的透明度和约束力应进一步加强。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highlight w:val="none"/>
              </w:rPr>
            </w:pP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改进措施</w:t>
            </w:r>
          </w:p>
        </w:tc>
        <w:tc>
          <w:tcPr>
            <w:tcW w:w="5670" w:type="dxa"/>
            <w:vAlign w:val="center"/>
          </w:tcPr>
          <w:p>
            <w:pPr>
              <w:spacing w:line="576" w:lineRule="exact"/>
              <w:ind w:right="-6" w:firstLine="420"/>
              <w:jc w:val="center"/>
              <w:rPr>
                <w:rFonts w:ascii="仿宋" w:hAnsi="仿宋" w:eastAsia="仿宋" w:cs="宋体"/>
                <w:kern w:val="0"/>
                <w:highlight w:val="none"/>
              </w:rPr>
            </w:pPr>
            <w:r>
              <w:rPr>
                <w:rFonts w:hint="eastAsia" w:ascii="仿宋" w:hAnsi="仿宋" w:eastAsia="仿宋" w:cs="宋体"/>
                <w:kern w:val="0"/>
                <w:highlight w:val="none"/>
              </w:rPr>
              <w:t>部门预算编制以经济发展规范和履行部门职能的需要为依据，对各项支出认真测算，测算时必须有真实可靠的依据，力求各项数据真实准确，遵循预算编制</w:t>
            </w:r>
            <w:r>
              <w:rPr>
                <w:rFonts w:ascii="仿宋" w:hAnsi="仿宋" w:eastAsia="仿宋" w:cs="宋体"/>
                <w:kern w:val="0"/>
                <w:highlight w:val="none"/>
              </w:rPr>
              <w:t>的</w:t>
            </w:r>
            <w:r>
              <w:rPr>
                <w:rFonts w:hint="eastAsia" w:ascii="仿宋" w:hAnsi="仿宋" w:eastAsia="仿宋" w:cs="宋体"/>
                <w:kern w:val="0"/>
                <w:highlight w:val="none"/>
              </w:rPr>
              <w:t>合法性、真实性、</w:t>
            </w:r>
            <w:r>
              <w:rPr>
                <w:rFonts w:ascii="仿宋" w:hAnsi="仿宋" w:eastAsia="仿宋" w:cs="宋体"/>
                <w:kern w:val="0"/>
                <w:highlight w:val="none"/>
              </w:rPr>
              <w:t>科学</w:t>
            </w:r>
            <w:r>
              <w:rPr>
                <w:rFonts w:hint="eastAsia" w:ascii="仿宋" w:hAnsi="仿宋" w:eastAsia="仿宋" w:cs="宋体"/>
                <w:kern w:val="0"/>
                <w:highlight w:val="none"/>
              </w:rPr>
              <w:t>性和绩效性，</w:t>
            </w:r>
            <w:r>
              <w:rPr>
                <w:rFonts w:ascii="仿宋" w:hAnsi="仿宋" w:eastAsia="仿宋" w:cs="宋体"/>
                <w:kern w:val="0"/>
                <w:highlight w:val="none"/>
              </w:rPr>
              <w:t>提高预算资金的使用效率</w:t>
            </w:r>
            <w:r>
              <w:rPr>
                <w:rFonts w:hint="eastAsia" w:ascii="仿宋" w:hAnsi="仿宋" w:eastAsia="仿宋" w:cs="宋体"/>
                <w:kern w:val="0"/>
                <w:highlight w:val="none"/>
              </w:rPr>
              <w:t>。同时建立</w:t>
            </w:r>
          </w:p>
          <w:p>
            <w:pPr>
              <w:spacing w:line="576" w:lineRule="exact"/>
              <w:ind w:right="-6"/>
              <w:rPr>
                <w:rFonts w:ascii="仿宋_GB2312" w:hAnsi="宋体" w:eastAsia="仿宋_GB2312" w:cs="宋体"/>
                <w:highlight w:val="none"/>
              </w:rPr>
            </w:pPr>
            <w:r>
              <w:rPr>
                <w:rFonts w:hint="eastAsia" w:ascii="仿宋" w:hAnsi="仿宋" w:eastAsia="仿宋" w:cs="宋体"/>
                <w:kern w:val="0"/>
                <w:highlight w:val="none"/>
              </w:rPr>
              <w:t>预算指标追加调整机制，严格规范预算追加调整程序。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highlight w:val="none"/>
              </w:rPr>
            </w:pPr>
          </w:p>
        </w:tc>
        <w:tc>
          <w:tcPr>
            <w:tcW w:w="1985" w:type="dxa"/>
            <w:vAlign w:val="center"/>
          </w:tcPr>
          <w:p>
            <w:pPr>
              <w:spacing w:line="576" w:lineRule="exact"/>
              <w:jc w:val="center"/>
              <w:rPr>
                <w:rFonts w:ascii="仿宋_GB2312" w:hAnsi="宋体" w:eastAsia="仿宋_GB2312" w:cs="宋体"/>
                <w:highlight w:val="none"/>
              </w:rPr>
            </w:pPr>
            <w:r>
              <w:rPr>
                <w:rFonts w:hint="eastAsia" w:ascii="仿宋_GB2312" w:hAnsi="宋体" w:eastAsia="仿宋_GB2312" w:cs="宋体"/>
                <w:highlight w:val="none"/>
              </w:rPr>
              <w:t>其他需要说明问题</w:t>
            </w:r>
          </w:p>
        </w:tc>
        <w:tc>
          <w:tcPr>
            <w:tcW w:w="5670" w:type="dxa"/>
            <w:vAlign w:val="center"/>
          </w:tcPr>
          <w:p>
            <w:pPr>
              <w:spacing w:line="576" w:lineRule="exact"/>
              <w:ind w:right="879" w:rightChars="419"/>
              <w:jc w:val="center"/>
              <w:rPr>
                <w:rFonts w:ascii="仿宋_GB2312" w:hAnsi="宋体" w:eastAsia="仿宋_GB2312" w:cs="宋体"/>
                <w:highlight w:val="none"/>
              </w:rPr>
            </w:pPr>
            <w:r>
              <w:rPr>
                <w:rFonts w:hint="eastAsia" w:ascii="仿宋_GB2312" w:hAnsi="宋体" w:eastAsia="仿宋_GB2312" w:cs="宋体"/>
                <w:highlight w:val="none"/>
              </w:rPr>
              <w:t>无</w:t>
            </w:r>
          </w:p>
        </w:tc>
      </w:tr>
    </w:tbl>
    <w:p>
      <w:pPr>
        <w:widowControl/>
        <w:jc w:val="left"/>
        <w:rPr>
          <w:rFonts w:ascii="仿宋_GB2312" w:hAnsi="黑体" w:eastAsia="仿宋_GB2312" w:cs="黑体"/>
          <w:color w:val="000000"/>
          <w:sz w:val="32"/>
          <w:szCs w:val="32"/>
          <w:highlight w:val="none"/>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B9318D"/>
    <w:multiLevelType w:val="singleLevel"/>
    <w:tmpl w:val="C9B9318D"/>
    <w:lvl w:ilvl="0" w:tentative="0">
      <w:start w:val="4"/>
      <w:numFmt w:val="chineseCounting"/>
      <w:suff w:val="space"/>
      <w:lvlText w:val="第%1部分"/>
      <w:lvlJc w:val="left"/>
      <w:pPr>
        <w:ind w:left="1260"/>
      </w:pPr>
      <w:rPr>
        <w:rFonts w:hint="eastAsia"/>
        <w:b/>
        <w:bCs/>
        <w:sz w:val="56"/>
        <w:szCs w:val="56"/>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11AAE55"/>
    <w:multiLevelType w:val="singleLevel"/>
    <w:tmpl w:val="411AAE55"/>
    <w:lvl w:ilvl="0" w:tentative="0">
      <w:start w:val="2"/>
      <w:numFmt w:val="chineseCounting"/>
      <w:suff w:val="nothing"/>
      <w:lvlText w:val="（%1）"/>
      <w:lvlJc w:val="left"/>
      <w:rPr>
        <w:rFonts w:hint="eastAsia"/>
      </w:rPr>
    </w:lvl>
  </w:abstractNum>
  <w:abstractNum w:abstractNumId="3">
    <w:nsid w:val="53CC7DD0"/>
    <w:multiLevelType w:val="multilevel"/>
    <w:tmpl w:val="53CC7DD0"/>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Q1YTAxOTU2NmJkMzUzYTlkNjJhODNhOWVhNDg3NjMifQ=="/>
  </w:docVars>
  <w:rsids>
    <w:rsidRoot w:val="380738E2"/>
    <w:rsid w:val="000179DC"/>
    <w:rsid w:val="00030417"/>
    <w:rsid w:val="00060B60"/>
    <w:rsid w:val="00096375"/>
    <w:rsid w:val="000B25AC"/>
    <w:rsid w:val="000D4733"/>
    <w:rsid w:val="000D4D62"/>
    <w:rsid w:val="001472D9"/>
    <w:rsid w:val="0016076B"/>
    <w:rsid w:val="001907C7"/>
    <w:rsid w:val="00190B56"/>
    <w:rsid w:val="0019587F"/>
    <w:rsid w:val="00197605"/>
    <w:rsid w:val="001A65F7"/>
    <w:rsid w:val="001B274F"/>
    <w:rsid w:val="001F4432"/>
    <w:rsid w:val="0021753C"/>
    <w:rsid w:val="002233F6"/>
    <w:rsid w:val="00253A57"/>
    <w:rsid w:val="00257A08"/>
    <w:rsid w:val="002C4707"/>
    <w:rsid w:val="00306C19"/>
    <w:rsid w:val="0031037C"/>
    <w:rsid w:val="0034768F"/>
    <w:rsid w:val="00347B62"/>
    <w:rsid w:val="00351492"/>
    <w:rsid w:val="00416EA4"/>
    <w:rsid w:val="0047337A"/>
    <w:rsid w:val="00491203"/>
    <w:rsid w:val="004C6E14"/>
    <w:rsid w:val="004E1FAF"/>
    <w:rsid w:val="004E33D3"/>
    <w:rsid w:val="00501BD7"/>
    <w:rsid w:val="00521AD2"/>
    <w:rsid w:val="00527AF5"/>
    <w:rsid w:val="00584534"/>
    <w:rsid w:val="005A28C6"/>
    <w:rsid w:val="005A45C5"/>
    <w:rsid w:val="005A511D"/>
    <w:rsid w:val="005D5CE4"/>
    <w:rsid w:val="005F0F58"/>
    <w:rsid w:val="00614DB6"/>
    <w:rsid w:val="0062632D"/>
    <w:rsid w:val="00645CED"/>
    <w:rsid w:val="006529E7"/>
    <w:rsid w:val="0067409E"/>
    <w:rsid w:val="006840A2"/>
    <w:rsid w:val="006A39B2"/>
    <w:rsid w:val="006B49EC"/>
    <w:rsid w:val="006C3629"/>
    <w:rsid w:val="006D5026"/>
    <w:rsid w:val="006E5A44"/>
    <w:rsid w:val="00715C24"/>
    <w:rsid w:val="00726D51"/>
    <w:rsid w:val="0076715B"/>
    <w:rsid w:val="007B07E5"/>
    <w:rsid w:val="007B2FF1"/>
    <w:rsid w:val="007D0163"/>
    <w:rsid w:val="00804F48"/>
    <w:rsid w:val="0080640F"/>
    <w:rsid w:val="008317A4"/>
    <w:rsid w:val="00831DD5"/>
    <w:rsid w:val="008529C9"/>
    <w:rsid w:val="00861795"/>
    <w:rsid w:val="00864A88"/>
    <w:rsid w:val="00867151"/>
    <w:rsid w:val="00867EF5"/>
    <w:rsid w:val="008A09EF"/>
    <w:rsid w:val="00913ADE"/>
    <w:rsid w:val="00914306"/>
    <w:rsid w:val="00921106"/>
    <w:rsid w:val="0092379A"/>
    <w:rsid w:val="009276B7"/>
    <w:rsid w:val="00970736"/>
    <w:rsid w:val="00983E39"/>
    <w:rsid w:val="009D51CD"/>
    <w:rsid w:val="00A15260"/>
    <w:rsid w:val="00A46D69"/>
    <w:rsid w:val="00A67F19"/>
    <w:rsid w:val="00A82100"/>
    <w:rsid w:val="00A93C10"/>
    <w:rsid w:val="00AA0F61"/>
    <w:rsid w:val="00AD5978"/>
    <w:rsid w:val="00AE0CCA"/>
    <w:rsid w:val="00AF1302"/>
    <w:rsid w:val="00AF7B55"/>
    <w:rsid w:val="00B27D41"/>
    <w:rsid w:val="00B41DF7"/>
    <w:rsid w:val="00B437E0"/>
    <w:rsid w:val="00B606F9"/>
    <w:rsid w:val="00B853DB"/>
    <w:rsid w:val="00B95CB9"/>
    <w:rsid w:val="00BE7B86"/>
    <w:rsid w:val="00BF06AB"/>
    <w:rsid w:val="00C1079E"/>
    <w:rsid w:val="00C20779"/>
    <w:rsid w:val="00C41FC9"/>
    <w:rsid w:val="00C45C5B"/>
    <w:rsid w:val="00C57877"/>
    <w:rsid w:val="00C75F29"/>
    <w:rsid w:val="00C777CA"/>
    <w:rsid w:val="00C929E3"/>
    <w:rsid w:val="00C96251"/>
    <w:rsid w:val="00CA02B3"/>
    <w:rsid w:val="00CB04E2"/>
    <w:rsid w:val="00CB685B"/>
    <w:rsid w:val="00CD2195"/>
    <w:rsid w:val="00CD2953"/>
    <w:rsid w:val="00D36221"/>
    <w:rsid w:val="00D4433B"/>
    <w:rsid w:val="00D64800"/>
    <w:rsid w:val="00DE1BE7"/>
    <w:rsid w:val="00DE31CC"/>
    <w:rsid w:val="00DF69B6"/>
    <w:rsid w:val="00E157F4"/>
    <w:rsid w:val="00E61F40"/>
    <w:rsid w:val="00E83A6B"/>
    <w:rsid w:val="00E962C3"/>
    <w:rsid w:val="00EA6384"/>
    <w:rsid w:val="00EE11DF"/>
    <w:rsid w:val="00EF5553"/>
    <w:rsid w:val="00F12380"/>
    <w:rsid w:val="00F33C12"/>
    <w:rsid w:val="00F3441E"/>
    <w:rsid w:val="00F43282"/>
    <w:rsid w:val="00F43B1A"/>
    <w:rsid w:val="00F45220"/>
    <w:rsid w:val="00F45DAC"/>
    <w:rsid w:val="00F7450F"/>
    <w:rsid w:val="00F74B69"/>
    <w:rsid w:val="00F81701"/>
    <w:rsid w:val="00F95384"/>
    <w:rsid w:val="00F957B6"/>
    <w:rsid w:val="00FA0E2C"/>
    <w:rsid w:val="00FA48AE"/>
    <w:rsid w:val="00FB5735"/>
    <w:rsid w:val="00FC708A"/>
    <w:rsid w:val="01045BB5"/>
    <w:rsid w:val="01160808"/>
    <w:rsid w:val="01303AC5"/>
    <w:rsid w:val="01580D6E"/>
    <w:rsid w:val="016F0A91"/>
    <w:rsid w:val="01791910"/>
    <w:rsid w:val="01B3097E"/>
    <w:rsid w:val="01C26E13"/>
    <w:rsid w:val="01FF3A29"/>
    <w:rsid w:val="022C6982"/>
    <w:rsid w:val="02E7264E"/>
    <w:rsid w:val="030A0A72"/>
    <w:rsid w:val="03391357"/>
    <w:rsid w:val="033E0786"/>
    <w:rsid w:val="03403367"/>
    <w:rsid w:val="034A70C0"/>
    <w:rsid w:val="03675440"/>
    <w:rsid w:val="03BD5AE4"/>
    <w:rsid w:val="040F67E2"/>
    <w:rsid w:val="04253689"/>
    <w:rsid w:val="042E69E2"/>
    <w:rsid w:val="048A4FE4"/>
    <w:rsid w:val="04AE367F"/>
    <w:rsid w:val="04C3537C"/>
    <w:rsid w:val="051E0AF6"/>
    <w:rsid w:val="05243941"/>
    <w:rsid w:val="057C116F"/>
    <w:rsid w:val="05F652DD"/>
    <w:rsid w:val="05F72E03"/>
    <w:rsid w:val="06587D46"/>
    <w:rsid w:val="06915006"/>
    <w:rsid w:val="06930D7E"/>
    <w:rsid w:val="06B807E5"/>
    <w:rsid w:val="06CC4290"/>
    <w:rsid w:val="06FE6B3F"/>
    <w:rsid w:val="07610E23"/>
    <w:rsid w:val="07683FB9"/>
    <w:rsid w:val="077A3493"/>
    <w:rsid w:val="080A6125"/>
    <w:rsid w:val="083A174E"/>
    <w:rsid w:val="08601134"/>
    <w:rsid w:val="087D5842"/>
    <w:rsid w:val="08985D75"/>
    <w:rsid w:val="08F71D23"/>
    <w:rsid w:val="090A296D"/>
    <w:rsid w:val="09175C96"/>
    <w:rsid w:val="092108C3"/>
    <w:rsid w:val="0935436E"/>
    <w:rsid w:val="09572537"/>
    <w:rsid w:val="09A80FE4"/>
    <w:rsid w:val="0A0124A3"/>
    <w:rsid w:val="0A4707FD"/>
    <w:rsid w:val="0A7B2255"/>
    <w:rsid w:val="0AE06DAF"/>
    <w:rsid w:val="0B21104E"/>
    <w:rsid w:val="0B512FB6"/>
    <w:rsid w:val="0B610AC0"/>
    <w:rsid w:val="0B64718D"/>
    <w:rsid w:val="0B6653FD"/>
    <w:rsid w:val="0B7368E6"/>
    <w:rsid w:val="0BA25F56"/>
    <w:rsid w:val="0BD7795F"/>
    <w:rsid w:val="0BF978D5"/>
    <w:rsid w:val="0C0152EB"/>
    <w:rsid w:val="0C3B6140"/>
    <w:rsid w:val="0C476893"/>
    <w:rsid w:val="0C807FF6"/>
    <w:rsid w:val="0C917B0E"/>
    <w:rsid w:val="0CCB013B"/>
    <w:rsid w:val="0D1258E4"/>
    <w:rsid w:val="0D272220"/>
    <w:rsid w:val="0D523741"/>
    <w:rsid w:val="0D6B0326"/>
    <w:rsid w:val="0D9F44AC"/>
    <w:rsid w:val="0DD8428E"/>
    <w:rsid w:val="0DEE3570"/>
    <w:rsid w:val="0E2055ED"/>
    <w:rsid w:val="0E216FB8"/>
    <w:rsid w:val="0E6D45AA"/>
    <w:rsid w:val="0E990EFC"/>
    <w:rsid w:val="0EA7186A"/>
    <w:rsid w:val="0EBB384D"/>
    <w:rsid w:val="0F06555A"/>
    <w:rsid w:val="0F096081"/>
    <w:rsid w:val="0F3C79CB"/>
    <w:rsid w:val="0F6C4862"/>
    <w:rsid w:val="0F7D25CB"/>
    <w:rsid w:val="0FA77648"/>
    <w:rsid w:val="0FF47A20"/>
    <w:rsid w:val="0FFB22AD"/>
    <w:rsid w:val="102173FB"/>
    <w:rsid w:val="10593DED"/>
    <w:rsid w:val="10630813"/>
    <w:rsid w:val="107E484D"/>
    <w:rsid w:val="10B14C22"/>
    <w:rsid w:val="10E1557C"/>
    <w:rsid w:val="110F2985"/>
    <w:rsid w:val="11717F0E"/>
    <w:rsid w:val="117F2819"/>
    <w:rsid w:val="11FB463A"/>
    <w:rsid w:val="12260CF8"/>
    <w:rsid w:val="12D20E80"/>
    <w:rsid w:val="12D94CBE"/>
    <w:rsid w:val="12EC1F42"/>
    <w:rsid w:val="12F40DF6"/>
    <w:rsid w:val="12FF5328"/>
    <w:rsid w:val="133F3E7F"/>
    <w:rsid w:val="136A4521"/>
    <w:rsid w:val="136A730B"/>
    <w:rsid w:val="1384206A"/>
    <w:rsid w:val="13A740BB"/>
    <w:rsid w:val="13AC347F"/>
    <w:rsid w:val="13AC7923"/>
    <w:rsid w:val="13E62C85"/>
    <w:rsid w:val="13EA3712"/>
    <w:rsid w:val="149D07F7"/>
    <w:rsid w:val="14FE5F5C"/>
    <w:rsid w:val="15116183"/>
    <w:rsid w:val="1517701E"/>
    <w:rsid w:val="152B5C5D"/>
    <w:rsid w:val="155D7127"/>
    <w:rsid w:val="15874CAF"/>
    <w:rsid w:val="15AB2EC8"/>
    <w:rsid w:val="15AF6136"/>
    <w:rsid w:val="15CA22E2"/>
    <w:rsid w:val="16575F44"/>
    <w:rsid w:val="165D4F05"/>
    <w:rsid w:val="166242C9"/>
    <w:rsid w:val="16703E10"/>
    <w:rsid w:val="16A06DAF"/>
    <w:rsid w:val="16C60CFC"/>
    <w:rsid w:val="16D451C7"/>
    <w:rsid w:val="16F77107"/>
    <w:rsid w:val="17562080"/>
    <w:rsid w:val="17B86896"/>
    <w:rsid w:val="181970F8"/>
    <w:rsid w:val="18221F62"/>
    <w:rsid w:val="18381785"/>
    <w:rsid w:val="184661B9"/>
    <w:rsid w:val="188A32B6"/>
    <w:rsid w:val="18A230A3"/>
    <w:rsid w:val="18BD7EDC"/>
    <w:rsid w:val="18BE663C"/>
    <w:rsid w:val="18CA6678"/>
    <w:rsid w:val="193463F1"/>
    <w:rsid w:val="19390F3A"/>
    <w:rsid w:val="19651DC1"/>
    <w:rsid w:val="199912E6"/>
    <w:rsid w:val="19D200D6"/>
    <w:rsid w:val="1A433382"/>
    <w:rsid w:val="1A734CF7"/>
    <w:rsid w:val="1A8758D7"/>
    <w:rsid w:val="1B1F2807"/>
    <w:rsid w:val="1B4A4F0A"/>
    <w:rsid w:val="1B7725C5"/>
    <w:rsid w:val="1BCE762F"/>
    <w:rsid w:val="1BFD307D"/>
    <w:rsid w:val="1C4A35A7"/>
    <w:rsid w:val="1C8E2340"/>
    <w:rsid w:val="1C9D09D5"/>
    <w:rsid w:val="1CA07CD2"/>
    <w:rsid w:val="1CAC72EF"/>
    <w:rsid w:val="1D3B4F9B"/>
    <w:rsid w:val="1D460293"/>
    <w:rsid w:val="1D4F1A4B"/>
    <w:rsid w:val="1D7019C1"/>
    <w:rsid w:val="1D94745E"/>
    <w:rsid w:val="1DA037C9"/>
    <w:rsid w:val="1DA12B0A"/>
    <w:rsid w:val="1E0F11DA"/>
    <w:rsid w:val="1E270A5E"/>
    <w:rsid w:val="1E4E1D03"/>
    <w:rsid w:val="1EA457A3"/>
    <w:rsid w:val="1EB210B9"/>
    <w:rsid w:val="1F3233D2"/>
    <w:rsid w:val="1F3A5B52"/>
    <w:rsid w:val="1FD5016D"/>
    <w:rsid w:val="20191E9C"/>
    <w:rsid w:val="205D447F"/>
    <w:rsid w:val="206A094A"/>
    <w:rsid w:val="206B06BA"/>
    <w:rsid w:val="208A4B48"/>
    <w:rsid w:val="20971013"/>
    <w:rsid w:val="20E63B02"/>
    <w:rsid w:val="210743EB"/>
    <w:rsid w:val="2130749E"/>
    <w:rsid w:val="21983522"/>
    <w:rsid w:val="21C13980"/>
    <w:rsid w:val="21CF4F08"/>
    <w:rsid w:val="21DE4C4D"/>
    <w:rsid w:val="21EB5ABA"/>
    <w:rsid w:val="21FE6E54"/>
    <w:rsid w:val="221C2AAE"/>
    <w:rsid w:val="224F7DF7"/>
    <w:rsid w:val="22963AA6"/>
    <w:rsid w:val="22BB36DF"/>
    <w:rsid w:val="22EC3898"/>
    <w:rsid w:val="237A5348"/>
    <w:rsid w:val="23892362"/>
    <w:rsid w:val="238D507B"/>
    <w:rsid w:val="239A2A9F"/>
    <w:rsid w:val="239F6DFE"/>
    <w:rsid w:val="23A928D9"/>
    <w:rsid w:val="24637B8A"/>
    <w:rsid w:val="249F5D13"/>
    <w:rsid w:val="24A51F50"/>
    <w:rsid w:val="24B46637"/>
    <w:rsid w:val="24F84455"/>
    <w:rsid w:val="25367458"/>
    <w:rsid w:val="259049AF"/>
    <w:rsid w:val="25C21B28"/>
    <w:rsid w:val="260E1D77"/>
    <w:rsid w:val="261C26E6"/>
    <w:rsid w:val="267A3685"/>
    <w:rsid w:val="26D76905"/>
    <w:rsid w:val="26D76A1D"/>
    <w:rsid w:val="26EC69FD"/>
    <w:rsid w:val="27023582"/>
    <w:rsid w:val="27257379"/>
    <w:rsid w:val="273E668C"/>
    <w:rsid w:val="274A7E99"/>
    <w:rsid w:val="275B723E"/>
    <w:rsid w:val="27606603"/>
    <w:rsid w:val="27D72D69"/>
    <w:rsid w:val="28074CD0"/>
    <w:rsid w:val="280E42B1"/>
    <w:rsid w:val="28270887"/>
    <w:rsid w:val="28304227"/>
    <w:rsid w:val="287A40C6"/>
    <w:rsid w:val="28843333"/>
    <w:rsid w:val="28AF339E"/>
    <w:rsid w:val="28E634AE"/>
    <w:rsid w:val="294A08D7"/>
    <w:rsid w:val="299802D6"/>
    <w:rsid w:val="2A4A0D9B"/>
    <w:rsid w:val="2AB729DE"/>
    <w:rsid w:val="2AB758DB"/>
    <w:rsid w:val="2ABA427C"/>
    <w:rsid w:val="2AD846FB"/>
    <w:rsid w:val="2B163BA8"/>
    <w:rsid w:val="2B3B72D3"/>
    <w:rsid w:val="2B585F6F"/>
    <w:rsid w:val="2B82702F"/>
    <w:rsid w:val="2BE07D12"/>
    <w:rsid w:val="2BE63DD8"/>
    <w:rsid w:val="2C2C11A9"/>
    <w:rsid w:val="2C6B1CD2"/>
    <w:rsid w:val="2C994A91"/>
    <w:rsid w:val="2CAE7E10"/>
    <w:rsid w:val="2CBC42DB"/>
    <w:rsid w:val="2D1E6D44"/>
    <w:rsid w:val="2D281971"/>
    <w:rsid w:val="2D310108"/>
    <w:rsid w:val="2D4E14F7"/>
    <w:rsid w:val="2D7715AB"/>
    <w:rsid w:val="2D7E77E3"/>
    <w:rsid w:val="2D845AB6"/>
    <w:rsid w:val="2DB94CBF"/>
    <w:rsid w:val="2DE32579"/>
    <w:rsid w:val="2E051CB2"/>
    <w:rsid w:val="2E20089A"/>
    <w:rsid w:val="2E205C69"/>
    <w:rsid w:val="2E440A2C"/>
    <w:rsid w:val="2EC01828"/>
    <w:rsid w:val="2ED55B28"/>
    <w:rsid w:val="2EF064BE"/>
    <w:rsid w:val="2F3A3B86"/>
    <w:rsid w:val="2F560A17"/>
    <w:rsid w:val="2F9257C7"/>
    <w:rsid w:val="2FE62999"/>
    <w:rsid w:val="2FEE7679"/>
    <w:rsid w:val="30314FE0"/>
    <w:rsid w:val="304A60A2"/>
    <w:rsid w:val="304C3BC8"/>
    <w:rsid w:val="308570DA"/>
    <w:rsid w:val="30E3452C"/>
    <w:rsid w:val="30EA4837"/>
    <w:rsid w:val="30FF50DE"/>
    <w:rsid w:val="31181D14"/>
    <w:rsid w:val="31293F09"/>
    <w:rsid w:val="31653193"/>
    <w:rsid w:val="31AF55FD"/>
    <w:rsid w:val="31D6381C"/>
    <w:rsid w:val="31EF5153"/>
    <w:rsid w:val="321E1594"/>
    <w:rsid w:val="32454D73"/>
    <w:rsid w:val="32681D17"/>
    <w:rsid w:val="32821B23"/>
    <w:rsid w:val="32E225C2"/>
    <w:rsid w:val="32F02F31"/>
    <w:rsid w:val="3321133C"/>
    <w:rsid w:val="33323549"/>
    <w:rsid w:val="334E3082"/>
    <w:rsid w:val="33501C21"/>
    <w:rsid w:val="3361798A"/>
    <w:rsid w:val="339D7F19"/>
    <w:rsid w:val="340C3D9A"/>
    <w:rsid w:val="34126ED7"/>
    <w:rsid w:val="342C56A3"/>
    <w:rsid w:val="34B32468"/>
    <w:rsid w:val="34C26957"/>
    <w:rsid w:val="34DD1293"/>
    <w:rsid w:val="357F4ED7"/>
    <w:rsid w:val="35AF70D3"/>
    <w:rsid w:val="35CB558F"/>
    <w:rsid w:val="35F45D7C"/>
    <w:rsid w:val="36140CE4"/>
    <w:rsid w:val="365D08DD"/>
    <w:rsid w:val="366003CD"/>
    <w:rsid w:val="36621823"/>
    <w:rsid w:val="367F74A1"/>
    <w:rsid w:val="36C26992"/>
    <w:rsid w:val="37421881"/>
    <w:rsid w:val="374E6478"/>
    <w:rsid w:val="37A367C3"/>
    <w:rsid w:val="37DE7253"/>
    <w:rsid w:val="37FF2CDF"/>
    <w:rsid w:val="38066D52"/>
    <w:rsid w:val="380738E2"/>
    <w:rsid w:val="38451629"/>
    <w:rsid w:val="38507FCD"/>
    <w:rsid w:val="387C7B4A"/>
    <w:rsid w:val="388148E0"/>
    <w:rsid w:val="38A5656B"/>
    <w:rsid w:val="38FB5558"/>
    <w:rsid w:val="39145B69"/>
    <w:rsid w:val="396B1563"/>
    <w:rsid w:val="39E14289"/>
    <w:rsid w:val="39ED1F78"/>
    <w:rsid w:val="39EE5833"/>
    <w:rsid w:val="3A2F351D"/>
    <w:rsid w:val="3A350162"/>
    <w:rsid w:val="3A371445"/>
    <w:rsid w:val="3A4122C4"/>
    <w:rsid w:val="3A82264A"/>
    <w:rsid w:val="3A9C1584"/>
    <w:rsid w:val="3AA20FB4"/>
    <w:rsid w:val="3AAA01FE"/>
    <w:rsid w:val="3AB6680E"/>
    <w:rsid w:val="3AD46C94"/>
    <w:rsid w:val="3B0A0908"/>
    <w:rsid w:val="3B203E1C"/>
    <w:rsid w:val="3B324408"/>
    <w:rsid w:val="3B7F30A4"/>
    <w:rsid w:val="3C4340D1"/>
    <w:rsid w:val="3C616C4D"/>
    <w:rsid w:val="3C652A7D"/>
    <w:rsid w:val="3C836BC3"/>
    <w:rsid w:val="3CE743DB"/>
    <w:rsid w:val="3D1B32A0"/>
    <w:rsid w:val="3D2A5291"/>
    <w:rsid w:val="3D5642D8"/>
    <w:rsid w:val="3D811383"/>
    <w:rsid w:val="3D960B78"/>
    <w:rsid w:val="3D9A2417"/>
    <w:rsid w:val="3DAC5CA6"/>
    <w:rsid w:val="3DBB413B"/>
    <w:rsid w:val="3DC42F50"/>
    <w:rsid w:val="3DCD6AA7"/>
    <w:rsid w:val="3DDE4B72"/>
    <w:rsid w:val="3DF203F7"/>
    <w:rsid w:val="3E377C66"/>
    <w:rsid w:val="3E4B473E"/>
    <w:rsid w:val="3E781E28"/>
    <w:rsid w:val="3EAD7F28"/>
    <w:rsid w:val="3EEA117C"/>
    <w:rsid w:val="3EF43DA9"/>
    <w:rsid w:val="3F6251B6"/>
    <w:rsid w:val="3F6C393F"/>
    <w:rsid w:val="3FF12096"/>
    <w:rsid w:val="40302BBE"/>
    <w:rsid w:val="403A5579"/>
    <w:rsid w:val="40607B9E"/>
    <w:rsid w:val="40644F5E"/>
    <w:rsid w:val="406A7EBF"/>
    <w:rsid w:val="411155FB"/>
    <w:rsid w:val="41120516"/>
    <w:rsid w:val="41625CFE"/>
    <w:rsid w:val="41662610"/>
    <w:rsid w:val="416D1BF0"/>
    <w:rsid w:val="41743913"/>
    <w:rsid w:val="41856F3A"/>
    <w:rsid w:val="418D7289"/>
    <w:rsid w:val="41BC0943"/>
    <w:rsid w:val="42521512"/>
    <w:rsid w:val="425D3A13"/>
    <w:rsid w:val="428216CB"/>
    <w:rsid w:val="428B67D2"/>
    <w:rsid w:val="42A653BA"/>
    <w:rsid w:val="43615785"/>
    <w:rsid w:val="43BF2BD7"/>
    <w:rsid w:val="43EC7EAE"/>
    <w:rsid w:val="43FF161C"/>
    <w:rsid w:val="44000AFA"/>
    <w:rsid w:val="44147920"/>
    <w:rsid w:val="44331BC7"/>
    <w:rsid w:val="4473751E"/>
    <w:rsid w:val="44882D9B"/>
    <w:rsid w:val="44A43B7B"/>
    <w:rsid w:val="44DA134B"/>
    <w:rsid w:val="44DE52DF"/>
    <w:rsid w:val="46F26E20"/>
    <w:rsid w:val="46FF778E"/>
    <w:rsid w:val="473A2575"/>
    <w:rsid w:val="476A2E5A"/>
    <w:rsid w:val="4783216D"/>
    <w:rsid w:val="47B64EA9"/>
    <w:rsid w:val="47F210A1"/>
    <w:rsid w:val="48037CB1"/>
    <w:rsid w:val="482E0A88"/>
    <w:rsid w:val="483015B0"/>
    <w:rsid w:val="486C0E54"/>
    <w:rsid w:val="48D83DF3"/>
    <w:rsid w:val="492553F0"/>
    <w:rsid w:val="496B2EB9"/>
    <w:rsid w:val="49900B72"/>
    <w:rsid w:val="499C46F2"/>
    <w:rsid w:val="49DD5379"/>
    <w:rsid w:val="49E60792"/>
    <w:rsid w:val="4A3239D7"/>
    <w:rsid w:val="4A45370A"/>
    <w:rsid w:val="4AA93C99"/>
    <w:rsid w:val="4AF60EA8"/>
    <w:rsid w:val="4AF75B92"/>
    <w:rsid w:val="4B1530DD"/>
    <w:rsid w:val="4B3C5387"/>
    <w:rsid w:val="4B5C51AF"/>
    <w:rsid w:val="4B604A32"/>
    <w:rsid w:val="4B7D33FF"/>
    <w:rsid w:val="4B8574B6"/>
    <w:rsid w:val="4C096A28"/>
    <w:rsid w:val="4C172E84"/>
    <w:rsid w:val="4C4129A8"/>
    <w:rsid w:val="4C72455F"/>
    <w:rsid w:val="4C83051A"/>
    <w:rsid w:val="4CBB6ED5"/>
    <w:rsid w:val="4D165AC0"/>
    <w:rsid w:val="4D317203"/>
    <w:rsid w:val="4D341814"/>
    <w:rsid w:val="4D8B4139"/>
    <w:rsid w:val="4DB841F3"/>
    <w:rsid w:val="4DD9022E"/>
    <w:rsid w:val="4DEC3FAE"/>
    <w:rsid w:val="4E141D71"/>
    <w:rsid w:val="4E1F4272"/>
    <w:rsid w:val="4E263853"/>
    <w:rsid w:val="4E37780E"/>
    <w:rsid w:val="4EEA4880"/>
    <w:rsid w:val="4EFD35CC"/>
    <w:rsid w:val="4EFD4585"/>
    <w:rsid w:val="4F174713"/>
    <w:rsid w:val="4F3D2C02"/>
    <w:rsid w:val="4F741FF8"/>
    <w:rsid w:val="4FA113E3"/>
    <w:rsid w:val="4FBC2601"/>
    <w:rsid w:val="4FEB1455"/>
    <w:rsid w:val="4FF736F9"/>
    <w:rsid w:val="513A2283"/>
    <w:rsid w:val="514364CA"/>
    <w:rsid w:val="516923D4"/>
    <w:rsid w:val="51730B5D"/>
    <w:rsid w:val="52D65847"/>
    <w:rsid w:val="532742F5"/>
    <w:rsid w:val="53546C9D"/>
    <w:rsid w:val="53BE513F"/>
    <w:rsid w:val="54613836"/>
    <w:rsid w:val="54837309"/>
    <w:rsid w:val="54A379AB"/>
    <w:rsid w:val="552C79A0"/>
    <w:rsid w:val="55672B9E"/>
    <w:rsid w:val="558C303F"/>
    <w:rsid w:val="55DB3175"/>
    <w:rsid w:val="571132F2"/>
    <w:rsid w:val="57145898"/>
    <w:rsid w:val="571B5F1F"/>
    <w:rsid w:val="57256D9D"/>
    <w:rsid w:val="572D7A00"/>
    <w:rsid w:val="57391A72"/>
    <w:rsid w:val="579B0E0D"/>
    <w:rsid w:val="57A203EE"/>
    <w:rsid w:val="57E502DB"/>
    <w:rsid w:val="57FD3876"/>
    <w:rsid w:val="58120729"/>
    <w:rsid w:val="58233A9D"/>
    <w:rsid w:val="586302A8"/>
    <w:rsid w:val="586C6306"/>
    <w:rsid w:val="58B008E9"/>
    <w:rsid w:val="58C3061C"/>
    <w:rsid w:val="58C43198"/>
    <w:rsid w:val="5903310E"/>
    <w:rsid w:val="591935E3"/>
    <w:rsid w:val="59735A45"/>
    <w:rsid w:val="599B50F5"/>
    <w:rsid w:val="59AA17DC"/>
    <w:rsid w:val="5A643739"/>
    <w:rsid w:val="5A905DBF"/>
    <w:rsid w:val="5ABA3CA0"/>
    <w:rsid w:val="5AC468CD"/>
    <w:rsid w:val="5ADD173D"/>
    <w:rsid w:val="5AEA369E"/>
    <w:rsid w:val="5B1038C0"/>
    <w:rsid w:val="5B1D441F"/>
    <w:rsid w:val="5B1D63C7"/>
    <w:rsid w:val="5B7E0F62"/>
    <w:rsid w:val="5B911D93"/>
    <w:rsid w:val="5BB62995"/>
    <w:rsid w:val="5C2B7526"/>
    <w:rsid w:val="5C8C7BE8"/>
    <w:rsid w:val="5CC46711"/>
    <w:rsid w:val="5CDD3C76"/>
    <w:rsid w:val="5D1370C9"/>
    <w:rsid w:val="5D354105"/>
    <w:rsid w:val="5D4F13E7"/>
    <w:rsid w:val="5D660D8A"/>
    <w:rsid w:val="5D8E4D15"/>
    <w:rsid w:val="5DDB1F64"/>
    <w:rsid w:val="5DE03F75"/>
    <w:rsid w:val="5DEF1EB3"/>
    <w:rsid w:val="5DF8205F"/>
    <w:rsid w:val="5E2F3181"/>
    <w:rsid w:val="5E413D91"/>
    <w:rsid w:val="5E5F0283"/>
    <w:rsid w:val="5E674D72"/>
    <w:rsid w:val="5EA14A25"/>
    <w:rsid w:val="5EE66E8C"/>
    <w:rsid w:val="5EE74ED9"/>
    <w:rsid w:val="5F173581"/>
    <w:rsid w:val="5F33492E"/>
    <w:rsid w:val="5F3B67FC"/>
    <w:rsid w:val="5F670723"/>
    <w:rsid w:val="5F8B51B1"/>
    <w:rsid w:val="5FA65201"/>
    <w:rsid w:val="5FFC1FB7"/>
    <w:rsid w:val="600C0AFA"/>
    <w:rsid w:val="60110C47"/>
    <w:rsid w:val="608E7761"/>
    <w:rsid w:val="60C44F62"/>
    <w:rsid w:val="60D777F7"/>
    <w:rsid w:val="60E23609"/>
    <w:rsid w:val="61022659"/>
    <w:rsid w:val="61671D60"/>
    <w:rsid w:val="61691F7C"/>
    <w:rsid w:val="616B1851"/>
    <w:rsid w:val="61972646"/>
    <w:rsid w:val="61AE798F"/>
    <w:rsid w:val="61C3168D"/>
    <w:rsid w:val="62127F1E"/>
    <w:rsid w:val="6239194F"/>
    <w:rsid w:val="627806C9"/>
    <w:rsid w:val="62907E80"/>
    <w:rsid w:val="62A768B8"/>
    <w:rsid w:val="62C0797A"/>
    <w:rsid w:val="632C3261"/>
    <w:rsid w:val="639F3A33"/>
    <w:rsid w:val="63CE60C7"/>
    <w:rsid w:val="63E87188"/>
    <w:rsid w:val="63F27B94"/>
    <w:rsid w:val="64265F03"/>
    <w:rsid w:val="64414AEB"/>
    <w:rsid w:val="64540CC2"/>
    <w:rsid w:val="648A34E1"/>
    <w:rsid w:val="64A76CF6"/>
    <w:rsid w:val="64B90B25"/>
    <w:rsid w:val="64BE613B"/>
    <w:rsid w:val="65071890"/>
    <w:rsid w:val="6549634D"/>
    <w:rsid w:val="655D5954"/>
    <w:rsid w:val="6582360D"/>
    <w:rsid w:val="65B3614F"/>
    <w:rsid w:val="65B4182A"/>
    <w:rsid w:val="65F26114"/>
    <w:rsid w:val="661F0E5C"/>
    <w:rsid w:val="666351EC"/>
    <w:rsid w:val="66732BE6"/>
    <w:rsid w:val="66A65D76"/>
    <w:rsid w:val="671E7365"/>
    <w:rsid w:val="67430B7A"/>
    <w:rsid w:val="67713939"/>
    <w:rsid w:val="67A1616C"/>
    <w:rsid w:val="67AE2497"/>
    <w:rsid w:val="67B657F0"/>
    <w:rsid w:val="67CE0D8B"/>
    <w:rsid w:val="67E660D5"/>
    <w:rsid w:val="68812FEB"/>
    <w:rsid w:val="68896A60"/>
    <w:rsid w:val="689C2C37"/>
    <w:rsid w:val="68D128E1"/>
    <w:rsid w:val="68F71D2C"/>
    <w:rsid w:val="691722BE"/>
    <w:rsid w:val="69336EF6"/>
    <w:rsid w:val="693404A4"/>
    <w:rsid w:val="694C1F68"/>
    <w:rsid w:val="696073DC"/>
    <w:rsid w:val="69C51EC4"/>
    <w:rsid w:val="6A0C16F7"/>
    <w:rsid w:val="6A464C09"/>
    <w:rsid w:val="6A50275D"/>
    <w:rsid w:val="6A674B7F"/>
    <w:rsid w:val="6AAF0A00"/>
    <w:rsid w:val="6AB9400F"/>
    <w:rsid w:val="6ABE0C43"/>
    <w:rsid w:val="6ABF6769"/>
    <w:rsid w:val="6AC3133E"/>
    <w:rsid w:val="6B0074AE"/>
    <w:rsid w:val="6B01616E"/>
    <w:rsid w:val="6B0F5943"/>
    <w:rsid w:val="6B4E646B"/>
    <w:rsid w:val="6B8A2C78"/>
    <w:rsid w:val="6BE108CB"/>
    <w:rsid w:val="6C083654"/>
    <w:rsid w:val="6C1825D5"/>
    <w:rsid w:val="6C21592D"/>
    <w:rsid w:val="6C5D148F"/>
    <w:rsid w:val="6C7041BF"/>
    <w:rsid w:val="6D064CE2"/>
    <w:rsid w:val="6D2532D0"/>
    <w:rsid w:val="6D4F0278"/>
    <w:rsid w:val="6D6B5A45"/>
    <w:rsid w:val="6DA700B4"/>
    <w:rsid w:val="6DA85BDA"/>
    <w:rsid w:val="6DB12CE1"/>
    <w:rsid w:val="6DCC63C6"/>
    <w:rsid w:val="6DEE183F"/>
    <w:rsid w:val="6E390DBB"/>
    <w:rsid w:val="6E777A87"/>
    <w:rsid w:val="6E82168A"/>
    <w:rsid w:val="6EBB2B15"/>
    <w:rsid w:val="6F0F60E0"/>
    <w:rsid w:val="6F8561D3"/>
    <w:rsid w:val="6F963F3C"/>
    <w:rsid w:val="70666005"/>
    <w:rsid w:val="709A41BE"/>
    <w:rsid w:val="709D3B28"/>
    <w:rsid w:val="70D83F90"/>
    <w:rsid w:val="70E433CD"/>
    <w:rsid w:val="70F278E8"/>
    <w:rsid w:val="711C2B67"/>
    <w:rsid w:val="714E18A7"/>
    <w:rsid w:val="71AD41AA"/>
    <w:rsid w:val="71F80EDE"/>
    <w:rsid w:val="71FE04BF"/>
    <w:rsid w:val="72255A4C"/>
    <w:rsid w:val="722A3062"/>
    <w:rsid w:val="72365481"/>
    <w:rsid w:val="7245602D"/>
    <w:rsid w:val="72925236"/>
    <w:rsid w:val="729B6A85"/>
    <w:rsid w:val="72BB78B4"/>
    <w:rsid w:val="72CC5EC7"/>
    <w:rsid w:val="733777E5"/>
    <w:rsid w:val="73530396"/>
    <w:rsid w:val="73857A6D"/>
    <w:rsid w:val="73A274B8"/>
    <w:rsid w:val="73CC2623"/>
    <w:rsid w:val="73D43285"/>
    <w:rsid w:val="73D553EB"/>
    <w:rsid w:val="73D94368"/>
    <w:rsid w:val="74491BA5"/>
    <w:rsid w:val="74736F42"/>
    <w:rsid w:val="748D1686"/>
    <w:rsid w:val="7507768A"/>
    <w:rsid w:val="751A40A6"/>
    <w:rsid w:val="75553BD7"/>
    <w:rsid w:val="755A1EB0"/>
    <w:rsid w:val="75BC6C51"/>
    <w:rsid w:val="75CF01A8"/>
    <w:rsid w:val="75D457BF"/>
    <w:rsid w:val="75FE0A8D"/>
    <w:rsid w:val="76085468"/>
    <w:rsid w:val="760D2A7F"/>
    <w:rsid w:val="76465F91"/>
    <w:rsid w:val="7662435C"/>
    <w:rsid w:val="768371E5"/>
    <w:rsid w:val="76A2164F"/>
    <w:rsid w:val="76B04DA1"/>
    <w:rsid w:val="774B7D02"/>
    <w:rsid w:val="776932D2"/>
    <w:rsid w:val="77BF6439"/>
    <w:rsid w:val="77C17FC5"/>
    <w:rsid w:val="77D36F5B"/>
    <w:rsid w:val="77D53A70"/>
    <w:rsid w:val="77F51A1C"/>
    <w:rsid w:val="78010125"/>
    <w:rsid w:val="78212811"/>
    <w:rsid w:val="785206D3"/>
    <w:rsid w:val="787E5EB6"/>
    <w:rsid w:val="789D458E"/>
    <w:rsid w:val="78A00C35"/>
    <w:rsid w:val="79257C48"/>
    <w:rsid w:val="794E022E"/>
    <w:rsid w:val="79717EE5"/>
    <w:rsid w:val="79952643"/>
    <w:rsid w:val="79B778D1"/>
    <w:rsid w:val="79BA116F"/>
    <w:rsid w:val="79CB6ED9"/>
    <w:rsid w:val="7A06622C"/>
    <w:rsid w:val="7A0D605B"/>
    <w:rsid w:val="7A1A4044"/>
    <w:rsid w:val="7A5946C7"/>
    <w:rsid w:val="7AC0528A"/>
    <w:rsid w:val="7AC676CA"/>
    <w:rsid w:val="7AE446F6"/>
    <w:rsid w:val="7B3F192C"/>
    <w:rsid w:val="7B551150"/>
    <w:rsid w:val="7B5E7523"/>
    <w:rsid w:val="7B6770D5"/>
    <w:rsid w:val="7B813267"/>
    <w:rsid w:val="7B9D26BC"/>
    <w:rsid w:val="7BC64A0A"/>
    <w:rsid w:val="7BC736D0"/>
    <w:rsid w:val="7BE95D3C"/>
    <w:rsid w:val="7C0E12FE"/>
    <w:rsid w:val="7C3570AE"/>
    <w:rsid w:val="7CD82311"/>
    <w:rsid w:val="7CE704CD"/>
    <w:rsid w:val="7D484E11"/>
    <w:rsid w:val="7D7B0C16"/>
    <w:rsid w:val="7D8458DC"/>
    <w:rsid w:val="7DD81BC4"/>
    <w:rsid w:val="7E0155BF"/>
    <w:rsid w:val="7E057931"/>
    <w:rsid w:val="7E5C45A3"/>
    <w:rsid w:val="7E9B42F0"/>
    <w:rsid w:val="7EA0327A"/>
    <w:rsid w:val="7EE25B2E"/>
    <w:rsid w:val="7F197651"/>
    <w:rsid w:val="7F2A644F"/>
    <w:rsid w:val="7FE02FB2"/>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2"/>
      <w:szCs w:val="32"/>
      <w:lang w:val="zh-CN" w:bidi="zh-CN"/>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cs="宋体"/>
      <w:kern w:val="0"/>
      <w:sz w:val="24"/>
      <w:szCs w:val="24"/>
    </w:rPr>
  </w:style>
  <w:style w:type="paragraph" w:customStyle="1" w:styleId="8">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9">
    <w:name w:val="List Paragraph"/>
    <w:basedOn w:val="1"/>
    <w:qFormat/>
    <w:uiPriority w:val="99"/>
    <w:pPr>
      <w:ind w:firstLine="420" w:firstLineChars="200"/>
    </w:pPr>
  </w:style>
  <w:style w:type="character" w:customStyle="1" w:styleId="10">
    <w:name w:val="页眉 Char"/>
    <w:basedOn w:val="7"/>
    <w:link w:val="4"/>
    <w:qFormat/>
    <w:uiPriority w:val="0"/>
    <w:rPr>
      <w:rFonts w:ascii="Calibri" w:hAnsi="Calibri" w:cs="Calibri"/>
      <w:kern w:val="2"/>
      <w:sz w:val="18"/>
      <w:szCs w:val="18"/>
    </w:rPr>
  </w:style>
  <w:style w:type="character" w:customStyle="1" w:styleId="11">
    <w:name w:val="页脚 Char"/>
    <w:basedOn w:val="7"/>
    <w:link w:val="3"/>
    <w:qFormat/>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29</Pages>
  <Words>7497</Words>
  <Characters>8755</Characters>
  <Lines>86</Lines>
  <Paragraphs>24</Paragraphs>
  <TotalTime>4</TotalTime>
  <ScaleCrop>false</ScaleCrop>
  <LinksUpToDate>false</LinksUpToDate>
  <CharactersWithSpaces>10530</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2022-08-03T08:44:00Z</dcterms:created>
  <dc:creator>妞Baby</dc:creator>
  <cp:lastModifiedBy>WPS_1576728322</cp:lastModifiedBy>
  <cp:lastPrinted>2023-05-15T08:22:00Z</cp:lastPrinted>
  <dcterms:modified xsi:type="dcterms:W3CDTF">2023-07-01T16:42:29Z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53B99A6B62B54BB09CE14918F2D5D78F</vt:lpwstr>
  </property>
</Properties>
</file>