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202</w:t>
      </w:r>
      <w:r>
        <w:rPr>
          <w:rFonts w:hint="eastAsia"/>
          <w:sz w:val="84"/>
          <w:szCs w:val="84"/>
          <w:lang w:val="en-US" w:eastAsia="zh-CN"/>
        </w:rPr>
        <w:t>1</w:t>
      </w:r>
      <w:r>
        <w:rPr>
          <w:rFonts w:hint="eastAsia"/>
          <w:sz w:val="84"/>
          <w:szCs w:val="84"/>
        </w:rPr>
        <w:t>年度</w:t>
      </w:r>
    </w:p>
    <w:p>
      <w:pPr>
        <w:pStyle w:val="11"/>
        <w:jc w:val="center"/>
        <w:rPr>
          <w:sz w:val="84"/>
          <w:szCs w:val="84"/>
        </w:rPr>
      </w:pPr>
      <w:r>
        <w:rPr>
          <w:rFonts w:hint="eastAsia"/>
          <w:sz w:val="84"/>
          <w:szCs w:val="84"/>
        </w:rPr>
        <w:t xml:space="preserve">湘潭县射埠镇人民政府 </w:t>
      </w:r>
    </w:p>
    <w:p>
      <w:pPr>
        <w:pStyle w:val="11"/>
        <w:jc w:val="center"/>
        <w:rPr>
          <w:sz w:val="84"/>
          <w:szCs w:val="84"/>
        </w:rPr>
      </w:pPr>
      <w:r>
        <w:rPr>
          <w:rFonts w:hint="eastAsia"/>
          <w:sz w:val="84"/>
          <w:szCs w:val="84"/>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rPr>
          <w:sz w:val="32"/>
          <w:szCs w:val="32"/>
        </w:rPr>
      </w:pPr>
    </w:p>
    <w:p>
      <w:pPr>
        <w:pStyle w:val="11"/>
        <w:rPr>
          <w:sz w:val="32"/>
          <w:szCs w:val="32"/>
        </w:rPr>
      </w:pPr>
    </w:p>
    <w:p>
      <w:pPr>
        <w:pStyle w:val="11"/>
        <w:jc w:val="center"/>
        <w:rPr>
          <w:sz w:val="32"/>
          <w:szCs w:val="32"/>
        </w:rPr>
      </w:pPr>
    </w:p>
    <w:p>
      <w:pPr>
        <w:pStyle w:val="11"/>
        <w:jc w:val="center"/>
        <w:rPr>
          <w:sz w:val="32"/>
          <w:szCs w:val="32"/>
        </w:rPr>
        <w:sectPr>
          <w:pgSz w:w="11906" w:h="16838"/>
          <w:pgMar w:top="720" w:right="720" w:bottom="720" w:left="720" w:header="0" w:footer="0" w:gutter="0"/>
          <w:cols w:space="425" w:num="1"/>
          <w:docGrid w:type="lines" w:linePitch="312" w:charSpace="0"/>
        </w:sectPr>
      </w:pPr>
    </w:p>
    <w:p>
      <w:pPr>
        <w:pStyle w:val="11"/>
        <w:jc w:val="both"/>
        <w:rPr>
          <w:sz w:val="32"/>
          <w:szCs w:val="32"/>
        </w:rPr>
      </w:pPr>
    </w:p>
    <w:p>
      <w:pPr>
        <w:pStyle w:val="11"/>
        <w:spacing w:line="500" w:lineRule="exact"/>
        <w:jc w:val="center"/>
        <w:rPr>
          <w:b/>
          <w:sz w:val="36"/>
          <w:szCs w:val="28"/>
        </w:rPr>
      </w:pPr>
      <w:r>
        <w:rPr>
          <w:rFonts w:hint="eastAsia"/>
          <w:b/>
          <w:sz w:val="36"/>
          <w:szCs w:val="28"/>
        </w:rPr>
        <w:t>目录</w:t>
      </w:r>
    </w:p>
    <w:p>
      <w:pPr>
        <w:pStyle w:val="11"/>
        <w:spacing w:line="500" w:lineRule="exact"/>
        <w:rPr>
          <w:rFonts w:ascii="仿宋_GB2312" w:hAnsi="仿宋_GB2312" w:cs="仿宋_GB2312"/>
          <w:b/>
          <w:sz w:val="28"/>
          <w:szCs w:val="28"/>
        </w:rPr>
      </w:pPr>
      <w:r>
        <w:rPr>
          <w:rFonts w:hint="eastAsia"/>
          <w:b/>
          <w:sz w:val="28"/>
          <w:szCs w:val="28"/>
        </w:rPr>
        <w:t>第一部分单位概况</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1"/>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1"/>
        <w:spacing w:line="500" w:lineRule="exact"/>
        <w:ind w:firstLine="700" w:firstLineChars="250"/>
        <w:rPr>
          <w:rFonts w:ascii="仿宋_GB2312" w:hAnsi="仿宋_GB2312" w:cs="仿宋_GB2312" w:eastAsiaTheme="minorEastAsia"/>
          <w:sz w:val="28"/>
          <w:szCs w:val="28"/>
        </w:rPr>
        <w:sectPr>
          <w:footerReference r:id="rId3" w:type="default"/>
          <w:pgSz w:w="11906" w:h="16838"/>
          <w:pgMar w:top="720" w:right="720" w:bottom="720" w:left="720" w:header="0" w:footer="0" w:gutter="0"/>
          <w:pgNumType w:start="1"/>
          <w:cols w:space="425" w:num="1"/>
          <w:docGrid w:type="lines" w:linePitch="312" w:charSpace="0"/>
        </w:sectPr>
      </w:pPr>
    </w:p>
    <w:p>
      <w:pPr>
        <w:pStyle w:val="11"/>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sz w:val="72"/>
          <w:szCs w:val="72"/>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sectPr>
          <w:footerReference r:id="rId4" w:type="default"/>
          <w:pgSz w:w="11906" w:h="16838"/>
          <w:pgMar w:top="720" w:right="720" w:bottom="720" w:left="720" w:header="0" w:footer="0" w:gutter="0"/>
          <w:pgNumType w:start="1"/>
          <w:cols w:space="425" w:num="1"/>
          <w:docGrid w:type="lines" w:linePitch="312" w:charSpace="0"/>
        </w:sectPr>
      </w:pPr>
    </w:p>
    <w:p>
      <w:pPr>
        <w:rPr>
          <w:sz w:val="72"/>
          <w:szCs w:val="72"/>
        </w:rPr>
      </w:pPr>
    </w:p>
    <w:p>
      <w:pPr>
        <w:rPr>
          <w:sz w:val="72"/>
          <w:szCs w:val="72"/>
        </w:rPr>
      </w:pPr>
    </w:p>
    <w:p>
      <w:pPr>
        <w:rPr>
          <w:sz w:val="72"/>
          <w:szCs w:val="72"/>
        </w:rPr>
      </w:pPr>
    </w:p>
    <w:p>
      <w:pPr>
        <w:rPr>
          <w:sz w:val="72"/>
          <w:szCs w:val="72"/>
        </w:rPr>
      </w:pPr>
    </w:p>
    <w:p>
      <w:pPr>
        <w:rPr>
          <w:sz w:val="72"/>
          <w:szCs w:val="72"/>
        </w:rPr>
      </w:pPr>
    </w:p>
    <w:p>
      <w:pPr>
        <w:pStyle w:val="11"/>
        <w:jc w:val="center"/>
        <w:rPr>
          <w:sz w:val="84"/>
          <w:szCs w:val="84"/>
        </w:rPr>
      </w:pPr>
      <w:r>
        <w:rPr>
          <w:rFonts w:hint="eastAsia"/>
          <w:sz w:val="84"/>
          <w:szCs w:val="84"/>
        </w:rPr>
        <w:t>第一部分</w:t>
      </w:r>
      <w:r>
        <w:rPr>
          <w:sz w:val="84"/>
          <w:szCs w:val="84"/>
        </w:rPr>
        <w:t xml:space="preserve"> </w:t>
      </w:r>
    </w:p>
    <w:p>
      <w:pPr>
        <w:pStyle w:val="11"/>
        <w:jc w:val="center"/>
        <w:rPr>
          <w:sz w:val="84"/>
          <w:szCs w:val="84"/>
        </w:rPr>
      </w:pPr>
    </w:p>
    <w:p>
      <w:pPr>
        <w:pStyle w:val="11"/>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rPr>
          <w:sz w:val="72"/>
          <w:szCs w:val="72"/>
        </w:rPr>
      </w:pPr>
    </w:p>
    <w:p>
      <w:pPr>
        <w:rPr>
          <w:sz w:val="72"/>
          <w:szCs w:val="72"/>
        </w:rPr>
      </w:pPr>
    </w:p>
    <w:p>
      <w:pPr>
        <w:rPr>
          <w:sz w:val="72"/>
          <w:szCs w:val="72"/>
        </w:rPr>
      </w:pPr>
    </w:p>
    <w:p>
      <w:pPr>
        <w:pStyle w:val="12"/>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pStyle w:val="12"/>
        <w:ind w:left="720" w:firstLine="0" w:firstLineChars="0"/>
        <w:jc w:val="left"/>
        <w:rPr>
          <w:rFonts w:ascii="黑体" w:hAnsi="黑体" w:eastAsia="黑体"/>
          <w:sz w:val="32"/>
          <w:szCs w:val="32"/>
        </w:rPr>
      </w:pP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贯彻执行党和国家的路线、方针、政策和法律、法规、开展调查研究并制订适合本镇实际的具体政策措施；</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组织制订全镇经济发展的中长期规划，搞好经济发展的总体布局和产业布局；</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指导、监督企事业单位贯彻国家有关法律、法规和政策，依法维护劳动者的合法权益，监督检查劳动保护、安全生产和环境保护等工作；</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强化为农业、农村、农民服务的功能，完善农业社会化服务体系，指导、协调农业生产和农村多种经营；</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负责全镇镇村建设的规划管理，促进小城镇建设的发展；</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负责制订全镇计划生育、卫生工作计划和各项目标任务的分解落实，积极发展社会公益事业；</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编制镇财政预决算计划，做好经费的划拨和核算工作；</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认真贯彻社会治安综合治理方针原则，组织、协调指导维护全镇的社会稳定工作；</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负责全镇党的建设、宣传教育、精神文明建设、干部队伍建设的指导和群团工作；</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负责科技人才的引进、教育培训和管理服务；</w:t>
      </w:r>
    </w:p>
    <w:p>
      <w:pPr>
        <w:numPr>
          <w:ilvl w:val="0"/>
          <w:numId w:val="2"/>
        </w:numPr>
        <w:rPr>
          <w:rFonts w:ascii="宋体" w:hAnsi="宋体" w:eastAsia="宋体" w:cs="Times New Roman"/>
          <w:bCs/>
          <w:kern w:val="0"/>
          <w:sz w:val="32"/>
          <w:szCs w:val="32"/>
        </w:rPr>
      </w:pPr>
      <w:r>
        <w:rPr>
          <w:rFonts w:hint="eastAsia" w:ascii="宋体" w:hAnsi="宋体" w:eastAsia="宋体" w:cs="Times New Roman"/>
          <w:bCs/>
          <w:kern w:val="0"/>
          <w:sz w:val="32"/>
          <w:szCs w:val="32"/>
        </w:rPr>
        <w:t>负责征兵、优抚和社会救济、殡葬改革等工作；</w:t>
      </w:r>
    </w:p>
    <w:p>
      <w:pPr>
        <w:numPr>
          <w:ilvl w:val="0"/>
          <w:numId w:val="2"/>
        </w:numPr>
        <w:rPr>
          <w:rFonts w:asciiTheme="minorEastAsia" w:hAnsiTheme="minorEastAsia"/>
          <w:bCs/>
          <w:kern w:val="0"/>
          <w:sz w:val="32"/>
          <w:szCs w:val="32"/>
        </w:rPr>
      </w:pPr>
      <w:r>
        <w:rPr>
          <w:rFonts w:hint="eastAsia" w:ascii="宋体" w:hAnsi="宋体" w:eastAsia="宋体" w:cs="Times New Roman"/>
          <w:bCs/>
          <w:kern w:val="0"/>
          <w:sz w:val="32"/>
          <w:szCs w:val="32"/>
        </w:rPr>
        <w:t>承办县委、县政府及其工作部门交办的其他事项。</w:t>
      </w:r>
    </w:p>
    <w:p>
      <w:pPr>
        <w:rPr>
          <w:rFonts w:asciiTheme="minorEastAsia" w:hAnsiTheme="minorEastAsia"/>
          <w:bCs/>
          <w:kern w:val="0"/>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cs="Times New Roman"/>
          <w:sz w:val="32"/>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黑体" w:hAnsi="黑体" w:eastAsia="黑体"/>
          <w:bCs/>
          <w:kern w:val="0"/>
          <w:sz w:val="32"/>
          <w:szCs w:val="32"/>
        </w:rPr>
      </w:pPr>
    </w:p>
    <w:p>
      <w:pPr>
        <w:ind w:firstLine="800" w:firstLineChars="250"/>
        <w:jc w:val="left"/>
        <w:rPr>
          <w:rFonts w:asciiTheme="minorEastAsia" w:hAnsiTheme="minorEastAsia"/>
          <w:bCs/>
          <w:kern w:val="0"/>
          <w:sz w:val="32"/>
          <w:szCs w:val="32"/>
        </w:rPr>
      </w:pPr>
      <w:r>
        <w:rPr>
          <w:rFonts w:hint="eastAsia" w:asciiTheme="minorEastAsia" w:hAnsiTheme="minorEastAsia"/>
          <w:bCs/>
          <w:kern w:val="0"/>
          <w:sz w:val="32"/>
          <w:szCs w:val="32"/>
        </w:rPr>
        <w:t>（一）内设机构设置。湘潭县射埠镇人民政府内设机构情况：202</w:t>
      </w:r>
      <w:r>
        <w:rPr>
          <w:rFonts w:hint="eastAsia" w:asciiTheme="minorEastAsia" w:hAnsiTheme="minorEastAsia"/>
          <w:bCs/>
          <w:kern w:val="0"/>
          <w:sz w:val="32"/>
          <w:szCs w:val="32"/>
          <w:lang w:val="en-US" w:eastAsia="zh-CN"/>
        </w:rPr>
        <w:t>1</w:t>
      </w:r>
      <w:r>
        <w:rPr>
          <w:rFonts w:hint="eastAsia" w:asciiTheme="minorEastAsia" w:hAnsiTheme="minorEastAsia"/>
          <w:bCs/>
          <w:kern w:val="0"/>
          <w:sz w:val="32"/>
          <w:szCs w:val="32"/>
        </w:rPr>
        <w:t>年本镇共有机构数11个，分别为党政综合办公室，经济发展办公室，社会事务办公室，社会治安和应急管理办公室，财政所，自然资源和生态环境办公室，社会事务综合服务中心，农业综合服务中心，政务服务中心，退役军人服务站，综合执法大队。</w:t>
      </w:r>
    </w:p>
    <w:p>
      <w:pPr>
        <w:widowControl/>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（二）决算单位构成。湘潭县射埠镇人民政府</w:t>
      </w:r>
      <w:r>
        <w:rPr>
          <w:rFonts w:asciiTheme="minorEastAsia" w:hAnsiTheme="minorEastAsia"/>
          <w:bCs/>
          <w:kern w:val="0"/>
          <w:sz w:val="32"/>
          <w:szCs w:val="32"/>
        </w:rPr>
        <w:t>20</w:t>
      </w:r>
      <w:r>
        <w:rPr>
          <w:rFonts w:hint="eastAsia" w:asciiTheme="minorEastAsia" w:hAnsiTheme="minorEastAsia"/>
          <w:bCs/>
          <w:kern w:val="0"/>
          <w:sz w:val="32"/>
          <w:szCs w:val="32"/>
        </w:rPr>
        <w:t>2</w:t>
      </w:r>
      <w:r>
        <w:rPr>
          <w:rFonts w:hint="eastAsia" w:asciiTheme="minorEastAsia" w:hAnsiTheme="minorEastAsia"/>
          <w:bCs/>
          <w:kern w:val="0"/>
          <w:sz w:val="32"/>
          <w:szCs w:val="32"/>
          <w:lang w:val="en-US" w:eastAsia="zh-CN"/>
        </w:rPr>
        <w:t>1</w:t>
      </w:r>
      <w:r>
        <w:rPr>
          <w:rFonts w:hint="eastAsia" w:asciiTheme="minorEastAsia" w:hAnsiTheme="minorEastAsia"/>
          <w:bCs/>
          <w:kern w:val="0"/>
          <w:sz w:val="32"/>
          <w:szCs w:val="32"/>
        </w:rPr>
        <w:t>年部门决算汇总公开单位为：湘潭县射埠镇人民政府本级。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footerReference r:id="rId5" w:type="default"/>
          <w:pgSz w:w="11906" w:h="16838"/>
          <w:pgMar w:top="720" w:right="720" w:bottom="720" w:left="720" w:header="0" w:footer="0" w:gutter="0"/>
          <w:pgNumType w:start="1"/>
          <w:cols w:space="425" w:num="1"/>
          <w:docGrid w:type="lines" w:linePitch="312" w:charSpace="0"/>
        </w:sectPr>
      </w:pPr>
    </w:p>
    <w:tbl>
      <w:tblPr>
        <w:tblStyle w:val="7"/>
        <w:tblW w:w="5000" w:type="pct"/>
        <w:tblInd w:w="0" w:type="dxa"/>
        <w:tblLayout w:type="autofit"/>
        <w:tblCellMar>
          <w:top w:w="0" w:type="dxa"/>
          <w:left w:w="108" w:type="dxa"/>
          <w:bottom w:w="0" w:type="dxa"/>
          <w:right w:w="108" w:type="dxa"/>
        </w:tblCellMar>
      </w:tblPr>
      <w:tblGrid>
        <w:gridCol w:w="4559"/>
        <w:gridCol w:w="799"/>
        <w:gridCol w:w="3192"/>
        <w:gridCol w:w="4291"/>
        <w:gridCol w:w="799"/>
        <w:gridCol w:w="1974"/>
      </w:tblGrid>
      <w:tr>
        <w:tblPrEx>
          <w:tblCellMar>
            <w:top w:w="0" w:type="dxa"/>
            <w:left w:w="108" w:type="dxa"/>
            <w:bottom w:w="0" w:type="dxa"/>
            <w:right w:w="108" w:type="dxa"/>
          </w:tblCellMar>
        </w:tblPrEx>
        <w:trPr>
          <w:trHeight w:val="390" w:hRule="atLeast"/>
        </w:trPr>
        <w:tc>
          <w:tcPr>
            <w:tcW w:w="146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2" w:type="pct"/>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收入支出决算总表</w:t>
            </w:r>
          </w:p>
        </w:tc>
        <w:tc>
          <w:tcPr>
            <w:tcW w:w="137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31"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46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7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31"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公开01表</w:t>
            </w:r>
          </w:p>
        </w:tc>
      </w:tr>
      <w:tr>
        <w:tblPrEx>
          <w:tblCellMar>
            <w:top w:w="0" w:type="dxa"/>
            <w:left w:w="108" w:type="dxa"/>
            <w:bottom w:w="0" w:type="dxa"/>
            <w:right w:w="108" w:type="dxa"/>
          </w:tblCellMar>
        </w:tblPrEx>
        <w:trPr>
          <w:trHeight w:val="255" w:hRule="atLeast"/>
        </w:trPr>
        <w:tc>
          <w:tcPr>
            <w:tcW w:w="1460"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2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02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7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631"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738"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收入</w:t>
            </w:r>
          </w:p>
        </w:tc>
        <w:tc>
          <w:tcPr>
            <w:tcW w:w="2262" w:type="pct"/>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支出</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1022"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631"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1022"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631"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3,181.60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一、一般公共服务支出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32</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2,648.37</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二、外交支出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33</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三、国有资本经营预算财政拨款收入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三、国防支出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34</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四、上级补助收入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四、公共安全支出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35</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171.52</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五、事业收入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五、教育支出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36</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六、经营收入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六、科学技术支出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37</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七、附属单位上缴收入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七、文化旅游体育与传媒支出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38</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62.28</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八、其他收入</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2,127.78</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八、社会保障和就业支出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39</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191.04</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九、卫生健康支出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40</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十、节能环保支出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41</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十一、城乡社区支出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42</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198.91</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十二、农林水支出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43</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2,037.26</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13</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十三、交通运输支出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44</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14</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十四、资源勘探工业信息等支出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45</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15</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十五、商业服务业等支出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46</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16</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十六、金融支出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47</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17</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十七、援助其他地区支出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48</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18</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十八、自然资源海洋气象等支出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49</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19</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十九、住房保障支出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50</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二十、粮油物资储备支出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51</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21</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二十一、国有资本经营预算支出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52</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22</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二十二、灾害防治及应急管理支出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53</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23</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二十三、其他支出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54</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0"/>
                <w:szCs w:val="20"/>
              </w:rPr>
            </w:pPr>
            <w:r>
              <w:rPr>
                <w:rFonts w:hint="eastAsia" w:ascii="宋体" w:hAnsi="宋体" w:eastAsia="宋体" w:cs="Arial"/>
                <w:b/>
                <w:bCs/>
                <w:color w:val="000000"/>
                <w:kern w:val="0"/>
                <w:sz w:val="20"/>
                <w:szCs w:val="20"/>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24</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二十四、债务还本支出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55</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25</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二十五、债务付息支出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56</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szCs w:val="20"/>
              </w:rPr>
            </w:pPr>
            <w:r>
              <w:rPr>
                <w:rFonts w:hint="eastAsia" w:ascii="宋体" w:hAnsi="宋体" w:eastAsia="宋体" w:cs="Arial"/>
                <w:color w:val="000000"/>
                <w:kern w:val="0"/>
                <w:sz w:val="20"/>
                <w:szCs w:val="20"/>
              </w:rPr>
              <w:t>26</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二十六、抗疫特别国债安排的支出</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57</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本年收入合计</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27</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lang w:val="en-US" w:eastAsia="zh-CN"/>
              </w:rPr>
              <w:t>5</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309</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38</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本年支出合计</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58</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lang w:val="en-US" w:eastAsia="zh-CN"/>
              </w:rPr>
              <w:t>5</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309</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38</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使用非财政拨款结余</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28</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结余分配</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59</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年初结转和结余</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29</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年末结转和结余</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60</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30</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61</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46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256" w:type="pct"/>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31</w:t>
            </w:r>
          </w:p>
        </w:tc>
        <w:tc>
          <w:tcPr>
            <w:tcW w:w="1022"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5</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309</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38</w:t>
            </w:r>
          </w:p>
        </w:tc>
        <w:tc>
          <w:tcPr>
            <w:tcW w:w="1374"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2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62</w:t>
            </w:r>
          </w:p>
        </w:tc>
        <w:tc>
          <w:tcPr>
            <w:tcW w:w="63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lang w:val="en-US" w:eastAsia="zh-CN"/>
              </w:rPr>
              <w:t>5</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309</w:t>
            </w:r>
            <w:r>
              <w:rPr>
                <w:rFonts w:hint="eastAsia" w:ascii="宋体" w:hAnsi="宋体" w:eastAsia="宋体" w:cs="Arial"/>
                <w:color w:val="000000"/>
                <w:kern w:val="0"/>
                <w:sz w:val="22"/>
              </w:rPr>
              <w:t>.</w:t>
            </w:r>
            <w:r>
              <w:rPr>
                <w:rFonts w:hint="eastAsia" w:ascii="宋体" w:hAnsi="宋体" w:eastAsia="宋体" w:cs="Arial"/>
                <w:color w:val="000000"/>
                <w:kern w:val="0"/>
                <w:sz w:val="22"/>
                <w:lang w:val="en-US" w:eastAsia="zh-CN"/>
              </w:rPr>
              <w:t>38</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注：本表反映部门本年度的总收支和年末结转结余情况。本套报表金额单位转换时可能存在尾数误差。</w:t>
            </w:r>
          </w:p>
        </w:tc>
      </w:tr>
    </w:tbl>
    <w:p>
      <w:pPr>
        <w:pStyle w:val="11"/>
        <w:rPr>
          <w:sz w:val="72"/>
          <w:szCs w:val="72"/>
        </w:rPr>
      </w:pPr>
    </w:p>
    <w:p>
      <w:pPr>
        <w:pStyle w:val="11"/>
        <w:rPr>
          <w:sz w:val="72"/>
          <w:szCs w:val="72"/>
        </w:rPr>
      </w:pPr>
    </w:p>
    <w:p>
      <w:pPr>
        <w:pStyle w:val="11"/>
        <w:rPr>
          <w:sz w:val="72"/>
          <w:szCs w:val="72"/>
        </w:rPr>
      </w:pPr>
    </w:p>
    <w:p>
      <w:pPr>
        <w:rPr>
          <w:sz w:val="72"/>
          <w:szCs w:val="72"/>
        </w:rPr>
      </w:pPr>
      <w:r>
        <w:rPr>
          <w:sz w:val="72"/>
          <w:szCs w:val="72"/>
        </w:rPr>
        <w:br w:type="page"/>
      </w:r>
    </w:p>
    <w:tbl>
      <w:tblPr>
        <w:tblStyle w:val="7"/>
        <w:tblW w:w="0" w:type="auto"/>
        <w:tblInd w:w="91" w:type="dxa"/>
        <w:tblLayout w:type="autofit"/>
        <w:tblCellMar>
          <w:top w:w="0" w:type="dxa"/>
          <w:left w:w="108" w:type="dxa"/>
          <w:bottom w:w="0" w:type="dxa"/>
          <w:right w:w="108" w:type="dxa"/>
        </w:tblCellMar>
      </w:tblPr>
      <w:tblGrid>
        <w:gridCol w:w="651"/>
        <w:gridCol w:w="650"/>
        <w:gridCol w:w="651"/>
        <w:gridCol w:w="4176"/>
        <w:gridCol w:w="1408"/>
        <w:gridCol w:w="1534"/>
        <w:gridCol w:w="1716"/>
        <w:gridCol w:w="887"/>
        <w:gridCol w:w="887"/>
        <w:gridCol w:w="1347"/>
        <w:gridCol w:w="1616"/>
      </w:tblGrid>
      <w:tr>
        <w:tblPrEx>
          <w:tblCellMar>
            <w:top w:w="0" w:type="dxa"/>
            <w:left w:w="108" w:type="dxa"/>
            <w:bottom w:w="0" w:type="dxa"/>
            <w:right w:w="108" w:type="dxa"/>
          </w:tblCellMar>
        </w:tblPrEx>
        <w:trPr>
          <w:trHeight w:val="390" w:hRule="atLeast"/>
        </w:trPr>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16"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收入决算表</w:t>
            </w: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1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公开02表</w:t>
            </w:r>
          </w:p>
        </w:tc>
      </w:tr>
      <w:tr>
        <w:tblPrEx>
          <w:tblCellMar>
            <w:top w:w="0" w:type="dxa"/>
            <w:left w:w="108" w:type="dxa"/>
            <w:bottom w:w="0" w:type="dxa"/>
            <w:right w:w="108" w:type="dxa"/>
          </w:tblCellMar>
        </w:tblPrEx>
        <w:trPr>
          <w:trHeight w:val="255" w:hRule="atLeast"/>
        </w:trPr>
        <w:tc>
          <w:tcPr>
            <w:tcW w:w="0" w:type="auto"/>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534"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16"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0" w:type="auto"/>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本年收入合计</w:t>
            </w:r>
          </w:p>
        </w:tc>
        <w:tc>
          <w:tcPr>
            <w:tcW w:w="153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财政拨款收入</w:t>
            </w:r>
          </w:p>
        </w:tc>
        <w:tc>
          <w:tcPr>
            <w:tcW w:w="171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上级补助收入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事业收入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经营收入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附属单位上缴收入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其他收入</w:t>
            </w:r>
          </w:p>
        </w:tc>
      </w:tr>
      <w:tr>
        <w:tblPrEx>
          <w:tblCellMar>
            <w:top w:w="0" w:type="dxa"/>
            <w:left w:w="108" w:type="dxa"/>
            <w:bottom w:w="0" w:type="dxa"/>
            <w:right w:w="108" w:type="dxa"/>
          </w:tblCellMar>
        </w:tblPrEx>
        <w:trPr>
          <w:trHeight w:val="312"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1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1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5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71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534"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716"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b/>
                <w:bCs/>
                <w:color w:val="000000"/>
                <w:kern w:val="0"/>
                <w:sz w:val="22"/>
                <w:lang w:val="en-US" w:eastAsia="zh-CN"/>
              </w:rPr>
            </w:pPr>
            <w:r>
              <w:rPr>
                <w:rFonts w:hint="eastAsia" w:ascii="宋体" w:hAnsi="宋体" w:eastAsia="宋体" w:cs="Arial"/>
                <w:b/>
                <w:bCs/>
                <w:color w:val="000000"/>
                <w:kern w:val="0"/>
                <w:sz w:val="22"/>
                <w:lang w:val="en-US" w:eastAsia="zh-CN"/>
              </w:rPr>
              <w:t>5</w:t>
            </w:r>
            <w:r>
              <w:rPr>
                <w:rFonts w:hint="eastAsia" w:ascii="宋体" w:hAnsi="宋体" w:eastAsia="宋体" w:cs="Arial"/>
                <w:b/>
                <w:bCs/>
                <w:color w:val="000000"/>
                <w:kern w:val="0"/>
                <w:sz w:val="22"/>
              </w:rPr>
              <w:t>,</w:t>
            </w:r>
            <w:r>
              <w:rPr>
                <w:rFonts w:hint="eastAsia" w:ascii="宋体" w:hAnsi="宋体" w:eastAsia="宋体" w:cs="Arial"/>
                <w:b/>
                <w:bCs/>
                <w:color w:val="000000"/>
                <w:kern w:val="0"/>
                <w:sz w:val="22"/>
                <w:lang w:val="en-US" w:eastAsia="zh-CN"/>
              </w:rPr>
              <w:t>309</w:t>
            </w:r>
            <w:r>
              <w:rPr>
                <w:rFonts w:hint="eastAsia" w:ascii="宋体" w:hAnsi="宋体" w:eastAsia="宋体" w:cs="Arial"/>
                <w:b/>
                <w:bCs/>
                <w:color w:val="000000"/>
                <w:kern w:val="0"/>
                <w:sz w:val="22"/>
              </w:rPr>
              <w:t>.</w:t>
            </w:r>
            <w:r>
              <w:rPr>
                <w:rFonts w:hint="eastAsia" w:ascii="宋体" w:hAnsi="宋体" w:eastAsia="宋体" w:cs="Arial"/>
                <w:b/>
                <w:bCs/>
                <w:color w:val="000000"/>
                <w:kern w:val="0"/>
                <w:sz w:val="22"/>
                <w:lang w:val="en-US" w:eastAsia="zh-CN"/>
              </w:rPr>
              <w:t>38</w:t>
            </w:r>
          </w:p>
        </w:tc>
        <w:tc>
          <w:tcPr>
            <w:tcW w:w="1534"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b/>
                <w:bCs/>
                <w:color w:val="000000"/>
                <w:kern w:val="0"/>
                <w:sz w:val="22"/>
                <w:lang w:val="en-US" w:eastAsia="zh-CN"/>
              </w:rPr>
            </w:pPr>
            <w:r>
              <w:rPr>
                <w:rFonts w:hint="eastAsia" w:ascii="宋体" w:hAnsi="宋体" w:eastAsia="宋体" w:cs="Arial"/>
                <w:b/>
                <w:bCs/>
                <w:color w:val="000000"/>
                <w:kern w:val="0"/>
                <w:sz w:val="22"/>
                <w:lang w:val="en-US" w:eastAsia="zh-CN"/>
              </w:rPr>
              <w:t>3</w:t>
            </w:r>
            <w:r>
              <w:rPr>
                <w:rFonts w:hint="eastAsia" w:ascii="宋体" w:hAnsi="宋体" w:eastAsia="宋体" w:cs="Arial"/>
                <w:b/>
                <w:bCs/>
                <w:color w:val="000000"/>
                <w:kern w:val="0"/>
                <w:sz w:val="22"/>
              </w:rPr>
              <w:t>,</w:t>
            </w:r>
            <w:r>
              <w:rPr>
                <w:rFonts w:hint="eastAsia" w:ascii="宋体" w:hAnsi="宋体" w:eastAsia="宋体" w:cs="Arial"/>
                <w:b/>
                <w:bCs/>
                <w:color w:val="000000"/>
                <w:kern w:val="0"/>
                <w:sz w:val="22"/>
                <w:lang w:val="en-US" w:eastAsia="zh-CN"/>
              </w:rPr>
              <w:t>181.60</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b/>
                <w:bCs/>
                <w:color w:val="000000"/>
                <w:kern w:val="0"/>
                <w:sz w:val="22"/>
                <w:lang w:val="en-US" w:eastAsia="zh-CN"/>
              </w:rPr>
            </w:pPr>
            <w:r>
              <w:rPr>
                <w:rFonts w:hint="eastAsia" w:ascii="宋体" w:hAnsi="宋体" w:eastAsia="宋体" w:cs="Arial"/>
                <w:b/>
                <w:bCs/>
                <w:color w:val="000000"/>
                <w:kern w:val="0"/>
                <w:sz w:val="22"/>
                <w:lang w:val="en-US" w:eastAsia="zh-CN"/>
              </w:rPr>
              <w:t>2,127.78</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一般公共服务支出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eastAsia="zh-CN"/>
              </w:rPr>
            </w:pPr>
            <w:r>
              <w:rPr>
                <w:rFonts w:hint="eastAsia" w:ascii="宋体" w:hAnsi="宋体" w:eastAsia="宋体" w:cs="宋体"/>
                <w:i w:val="0"/>
                <w:iCs w:val="0"/>
                <w:color w:val="000000"/>
                <w:kern w:val="0"/>
                <w:sz w:val="22"/>
                <w:szCs w:val="22"/>
                <w:u w:val="none"/>
                <w:lang w:val="en-US" w:eastAsia="zh-CN" w:bidi="ar"/>
              </w:rPr>
              <w:t xml:space="preserve">2,648.37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eastAsia="zh-CN"/>
              </w:rPr>
            </w:pPr>
            <w:r>
              <w:rPr>
                <w:rFonts w:hint="eastAsia" w:ascii="宋体" w:hAnsi="宋体" w:eastAsia="宋体" w:cs="宋体"/>
                <w:i w:val="0"/>
                <w:iCs w:val="0"/>
                <w:color w:val="000000"/>
                <w:kern w:val="0"/>
                <w:sz w:val="22"/>
                <w:szCs w:val="22"/>
                <w:u w:val="none"/>
                <w:lang w:val="en-US" w:eastAsia="zh-CN" w:bidi="ar"/>
              </w:rPr>
              <w:t xml:space="preserve">2,629.50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eastAsia="zh-CN"/>
              </w:rPr>
            </w:pPr>
            <w:r>
              <w:rPr>
                <w:rFonts w:hint="eastAsia" w:ascii="宋体" w:hAnsi="宋体" w:eastAsia="宋体" w:cs="宋体"/>
                <w:i w:val="0"/>
                <w:iCs w:val="0"/>
                <w:color w:val="000000"/>
                <w:kern w:val="0"/>
                <w:sz w:val="22"/>
                <w:szCs w:val="22"/>
                <w:u w:val="none"/>
                <w:lang w:val="en-US" w:eastAsia="zh-CN" w:bidi="ar"/>
              </w:rPr>
              <w:t xml:space="preserve">18.87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20103</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2,584.17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2,582.11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2.06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2,570.94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2,570.94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2010350</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13.23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11.17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2.06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20106</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财政事务</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64.20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47.40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16.80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2010601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64.20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47.40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16.80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公共安全支出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171.52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53.39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118.13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20499</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其他公共安全支出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171.52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53.39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118.13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2049999</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171.52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53.39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118.13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62.28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41.44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20.84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文化和旅游</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62.28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41.44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20.84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2070199</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62.28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41.44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20.84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191.04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72.35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118.69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131.85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60.63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71.22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2080199</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131.85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60.63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71.22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20828</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退役军人管理事务</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59.19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11.72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47.47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2082801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59.19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11.72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47.47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城乡社区支出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198.91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31.74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167.17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21202</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198.91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31.74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167.17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2120201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城乡社区规划与管理</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198.91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31.74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167.17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农林水支出</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2,037.26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353.16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1,684.10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农业农村</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760.76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204.14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556.62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2130101</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659.46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163.28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496.18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2130112</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行业业务管理</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101.30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40.86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60.44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21307</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农村综合改革</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1,276.50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149.02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1,127.48 </w:t>
            </w:r>
          </w:p>
        </w:tc>
      </w:tr>
      <w:tr>
        <w:tblPrEx>
          <w:tblCellMar>
            <w:top w:w="0" w:type="dxa"/>
            <w:left w:w="108" w:type="dxa"/>
            <w:bottom w:w="0" w:type="dxa"/>
            <w:right w:w="108" w:type="dxa"/>
          </w:tblCellMar>
        </w:tblPrEx>
        <w:trPr>
          <w:trHeight w:val="308" w:hRule="atLeast"/>
        </w:trPr>
        <w:tc>
          <w:tcPr>
            <w:tcW w:w="1925"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2130705</w:t>
            </w:r>
          </w:p>
        </w:tc>
        <w:tc>
          <w:tcPr>
            <w:tcW w:w="417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40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1,276.50 </w:t>
            </w:r>
          </w:p>
        </w:tc>
        <w:tc>
          <w:tcPr>
            <w:tcW w:w="15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149.02 </w:t>
            </w:r>
          </w:p>
        </w:tc>
        <w:tc>
          <w:tcPr>
            <w:tcW w:w="17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6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1,127.48 </w:t>
            </w:r>
          </w:p>
        </w:tc>
      </w:tr>
      <w:tr>
        <w:tblPrEx>
          <w:tblCellMar>
            <w:top w:w="0" w:type="dxa"/>
            <w:left w:w="108" w:type="dxa"/>
            <w:bottom w:w="0" w:type="dxa"/>
            <w:right w:w="108" w:type="dxa"/>
          </w:tblCellMar>
        </w:tblPrEx>
        <w:trPr>
          <w:trHeight w:val="308" w:hRule="atLeast"/>
        </w:trPr>
        <w:tc>
          <w:tcPr>
            <w:tcW w:w="0" w:type="auto"/>
            <w:gridSpan w:val="11"/>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注：本表反映部门本年度取得的各项收入情况。</w:t>
            </w:r>
          </w:p>
        </w:tc>
      </w:tr>
    </w:tbl>
    <w:p>
      <w:pPr>
        <w:pStyle w:val="11"/>
        <w:rPr>
          <w:sz w:val="72"/>
          <w:szCs w:val="72"/>
        </w:rPr>
      </w:pPr>
    </w:p>
    <w:p>
      <w:pPr>
        <w:rPr>
          <w:sz w:val="72"/>
          <w:szCs w:val="72"/>
        </w:rPr>
      </w:pPr>
      <w:r>
        <w:rPr>
          <w:sz w:val="72"/>
          <w:szCs w:val="72"/>
        </w:rPr>
        <w:br w:type="page"/>
      </w:r>
    </w:p>
    <w:tbl>
      <w:tblPr>
        <w:tblStyle w:val="7"/>
        <w:tblW w:w="15818" w:type="dxa"/>
        <w:tblInd w:w="89" w:type="dxa"/>
        <w:tblLayout w:type="autofit"/>
        <w:tblCellMar>
          <w:top w:w="0" w:type="dxa"/>
          <w:left w:w="108" w:type="dxa"/>
          <w:bottom w:w="0" w:type="dxa"/>
          <w:right w:w="108" w:type="dxa"/>
        </w:tblCellMar>
      </w:tblPr>
      <w:tblGrid>
        <w:gridCol w:w="340"/>
        <w:gridCol w:w="340"/>
        <w:gridCol w:w="340"/>
        <w:gridCol w:w="3998"/>
        <w:gridCol w:w="1800"/>
        <w:gridCol w:w="1800"/>
        <w:gridCol w:w="1800"/>
        <w:gridCol w:w="1800"/>
        <w:gridCol w:w="1800"/>
        <w:gridCol w:w="1800"/>
      </w:tblGrid>
      <w:tr>
        <w:tblPrEx>
          <w:tblCellMar>
            <w:top w:w="0" w:type="dxa"/>
            <w:left w:w="108" w:type="dxa"/>
            <w:bottom w:w="0" w:type="dxa"/>
            <w:right w:w="108" w:type="dxa"/>
          </w:tblCellMar>
        </w:tblPrEx>
        <w:trPr>
          <w:trHeight w:val="390" w:hRule="atLeast"/>
        </w:trPr>
        <w:tc>
          <w:tcPr>
            <w:tcW w:w="3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9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支出决算表</w:t>
            </w: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998"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公开03表</w:t>
            </w:r>
          </w:p>
        </w:tc>
      </w:tr>
      <w:tr>
        <w:tblPrEx>
          <w:tblCellMar>
            <w:top w:w="0" w:type="dxa"/>
            <w:left w:w="108" w:type="dxa"/>
            <w:bottom w:w="0" w:type="dxa"/>
            <w:right w:w="108" w:type="dxa"/>
          </w:tblCellMar>
        </w:tblPrEx>
        <w:trPr>
          <w:trHeight w:val="255" w:hRule="atLeast"/>
        </w:trPr>
        <w:tc>
          <w:tcPr>
            <w:tcW w:w="5018" w:type="dxa"/>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00" w:type="dxa"/>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01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本年支出合计</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上缴上级支出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经营支出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对附属单位补助支出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3998"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99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99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800"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5018"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8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8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8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8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8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180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r>
      <w:tr>
        <w:tblPrEx>
          <w:tblCellMar>
            <w:top w:w="0" w:type="dxa"/>
            <w:left w:w="108" w:type="dxa"/>
            <w:bottom w:w="0" w:type="dxa"/>
            <w:right w:w="108" w:type="dxa"/>
          </w:tblCellMar>
        </w:tblPrEx>
        <w:trPr>
          <w:trHeight w:val="308" w:hRule="atLeast"/>
        </w:trPr>
        <w:tc>
          <w:tcPr>
            <w:tcW w:w="5018"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b/>
                <w:bCs/>
                <w:color w:val="000000"/>
                <w:kern w:val="0"/>
                <w:sz w:val="22"/>
                <w:lang w:val="en-US" w:eastAsia="zh-CN"/>
              </w:rPr>
            </w:pPr>
            <w:r>
              <w:rPr>
                <w:rFonts w:hint="eastAsia" w:ascii="宋体" w:hAnsi="宋体" w:eastAsia="宋体" w:cs="Arial"/>
                <w:b/>
                <w:bCs/>
                <w:color w:val="000000"/>
                <w:kern w:val="0"/>
                <w:sz w:val="22"/>
                <w:lang w:val="en-US" w:eastAsia="zh-CN"/>
              </w:rPr>
              <w:t>5,309.38</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lang w:val="en-US" w:eastAsia="zh-CN"/>
              </w:rPr>
              <w:t>5,309.38</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2,648.37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2,648.37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2,584.17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2,584.17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行政运行</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2,570.94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2,570.94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2010350</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事业运行</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13.23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13.23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20106</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财政事务</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64.20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64.20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2010601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行政运行</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64.20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64.20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公共安全支出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171.52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171.52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20499</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其他公共安全支出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171.52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171.52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2049999</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其他公共安全支出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171.52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171.52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62.28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62.28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文化和旅游</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62.28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62.28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2070199</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其他文化和旅游支出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62.28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62.28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191.04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191.04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131.85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131.85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2080199</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其他人力资源和社会保障管理事务支出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131.85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131.85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20828</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退役军人管理事务</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59.19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59.19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2082801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行政运行</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59.19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59.19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城乡社区支出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198.91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198.91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21202</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198.91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198.91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2120201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城乡社区规划与管理</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198.91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198.91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农林水支出</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2,037.26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2,037.26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农业农村</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760.76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760.76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2130101</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行政运行</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659.46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659.46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2130112</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行业业务管理</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101.30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101.30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21307</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农村综合改革</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1,276.50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1,276.50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2130705</w:t>
            </w:r>
          </w:p>
        </w:tc>
        <w:tc>
          <w:tcPr>
            <w:tcW w:w="399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w:t>
            </w:r>
            <w:r>
              <w:rPr>
                <w:rStyle w:val="15"/>
                <w:lang w:val="en-US" w:eastAsia="zh-CN" w:bidi="ar"/>
              </w:rPr>
              <w:t>对村民委员会和村党支部的补助</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1,276.50 </w:t>
            </w:r>
          </w:p>
        </w:tc>
        <w:tc>
          <w:tcPr>
            <w:tcW w:w="18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1,276.50 </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80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15818" w:type="dxa"/>
            <w:gridSpan w:val="10"/>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注：本表反映部门本年度各项支出情况。</w:t>
            </w:r>
          </w:p>
        </w:tc>
      </w:tr>
    </w:tbl>
    <w:p>
      <w:pPr>
        <w:pStyle w:val="11"/>
        <w:rPr>
          <w:sz w:val="72"/>
          <w:szCs w:val="72"/>
        </w:rPr>
      </w:pPr>
    </w:p>
    <w:p>
      <w:pPr>
        <w:rPr>
          <w:sz w:val="72"/>
          <w:szCs w:val="72"/>
        </w:rPr>
      </w:pPr>
      <w:r>
        <w:rPr>
          <w:sz w:val="72"/>
          <w:szCs w:val="72"/>
        </w:rPr>
        <w:br w:type="page"/>
      </w:r>
    </w:p>
    <w:tbl>
      <w:tblPr>
        <w:tblStyle w:val="7"/>
        <w:tblW w:w="5000" w:type="pct"/>
        <w:tblInd w:w="0" w:type="dxa"/>
        <w:tblLayout w:type="autofit"/>
        <w:tblCellMar>
          <w:top w:w="0" w:type="dxa"/>
          <w:left w:w="108" w:type="dxa"/>
          <w:bottom w:w="0" w:type="dxa"/>
          <w:right w:w="108" w:type="dxa"/>
        </w:tblCellMar>
      </w:tblPr>
      <w:tblGrid>
        <w:gridCol w:w="3076"/>
        <w:gridCol w:w="517"/>
        <w:gridCol w:w="1517"/>
        <w:gridCol w:w="3816"/>
        <w:gridCol w:w="518"/>
        <w:gridCol w:w="1517"/>
        <w:gridCol w:w="1514"/>
        <w:gridCol w:w="1523"/>
        <w:gridCol w:w="1616"/>
      </w:tblGrid>
      <w:tr>
        <w:tblPrEx>
          <w:tblCellMar>
            <w:top w:w="0" w:type="dxa"/>
            <w:left w:w="108" w:type="dxa"/>
            <w:bottom w:w="0" w:type="dxa"/>
            <w:right w:w="108" w:type="dxa"/>
          </w:tblCellMar>
        </w:tblPrEx>
        <w:trPr>
          <w:trHeight w:val="390" w:hRule="atLeast"/>
        </w:trPr>
        <w:tc>
          <w:tcPr>
            <w:tcW w:w="98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7"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19" w:type="pct"/>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财政拨款收入支出决算总表</w:t>
            </w:r>
          </w:p>
        </w:tc>
        <w:tc>
          <w:tcPr>
            <w:tcW w:w="167"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1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98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7"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1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7"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16"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公开04表</w:t>
            </w:r>
          </w:p>
        </w:tc>
      </w:tr>
      <w:tr>
        <w:tblPrEx>
          <w:tblCellMar>
            <w:top w:w="0" w:type="dxa"/>
            <w:left w:w="108" w:type="dxa"/>
            <w:bottom w:w="0" w:type="dxa"/>
            <w:right w:w="108" w:type="dxa"/>
          </w:tblCellMar>
        </w:tblPrEx>
        <w:trPr>
          <w:trHeight w:val="255" w:hRule="atLeast"/>
        </w:trPr>
        <w:tc>
          <w:tcPr>
            <w:tcW w:w="983"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167"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21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7"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8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16"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637"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收     入</w:t>
            </w:r>
          </w:p>
        </w:tc>
        <w:tc>
          <w:tcPr>
            <w:tcW w:w="3362"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支     出</w:t>
            </w:r>
          </w:p>
        </w:tc>
      </w:tr>
      <w:tr>
        <w:tblPrEx>
          <w:tblCellMar>
            <w:top w:w="0" w:type="dxa"/>
            <w:left w:w="108" w:type="dxa"/>
            <w:bottom w:w="0" w:type="dxa"/>
            <w:right w:w="108" w:type="dxa"/>
          </w:tblCellMar>
        </w:tblPrEx>
        <w:trPr>
          <w:trHeight w:val="312" w:hRule="atLeast"/>
        </w:trPr>
        <w:tc>
          <w:tcPr>
            <w:tcW w:w="983"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6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48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金额</w:t>
            </w:r>
          </w:p>
        </w:tc>
        <w:tc>
          <w:tcPr>
            <w:tcW w:w="121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16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行次</w:t>
            </w:r>
          </w:p>
        </w:tc>
        <w:tc>
          <w:tcPr>
            <w:tcW w:w="485"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48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一般公共预算财政拨款</w:t>
            </w:r>
          </w:p>
        </w:tc>
        <w:tc>
          <w:tcPr>
            <w:tcW w:w="48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政府性基金预算财政拨款</w:t>
            </w:r>
          </w:p>
        </w:tc>
        <w:tc>
          <w:tcPr>
            <w:tcW w:w="51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国有资本经营预算财政拨款</w:t>
            </w:r>
          </w:p>
        </w:tc>
      </w:tr>
      <w:tr>
        <w:tblPrEx>
          <w:tblCellMar>
            <w:top w:w="0" w:type="dxa"/>
            <w:left w:w="108" w:type="dxa"/>
            <w:bottom w:w="0" w:type="dxa"/>
            <w:right w:w="108" w:type="dxa"/>
          </w:tblCellMar>
        </w:tblPrEx>
        <w:trPr>
          <w:trHeight w:val="615" w:hRule="atLeast"/>
        </w:trPr>
        <w:tc>
          <w:tcPr>
            <w:tcW w:w="983"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7"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8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21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7"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85"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8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8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1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48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　</w:t>
            </w:r>
          </w:p>
        </w:tc>
        <w:tc>
          <w:tcPr>
            <w:tcW w:w="48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48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48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51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一、一般公共预算财政拨款</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3，181.60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一、一般公共服务支出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33</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2，629.50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2，629.50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二、政府性基金预算财政拨款</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二、外交支出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34</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三、国有资本经营财政拨款</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三、国防支出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35</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四、公共安全支出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36</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53.40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53.40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五、教育支出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37</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六、科学技术支出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38</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七、文化旅游体育与传媒支出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39</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41.40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41.40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八、社会保障和就业支出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40</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72.30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72.30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九、卫生健康支出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41</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十、节能环保支出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42</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十一、城乡社区支出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43</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31.70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31.70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十二、农林水支出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44</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353.30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353.30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13</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十三、交通运输支出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45</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14</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十四、资源勘探工业信息等支出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46</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15</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十五、商业服务业等支出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47</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16</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十六、金融支出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48</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17</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十七、援助其他地区支出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49</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18</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十八、自然资源海洋气象等支出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50</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19</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十九、住房保障支出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51</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二十、粮油物资储备支出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52</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21</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二十一、国有资本经营预算支出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53</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22</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二十二、灾害防治及应急管理支出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54</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23</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二十三、其他支出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55</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0"/>
                <w:szCs w:val="20"/>
              </w:rPr>
            </w:pPr>
            <w:r>
              <w:rPr>
                <w:rFonts w:hint="eastAsia" w:ascii="宋体" w:hAnsi="宋体" w:eastAsia="宋体" w:cs="Arial"/>
                <w:b/>
                <w:bCs/>
                <w:color w:val="000000"/>
                <w:kern w:val="0"/>
                <w:sz w:val="20"/>
                <w:szCs w:val="20"/>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24</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二十四、债务还本支出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56</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25</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二十五、债务付息支出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57</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26</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二十六、抗疫特别国债安排的支出</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58</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0.00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本年收入合计</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27</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3181.60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本年支出合计</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59</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3181.60 </w:t>
            </w:r>
          </w:p>
        </w:tc>
        <w:tc>
          <w:tcPr>
            <w:tcW w:w="151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318.1.60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年初财政拨款结转和结余</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28</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年末财政拨款结转和结余</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60</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一般公共预算财政拨款</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29</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61</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政府性基金预算财政拨款</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62</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国有资本经营预算财政拨款</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31</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63</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983"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167" w:type="pct"/>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32</w:t>
            </w:r>
          </w:p>
        </w:tc>
        <w:tc>
          <w:tcPr>
            <w:tcW w:w="48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3181.60 </w:t>
            </w:r>
          </w:p>
        </w:tc>
        <w:tc>
          <w:tcPr>
            <w:tcW w:w="121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rPr>
            </w:pPr>
            <w:r>
              <w:rPr>
                <w:rFonts w:hint="eastAsia" w:ascii="宋体" w:hAnsi="宋体" w:eastAsia="宋体" w:cs="Arial"/>
                <w:b/>
                <w:bCs/>
                <w:color w:val="000000"/>
                <w:kern w:val="0"/>
                <w:sz w:val="22"/>
              </w:rPr>
              <w:t>总计</w:t>
            </w:r>
          </w:p>
        </w:tc>
        <w:tc>
          <w:tcPr>
            <w:tcW w:w="16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64</w:t>
            </w:r>
          </w:p>
        </w:tc>
        <w:tc>
          <w:tcPr>
            <w:tcW w:w="485"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3181.60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3181.60</w:t>
            </w:r>
          </w:p>
        </w:tc>
        <w:tc>
          <w:tcPr>
            <w:tcW w:w="48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51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4483" w:type="pct"/>
            <w:gridSpan w:val="8"/>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注：本表反映部门本年度一般公共预算财政拨款、政府性基金预算财政拨款和国有资本经营预算财政拨款的总收支和年末结转结余情况。</w:t>
            </w:r>
          </w:p>
        </w:tc>
        <w:tc>
          <w:tcPr>
            <w:tcW w:w="516" w:type="pct"/>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0"/>
                <w:szCs w:val="20"/>
              </w:rPr>
            </w:pPr>
          </w:p>
        </w:tc>
      </w:tr>
    </w:tbl>
    <w:p>
      <w:pPr>
        <w:rPr>
          <w:sz w:val="72"/>
          <w:szCs w:val="72"/>
        </w:rPr>
      </w:pPr>
      <w:r>
        <w:rPr>
          <w:sz w:val="72"/>
          <w:szCs w:val="72"/>
        </w:rPr>
        <w:br w:type="page"/>
      </w:r>
    </w:p>
    <w:tbl>
      <w:tblPr>
        <w:tblStyle w:val="7"/>
        <w:tblW w:w="5000" w:type="pct"/>
        <w:tblInd w:w="0" w:type="dxa"/>
        <w:tblLayout w:type="autofit"/>
        <w:tblCellMar>
          <w:top w:w="0" w:type="dxa"/>
          <w:left w:w="108" w:type="dxa"/>
          <w:bottom w:w="0" w:type="dxa"/>
          <w:right w:w="108" w:type="dxa"/>
        </w:tblCellMar>
      </w:tblPr>
      <w:tblGrid>
        <w:gridCol w:w="329"/>
        <w:gridCol w:w="329"/>
        <w:gridCol w:w="329"/>
        <w:gridCol w:w="4507"/>
        <w:gridCol w:w="4716"/>
        <w:gridCol w:w="2705"/>
        <w:gridCol w:w="2701"/>
      </w:tblGrid>
      <w:tr>
        <w:tblPrEx>
          <w:tblCellMar>
            <w:top w:w="0" w:type="dxa"/>
            <w:left w:w="108" w:type="dxa"/>
            <w:bottom w:w="0" w:type="dxa"/>
            <w:right w:w="108" w:type="dxa"/>
          </w:tblCellMar>
        </w:tblPrEx>
        <w:trPr>
          <w:trHeight w:val="390" w:hRule="atLeast"/>
        </w:trPr>
        <w:tc>
          <w:tcPr>
            <w:tcW w:w="14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9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58" w:type="pct"/>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一般公共预算财政拨款支出决算表</w:t>
            </w:r>
          </w:p>
        </w:tc>
        <w:tc>
          <w:tcPr>
            <w:tcW w:w="958"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58"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4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4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69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58"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58"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58"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公开05表</w:t>
            </w:r>
          </w:p>
        </w:tc>
      </w:tr>
      <w:tr>
        <w:tblPrEx>
          <w:tblCellMar>
            <w:top w:w="0" w:type="dxa"/>
            <w:left w:w="108" w:type="dxa"/>
            <w:bottom w:w="0" w:type="dxa"/>
            <w:right w:w="108" w:type="dxa"/>
          </w:tblCellMar>
        </w:tblPrEx>
        <w:trPr>
          <w:trHeight w:val="255" w:hRule="atLeast"/>
        </w:trPr>
        <w:tc>
          <w:tcPr>
            <w:tcW w:w="2127" w:type="pct"/>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958"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58"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58"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127"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2873"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w:t>
            </w:r>
          </w:p>
        </w:tc>
      </w:tr>
      <w:tr>
        <w:tblPrEx>
          <w:tblCellMar>
            <w:top w:w="0" w:type="dxa"/>
            <w:left w:w="108" w:type="dxa"/>
            <w:bottom w:w="0" w:type="dxa"/>
            <w:right w:w="108" w:type="dxa"/>
          </w:tblCellMar>
        </w:tblPrEx>
        <w:trPr>
          <w:trHeight w:val="312" w:hRule="atLeast"/>
        </w:trPr>
        <w:tc>
          <w:tcPr>
            <w:tcW w:w="432"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1694"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95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95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95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r>
      <w:tr>
        <w:tblPrEx>
          <w:tblCellMar>
            <w:top w:w="0" w:type="dxa"/>
            <w:left w:w="108" w:type="dxa"/>
            <w:bottom w:w="0" w:type="dxa"/>
            <w:right w:w="108" w:type="dxa"/>
          </w:tblCellMar>
        </w:tblPrEx>
        <w:trPr>
          <w:trHeight w:val="312" w:hRule="atLeast"/>
        </w:trPr>
        <w:tc>
          <w:tcPr>
            <w:tcW w:w="432"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94"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58"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58"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58"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432"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694"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58"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58"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58"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2127"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9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9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958"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r>
      <w:tr>
        <w:tblPrEx>
          <w:tblCellMar>
            <w:top w:w="0" w:type="dxa"/>
            <w:left w:w="108" w:type="dxa"/>
            <w:bottom w:w="0" w:type="dxa"/>
            <w:right w:w="108" w:type="dxa"/>
          </w:tblCellMar>
        </w:tblPrEx>
        <w:trPr>
          <w:trHeight w:val="308" w:hRule="atLeast"/>
        </w:trPr>
        <w:tc>
          <w:tcPr>
            <w:tcW w:w="2127"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b/>
                <w:bCs/>
                <w:color w:val="000000"/>
                <w:kern w:val="0"/>
                <w:sz w:val="22"/>
              </w:rPr>
            </w:pPr>
            <w:r>
              <w:rPr>
                <w:rFonts w:hint="eastAsia" w:ascii="宋体" w:hAnsi="宋体" w:eastAsia="宋体" w:cs="宋体"/>
                <w:i w:val="0"/>
                <w:iCs w:val="0"/>
                <w:color w:val="000000"/>
                <w:kern w:val="0"/>
                <w:sz w:val="22"/>
                <w:szCs w:val="22"/>
                <w:u w:val="none"/>
                <w:lang w:val="en-US" w:eastAsia="zh-CN" w:bidi="ar"/>
              </w:rPr>
              <w:t>3,181.60</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b/>
                <w:bCs/>
                <w:color w:val="000000"/>
                <w:kern w:val="0"/>
                <w:sz w:val="22"/>
              </w:rPr>
            </w:pPr>
            <w:r>
              <w:rPr>
                <w:rFonts w:hint="eastAsia" w:ascii="宋体" w:hAnsi="宋体" w:eastAsia="宋体" w:cs="宋体"/>
                <w:i w:val="0"/>
                <w:iCs w:val="0"/>
                <w:color w:val="000000"/>
                <w:kern w:val="0"/>
                <w:sz w:val="22"/>
                <w:szCs w:val="22"/>
                <w:u w:val="none"/>
                <w:lang w:val="en-US" w:eastAsia="zh-CN" w:bidi="ar"/>
              </w:rPr>
              <w:t>3,181.60</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一般公共服务支出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2,629.50</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2,629.50</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2,582.11</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2,582.11</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2,570.95</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2,570.95</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2010350</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11.16</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11.16</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20106</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财政事务</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47.39</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47.39</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2010601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47.39</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47.39</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公共安全支出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53.38</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53.38</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20499</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其他公共安全支出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53.38</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53.38</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2049999</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53.38</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53.38</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41.43</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41.43</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文化和旅游</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41.43</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41.43</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2070199</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其他文化和旅游支出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41.43</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41.43</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72.34</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72.34</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60.62</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60.62</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2080199</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60.62</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60.62</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20828</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退役军人管理事务</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11.72</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11.72</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2082801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11.72</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11.72</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城乡社区支出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31.74</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31.74</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21202</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31.74</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31.74</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2120201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31.74</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31.74</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农林水支出</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353.21</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353.21</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农业农村</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204.15</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204.15</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2130101</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163.29</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163.29</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2130112</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行业业务管理</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40.86</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40.86</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21307</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农村综合改革</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149.06</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149.06</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98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2130705</w:t>
            </w:r>
          </w:p>
        </w:tc>
        <w:tc>
          <w:tcPr>
            <w:tcW w:w="450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ascii="宋体" w:hAnsi="宋体" w:eastAsia="宋体" w:cs="Arial"/>
                <w:color w:val="000000"/>
                <w:kern w:val="0"/>
                <w:sz w:val="22"/>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47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149.06</w:t>
            </w:r>
          </w:p>
        </w:tc>
        <w:tc>
          <w:tcPr>
            <w:tcW w:w="27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Arial"/>
                <w:color w:val="000000"/>
                <w:kern w:val="0"/>
                <w:sz w:val="22"/>
                <w:lang w:val="en-US"/>
              </w:rPr>
            </w:pPr>
            <w:r>
              <w:rPr>
                <w:rFonts w:hint="eastAsia" w:ascii="宋体" w:hAnsi="宋体" w:eastAsia="宋体" w:cs="宋体"/>
                <w:i w:val="0"/>
                <w:iCs w:val="0"/>
                <w:color w:val="000000"/>
                <w:kern w:val="0"/>
                <w:sz w:val="22"/>
                <w:szCs w:val="22"/>
                <w:u w:val="none"/>
                <w:lang w:val="en-US" w:eastAsia="zh-CN" w:bidi="ar"/>
              </w:rPr>
              <w:t>149.06</w:t>
            </w:r>
          </w:p>
        </w:tc>
        <w:tc>
          <w:tcPr>
            <w:tcW w:w="95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注：本表反映部门本年度一般公共预算财政拨款支出情况。</w:t>
            </w:r>
          </w:p>
        </w:tc>
      </w:tr>
    </w:tbl>
    <w:p>
      <w:pPr>
        <w:pStyle w:val="11"/>
        <w:rPr>
          <w:sz w:val="72"/>
          <w:szCs w:val="72"/>
        </w:rPr>
      </w:pPr>
    </w:p>
    <w:p>
      <w:pPr>
        <w:pStyle w:val="11"/>
        <w:rPr>
          <w:sz w:val="72"/>
          <w:szCs w:val="72"/>
        </w:rPr>
      </w:pPr>
    </w:p>
    <w:p>
      <w:pPr>
        <w:rPr>
          <w:sz w:val="72"/>
          <w:szCs w:val="72"/>
        </w:rPr>
      </w:pPr>
      <w:r>
        <w:rPr>
          <w:sz w:val="72"/>
          <w:szCs w:val="72"/>
        </w:rPr>
        <w:br w:type="page"/>
      </w:r>
    </w:p>
    <w:tbl>
      <w:tblPr>
        <w:tblStyle w:val="7"/>
        <w:tblW w:w="5000" w:type="pct"/>
        <w:tblInd w:w="0" w:type="dxa"/>
        <w:tblLayout w:type="fixed"/>
        <w:tblCellMar>
          <w:top w:w="0" w:type="dxa"/>
          <w:left w:w="108" w:type="dxa"/>
          <w:bottom w:w="0" w:type="dxa"/>
          <w:right w:w="108" w:type="dxa"/>
        </w:tblCellMar>
      </w:tblPr>
      <w:tblGrid>
        <w:gridCol w:w="1100"/>
        <w:gridCol w:w="3576"/>
        <w:gridCol w:w="1128"/>
        <w:gridCol w:w="1176"/>
        <w:gridCol w:w="2424"/>
        <w:gridCol w:w="1176"/>
        <w:gridCol w:w="888"/>
        <w:gridCol w:w="3120"/>
        <w:gridCol w:w="1026"/>
      </w:tblGrid>
      <w:tr>
        <w:tblPrEx>
          <w:tblCellMar>
            <w:top w:w="0" w:type="dxa"/>
            <w:left w:w="108" w:type="dxa"/>
            <w:bottom w:w="0" w:type="dxa"/>
            <w:right w:w="108" w:type="dxa"/>
          </w:tblCellMar>
        </w:tblPrEx>
        <w:trPr>
          <w:trHeight w:val="390" w:hRule="atLeast"/>
        </w:trPr>
        <w:tc>
          <w:tcPr>
            <w:tcW w:w="35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4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61"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813" w:type="pct"/>
            <w:gridSpan w:val="4"/>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r>
              <w:rPr>
                <w:rFonts w:hint="eastAsia" w:ascii="宋体" w:hAnsi="宋体" w:eastAsia="宋体" w:cs="Arial"/>
                <w:color w:val="000000"/>
                <w:kern w:val="0"/>
                <w:sz w:val="30"/>
                <w:szCs w:val="30"/>
              </w:rPr>
              <w:t>一般公共预算财政拨款基本支出决算表</w:t>
            </w:r>
          </w:p>
        </w:tc>
        <w:tc>
          <w:tcPr>
            <w:tcW w:w="9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28"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35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4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61"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7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7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7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8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9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28"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公开06表</w:t>
            </w:r>
          </w:p>
        </w:tc>
      </w:tr>
      <w:tr>
        <w:tblPrEx>
          <w:tblCellMar>
            <w:top w:w="0" w:type="dxa"/>
            <w:left w:w="108" w:type="dxa"/>
            <w:bottom w:w="0" w:type="dxa"/>
            <w:right w:w="108" w:type="dxa"/>
          </w:tblCellMar>
        </w:tblPrEx>
        <w:trPr>
          <w:trHeight w:val="255" w:hRule="atLeast"/>
        </w:trPr>
        <w:tc>
          <w:tcPr>
            <w:tcW w:w="1497" w:type="pct"/>
            <w:gridSpan w:val="2"/>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361"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7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77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7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8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27" w:type="pct"/>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18"/>
                <w:szCs w:val="18"/>
              </w:rPr>
            </w:pPr>
            <w:r>
              <w:rPr>
                <w:rFonts w:hint="eastAsia" w:ascii="宋体" w:hAnsi="宋体" w:eastAsia="宋体" w:cs="Arial"/>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1858"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人员经费</w:t>
            </w:r>
          </w:p>
        </w:tc>
        <w:tc>
          <w:tcPr>
            <w:tcW w:w="3141"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公用经费</w:t>
            </w:r>
          </w:p>
        </w:tc>
      </w:tr>
      <w:tr>
        <w:tblPrEx>
          <w:tblCellMar>
            <w:top w:w="0" w:type="dxa"/>
            <w:left w:w="108" w:type="dxa"/>
            <w:bottom w:w="0" w:type="dxa"/>
            <w:right w:w="108" w:type="dxa"/>
          </w:tblCellMar>
        </w:tblPrEx>
        <w:trPr>
          <w:trHeight w:val="312" w:hRule="atLeast"/>
        </w:trPr>
        <w:tc>
          <w:tcPr>
            <w:tcW w:w="352"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114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36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37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77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37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c>
          <w:tcPr>
            <w:tcW w:w="28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科目编码</w:t>
            </w:r>
          </w:p>
        </w:tc>
        <w:tc>
          <w:tcPr>
            <w:tcW w:w="99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328"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CellMar>
            <w:top w:w="0" w:type="dxa"/>
            <w:left w:w="108" w:type="dxa"/>
            <w:bottom w:w="0" w:type="dxa"/>
            <w:right w:w="108" w:type="dxa"/>
          </w:tblCellMar>
        </w:tblPrEx>
        <w:trPr>
          <w:trHeight w:val="312" w:hRule="atLeast"/>
        </w:trPr>
        <w:tc>
          <w:tcPr>
            <w:tcW w:w="352"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145"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61"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7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77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7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84"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99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328"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工资福利支出</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1,955.77</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商品和服务支出</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995.68</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债务利息及费用支出</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30101</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基本工资</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294.14</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30201</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47.42</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30701</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国内债务付息</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30102</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津贴补贴</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297.63</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30202</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印刷费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46.86</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30702</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国外债务付息</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30103</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奖金</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2.20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30203</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咨询费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资本性支出</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30106</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伙食补助费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49.67</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30204</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手续费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31001</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房屋建筑物购建</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30107</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绩效工资</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291.91</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30205</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水费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31002</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办公设备购置</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30108</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机关事业单位基本养老保险缴费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367.63</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30206</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电费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12.98</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31003</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专用设备购置</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30109</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职业年金缴费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74.06</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30207</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邮电费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31005</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基础设施建设</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30110</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职工基本医疗保险缴费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182.56</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30208</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取暖费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31006</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大型修缮</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30111</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公务员医疗补助缴费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41.46</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30209</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物业管理费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31007</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信息网络及软件购置更新</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30112</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其他社会保障缴费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22.31</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30211</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差旅费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10.01</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31008</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物资储备</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30113</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住房公积金</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327.36</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30212</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因公出国（境）费用</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31009</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土地补偿</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30114</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30213</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维修（护）费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0.37</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31010</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安置补助</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30199</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其他工资福利支出</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4.82</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30214</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租赁费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31011</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地上附着物和青苗补偿</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对个人和家庭的补助</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230.13</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30215</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会议费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1.32</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31012</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拆迁补偿</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30301</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离休费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30216</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培训费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0.56</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31013</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公务用车购置</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30302</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退休费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30217</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公务接待费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31019</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其他交通工具购置</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30303</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退职（役）费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30218</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专用材料费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2.49</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31021</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文物和陈列品购置</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30304</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抚恤金</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78.62</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30224</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被装购置费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31022</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无形资产购置</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30305</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生活补助</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0.30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30225</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专用燃料费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31099</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其他资本性支出</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30306</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救济费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0.10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30226</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劳务费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135.67</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其他支出</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30307</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医疗费补助</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30227</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委托业务费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395.27</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39906</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赠与</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30308</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助学金</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30228</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工会经费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42.15</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39907</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国家赔偿费用支出</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30309</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奖励金</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30229</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福利费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15.46</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39908</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对民间非营利组织和群众性自治组织补贴</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30310</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个人农业生产补贴</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151.12</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30231</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公务用车运行维护费</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39999</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其他支出</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30311</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代缴社会保险费</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30239</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其他交通费用</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9.14</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30399</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其他对个人和家庭的补助</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30240</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税金及附加费用</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52"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14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3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30299</w:t>
            </w:r>
          </w:p>
        </w:tc>
        <w:tc>
          <w:tcPr>
            <w:tcW w:w="776"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xml:space="preserve">  其他商品和服务支出</w:t>
            </w:r>
          </w:p>
        </w:tc>
        <w:tc>
          <w:tcPr>
            <w:tcW w:w="376"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275.96</w:t>
            </w:r>
          </w:p>
        </w:tc>
        <w:tc>
          <w:tcPr>
            <w:tcW w:w="284"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999"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1497"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人员经费合计</w:t>
            </w:r>
          </w:p>
        </w:tc>
        <w:tc>
          <w:tcPr>
            <w:tcW w:w="36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2</w:t>
            </w:r>
            <w:r>
              <w:rPr>
                <w:rFonts w:hint="eastAsia" w:ascii="宋体" w:hAnsi="宋体" w:eastAsia="宋体" w:cs="Arial"/>
                <w:color w:val="000000"/>
                <w:kern w:val="0"/>
                <w:sz w:val="22"/>
                <w:lang w:val="en-US" w:eastAsia="zh-CN"/>
              </w:rPr>
              <w:t>,</w:t>
            </w:r>
            <w:r>
              <w:rPr>
                <w:rFonts w:hint="eastAsia" w:ascii="宋体" w:hAnsi="宋体" w:eastAsia="宋体" w:cs="Arial"/>
                <w:color w:val="000000"/>
                <w:kern w:val="0"/>
                <w:sz w:val="22"/>
              </w:rPr>
              <w:t>185.9</w:t>
            </w:r>
          </w:p>
        </w:tc>
        <w:tc>
          <w:tcPr>
            <w:tcW w:w="2812" w:type="pct"/>
            <w:gridSpan w:val="5"/>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公用经费合计</w:t>
            </w:r>
          </w:p>
        </w:tc>
        <w:tc>
          <w:tcPr>
            <w:tcW w:w="328" w:type="pct"/>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lang w:val="en-US" w:eastAsia="zh-CN"/>
              </w:rPr>
            </w:pPr>
            <w:r>
              <w:rPr>
                <w:rFonts w:hint="eastAsia" w:ascii="宋体" w:hAnsi="宋体" w:eastAsia="宋体" w:cs="Arial"/>
                <w:color w:val="000000"/>
                <w:kern w:val="0"/>
                <w:sz w:val="22"/>
              </w:rPr>
              <w:t>995.7</w:t>
            </w:r>
            <w:r>
              <w:rPr>
                <w:rFonts w:hint="eastAsia" w:ascii="宋体" w:hAnsi="宋体" w:eastAsia="宋体" w:cs="Arial"/>
                <w:color w:val="000000"/>
                <w:kern w:val="0"/>
                <w:sz w:val="22"/>
                <w:lang w:val="en-US" w:eastAsia="zh-CN"/>
              </w:rPr>
              <w:t>0</w:t>
            </w:r>
          </w:p>
        </w:tc>
      </w:tr>
      <w:tr>
        <w:tblPrEx>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注：本表反映部门本年度一般公共预算财政拨款基本支出明细情况。</w:t>
            </w:r>
          </w:p>
        </w:tc>
      </w:tr>
    </w:tbl>
    <w:p>
      <w:pPr>
        <w:pStyle w:val="11"/>
        <w:rPr>
          <w:sz w:val="72"/>
          <w:szCs w:val="72"/>
        </w:rPr>
      </w:pPr>
    </w:p>
    <w:p>
      <w:pPr>
        <w:pStyle w:val="11"/>
        <w:rPr>
          <w:sz w:val="72"/>
          <w:szCs w:val="72"/>
        </w:rPr>
      </w:pPr>
    </w:p>
    <w:p>
      <w:pPr>
        <w:rPr>
          <w:sz w:val="72"/>
          <w:szCs w:val="72"/>
        </w:rPr>
      </w:pPr>
      <w:r>
        <w:rPr>
          <w:sz w:val="72"/>
          <w:szCs w:val="72"/>
        </w:rPr>
        <w:br w:type="page"/>
      </w:r>
    </w:p>
    <w:tbl>
      <w:tblPr>
        <w:tblStyle w:val="7"/>
        <w:tblW w:w="5000" w:type="pct"/>
        <w:tblInd w:w="0" w:type="dxa"/>
        <w:tblLayout w:type="autofit"/>
        <w:tblCellMar>
          <w:top w:w="0" w:type="dxa"/>
          <w:left w:w="108" w:type="dxa"/>
          <w:bottom w:w="0" w:type="dxa"/>
          <w:right w:w="108" w:type="dxa"/>
        </w:tblCellMar>
      </w:tblPr>
      <w:tblGrid>
        <w:gridCol w:w="1405"/>
        <w:gridCol w:w="1411"/>
        <w:gridCol w:w="656"/>
        <w:gridCol w:w="656"/>
        <w:gridCol w:w="656"/>
        <w:gridCol w:w="5716"/>
        <w:gridCol w:w="656"/>
        <w:gridCol w:w="876"/>
        <w:gridCol w:w="656"/>
        <w:gridCol w:w="656"/>
        <w:gridCol w:w="656"/>
        <w:gridCol w:w="1616"/>
      </w:tblGrid>
      <w:tr>
        <w:trPr>
          <w:trHeight w:val="540" w:hRule="atLeast"/>
        </w:trPr>
        <w:tc>
          <w:tcPr>
            <w:tcW w:w="40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0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3539" w:type="pct"/>
            <w:gridSpan w:val="8"/>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r>
              <w:rPr>
                <w:rFonts w:hint="eastAsia" w:ascii="宋体" w:hAnsi="宋体" w:eastAsia="宋体" w:cs="Arial"/>
                <w:color w:val="000000"/>
                <w:kern w:val="0"/>
                <w:sz w:val="44"/>
                <w:szCs w:val="44"/>
              </w:rPr>
              <w:t>一般公共预算财政拨款“三公”经费支出决算表</w:t>
            </w: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1"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40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0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13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5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1"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公开07表</w:t>
            </w:r>
          </w:p>
        </w:tc>
      </w:tr>
      <w:tr>
        <w:trPr>
          <w:trHeight w:val="255" w:hRule="atLeast"/>
        </w:trPr>
        <w:tc>
          <w:tcPr>
            <w:tcW w:w="806" w:type="pct"/>
            <w:gridSpan w:val="2"/>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13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254"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2"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461"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514" w:type="pct"/>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预算数</w:t>
            </w:r>
          </w:p>
        </w:tc>
        <w:tc>
          <w:tcPr>
            <w:tcW w:w="1485" w:type="pct"/>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决算数</w:t>
            </w:r>
          </w:p>
        </w:tc>
      </w:tr>
      <w:tr>
        <w:tblPrEx>
          <w:tblCellMar>
            <w:top w:w="0" w:type="dxa"/>
            <w:left w:w="108" w:type="dxa"/>
            <w:bottom w:w="0" w:type="dxa"/>
            <w:right w:w="108" w:type="dxa"/>
          </w:tblCellMar>
        </w:tblPrEx>
        <w:trPr>
          <w:trHeight w:val="308" w:hRule="atLeast"/>
        </w:trPr>
        <w:tc>
          <w:tcPr>
            <w:tcW w:w="402"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403"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577" w:type="pct"/>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213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c>
          <w:tcPr>
            <w:tcW w:w="19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25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因公出国（境）费</w:t>
            </w:r>
          </w:p>
        </w:tc>
        <w:tc>
          <w:tcPr>
            <w:tcW w:w="577" w:type="pct"/>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公务用车购置及运行费</w:t>
            </w:r>
          </w:p>
        </w:tc>
        <w:tc>
          <w:tcPr>
            <w:tcW w:w="46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公务接待费</w:t>
            </w:r>
          </w:p>
        </w:tc>
      </w:tr>
      <w:tr>
        <w:tblPrEx>
          <w:tblCellMar>
            <w:top w:w="0" w:type="dxa"/>
            <w:left w:w="108" w:type="dxa"/>
            <w:bottom w:w="0" w:type="dxa"/>
            <w:right w:w="108" w:type="dxa"/>
          </w:tblCellMar>
        </w:tblPrEx>
        <w:trPr>
          <w:trHeight w:val="615" w:hRule="atLeast"/>
        </w:trPr>
        <w:tc>
          <w:tcPr>
            <w:tcW w:w="402"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403"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213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92"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254"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公务用车购置费</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公务用车运行费</w:t>
            </w:r>
          </w:p>
        </w:tc>
        <w:tc>
          <w:tcPr>
            <w:tcW w:w="461"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402" w:type="pc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403"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2130"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7</w:t>
            </w:r>
          </w:p>
        </w:tc>
        <w:tc>
          <w:tcPr>
            <w:tcW w:w="254"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8</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9</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10</w:t>
            </w:r>
          </w:p>
        </w:tc>
        <w:tc>
          <w:tcPr>
            <w:tcW w:w="192"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11</w:t>
            </w:r>
          </w:p>
        </w:tc>
        <w:tc>
          <w:tcPr>
            <w:tcW w:w="461"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12</w:t>
            </w:r>
          </w:p>
        </w:tc>
      </w:tr>
      <w:tr>
        <w:tblPrEx>
          <w:tblCellMar>
            <w:top w:w="0" w:type="dxa"/>
            <w:left w:w="108" w:type="dxa"/>
            <w:bottom w:w="0" w:type="dxa"/>
            <w:right w:w="108" w:type="dxa"/>
          </w:tblCellMar>
        </w:tblPrEx>
        <w:trPr>
          <w:trHeight w:val="308" w:hRule="atLeast"/>
        </w:trPr>
        <w:tc>
          <w:tcPr>
            <w:tcW w:w="402" w:type="pct"/>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0.00</w:t>
            </w:r>
          </w:p>
        </w:tc>
        <w:tc>
          <w:tcPr>
            <w:tcW w:w="40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9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9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9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2130"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0.00</w:t>
            </w:r>
          </w:p>
        </w:tc>
        <w:tc>
          <w:tcPr>
            <w:tcW w:w="192"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0.00</w:t>
            </w:r>
          </w:p>
        </w:tc>
        <w:tc>
          <w:tcPr>
            <w:tcW w:w="25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9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9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19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0.00</w:t>
            </w:r>
          </w:p>
        </w:tc>
        <w:tc>
          <w:tcPr>
            <w:tcW w:w="461" w:type="pct"/>
            <w:tcBorders>
              <w:top w:val="nil"/>
              <w:left w:val="nil"/>
              <w:bottom w:val="single" w:color="000000" w:sz="4" w:space="0"/>
              <w:right w:val="single" w:color="000000" w:sz="4" w:space="0"/>
            </w:tcBorders>
            <w:shd w:val="clear" w:color="auto" w:fill="auto"/>
            <w:noWrap/>
            <w:vAlign w:val="center"/>
          </w:tcPr>
          <w:p>
            <w:pPr>
              <w:widowControl/>
              <w:jc w:val="right"/>
              <w:rPr>
                <w:rFonts w:hint="default" w:ascii="宋体" w:hAnsi="宋体" w:eastAsia="宋体" w:cs="Arial"/>
                <w:color w:val="000000"/>
                <w:kern w:val="0"/>
                <w:sz w:val="22"/>
                <w:lang w:val="en-US" w:eastAsia="zh-CN"/>
              </w:rPr>
            </w:pPr>
            <w:r>
              <w:rPr>
                <w:rFonts w:hint="eastAsia" w:ascii="宋体" w:hAnsi="宋体" w:eastAsia="宋体" w:cs="Arial"/>
                <w:color w:val="000000"/>
                <w:kern w:val="0"/>
                <w:sz w:val="22"/>
                <w:lang w:val="en-US" w:eastAsia="zh-CN"/>
              </w:rPr>
              <w:t>0.00</w:t>
            </w:r>
          </w:p>
        </w:tc>
      </w:tr>
      <w:tr>
        <w:tblPrEx>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pStyle w:val="11"/>
        <w:rPr>
          <w:sz w:val="72"/>
          <w:szCs w:val="72"/>
        </w:rPr>
      </w:pPr>
    </w:p>
    <w:p>
      <w:pPr>
        <w:rPr>
          <w:sz w:val="72"/>
          <w:szCs w:val="72"/>
        </w:rPr>
      </w:pPr>
      <w:r>
        <w:rPr>
          <w:sz w:val="72"/>
          <w:szCs w:val="72"/>
        </w:rPr>
        <w:br w:type="page"/>
      </w:r>
    </w:p>
    <w:p>
      <w:pPr>
        <w:pStyle w:val="11"/>
        <w:rPr>
          <w:sz w:val="72"/>
          <w:szCs w:val="72"/>
        </w:rPr>
      </w:pPr>
    </w:p>
    <w:tbl>
      <w:tblPr>
        <w:tblStyle w:val="7"/>
        <w:tblW w:w="5000" w:type="pct"/>
        <w:tblInd w:w="0" w:type="dxa"/>
        <w:tblLayout w:type="autofit"/>
        <w:tblCellMar>
          <w:top w:w="0" w:type="dxa"/>
          <w:left w:w="108" w:type="dxa"/>
          <w:bottom w:w="0" w:type="dxa"/>
          <w:right w:w="108" w:type="dxa"/>
        </w:tblCellMar>
      </w:tblPr>
      <w:tblGrid>
        <w:gridCol w:w="222"/>
        <w:gridCol w:w="222"/>
        <w:gridCol w:w="222"/>
        <w:gridCol w:w="2701"/>
        <w:gridCol w:w="1253"/>
        <w:gridCol w:w="5616"/>
        <w:gridCol w:w="1254"/>
        <w:gridCol w:w="1254"/>
        <w:gridCol w:w="1254"/>
        <w:gridCol w:w="1616"/>
      </w:tblGrid>
      <w:tr>
        <w:tblPrEx>
          <w:tblCellMar>
            <w:top w:w="0" w:type="dxa"/>
            <w:left w:w="108" w:type="dxa"/>
            <w:bottom w:w="0" w:type="dxa"/>
            <w:right w:w="108" w:type="dxa"/>
          </w:tblCellMar>
        </w:tblPrEx>
        <w:trPr>
          <w:trHeight w:val="390" w:hRule="atLeast"/>
        </w:trPr>
        <w:tc>
          <w:tcPr>
            <w:tcW w:w="11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1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政府性基金预算财政拨款收入支出决算表</w:t>
            </w: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1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13"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31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公开08表</w:t>
            </w:r>
          </w:p>
        </w:tc>
      </w:tr>
      <w:tr>
        <w:tblPrEx>
          <w:tblCellMar>
            <w:top w:w="0" w:type="dxa"/>
            <w:left w:w="108" w:type="dxa"/>
            <w:bottom w:w="0" w:type="dxa"/>
            <w:right w:w="108" w:type="dxa"/>
          </w:tblCellMar>
        </w:tblPrEx>
        <w:trPr>
          <w:trHeight w:val="255" w:hRule="atLeast"/>
        </w:trPr>
        <w:tc>
          <w:tcPr>
            <w:tcW w:w="1649" w:type="pct"/>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559"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1649"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559"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年初结转和结余</w:t>
            </w:r>
          </w:p>
        </w:tc>
        <w:tc>
          <w:tcPr>
            <w:tcW w:w="559"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本年收入</w:t>
            </w:r>
          </w:p>
        </w:tc>
        <w:tc>
          <w:tcPr>
            <w:tcW w:w="1676"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w:t>
            </w:r>
          </w:p>
        </w:tc>
        <w:tc>
          <w:tcPr>
            <w:tcW w:w="559"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年末结转和结余</w:t>
            </w:r>
          </w:p>
        </w:tc>
      </w:tr>
      <w:tr>
        <w:tblPrEx>
          <w:tblCellMar>
            <w:top w:w="0" w:type="dxa"/>
            <w:left w:w="108" w:type="dxa"/>
            <w:bottom w:w="0" w:type="dxa"/>
            <w:right w:w="108" w:type="dxa"/>
          </w:tblCellMar>
        </w:tblPrEx>
        <w:trPr>
          <w:trHeight w:val="312" w:hRule="atLeast"/>
        </w:trPr>
        <w:tc>
          <w:tcPr>
            <w:tcW w:w="339"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1310"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小计</w:t>
            </w:r>
          </w:p>
        </w:tc>
        <w:tc>
          <w:tcPr>
            <w:tcW w:w="55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55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339"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1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339"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31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1649"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55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55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55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c>
          <w:tcPr>
            <w:tcW w:w="55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4</w:t>
            </w:r>
          </w:p>
        </w:tc>
        <w:tc>
          <w:tcPr>
            <w:tcW w:w="55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5</w:t>
            </w:r>
          </w:p>
        </w:tc>
        <w:tc>
          <w:tcPr>
            <w:tcW w:w="55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6</w:t>
            </w:r>
          </w:p>
        </w:tc>
      </w:tr>
      <w:tr>
        <w:tblPrEx>
          <w:tblCellMar>
            <w:top w:w="0" w:type="dxa"/>
            <w:left w:w="108" w:type="dxa"/>
            <w:bottom w:w="0" w:type="dxa"/>
            <w:right w:w="108" w:type="dxa"/>
          </w:tblCellMar>
        </w:tblPrEx>
        <w:trPr>
          <w:trHeight w:val="308" w:hRule="atLeast"/>
        </w:trPr>
        <w:tc>
          <w:tcPr>
            <w:tcW w:w="1649"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r>
      <w:tr>
        <w:tblPrEx>
          <w:tblCellMar>
            <w:top w:w="0" w:type="dxa"/>
            <w:left w:w="108" w:type="dxa"/>
            <w:bottom w:w="0" w:type="dxa"/>
            <w:right w:w="108" w:type="dxa"/>
          </w:tblCellMar>
        </w:tblPrEx>
        <w:trPr>
          <w:trHeight w:val="308" w:hRule="atLeast"/>
        </w:trPr>
        <w:tc>
          <w:tcPr>
            <w:tcW w:w="339"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1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39"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1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39"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1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39"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1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39"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1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339"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31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r>
              <w:rPr>
                <w:rFonts w:hint="eastAsia" w:ascii="宋体" w:hAnsi="宋体" w:eastAsia="宋体" w:cs="Arial"/>
                <w:b/>
                <w:bCs/>
                <w:color w:val="000000"/>
                <w:kern w:val="0"/>
                <w:sz w:val="22"/>
              </w:rPr>
              <w:t>本表无数据</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b/>
                <w:bCs/>
                <w:color w:val="000000"/>
                <w:kern w:val="0"/>
                <w:sz w:val="22"/>
              </w:rPr>
              <w:t>本表无数据</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注：本表反映部门本年度政府性基金预算财政拨款收入、支出及结转和结余情况。</w:t>
            </w:r>
          </w:p>
        </w:tc>
      </w:tr>
    </w:tbl>
    <w:p>
      <w:pPr>
        <w:pStyle w:val="11"/>
        <w:rPr>
          <w:sz w:val="72"/>
          <w:szCs w:val="72"/>
        </w:rPr>
      </w:pPr>
    </w:p>
    <w:p>
      <w:pPr>
        <w:pStyle w:val="11"/>
        <w:rPr>
          <w:sz w:val="72"/>
          <w:szCs w:val="72"/>
        </w:rPr>
      </w:pPr>
    </w:p>
    <w:p>
      <w:pPr>
        <w:pStyle w:val="11"/>
        <w:rPr>
          <w:sz w:val="72"/>
          <w:szCs w:val="72"/>
        </w:rPr>
      </w:pPr>
    </w:p>
    <w:tbl>
      <w:tblPr>
        <w:tblStyle w:val="7"/>
        <w:tblW w:w="5000" w:type="pct"/>
        <w:tblInd w:w="0" w:type="dxa"/>
        <w:tblLayout w:type="autofit"/>
        <w:tblCellMar>
          <w:top w:w="0" w:type="dxa"/>
          <w:left w:w="108" w:type="dxa"/>
          <w:bottom w:w="0" w:type="dxa"/>
          <w:right w:w="108" w:type="dxa"/>
        </w:tblCellMar>
      </w:tblPr>
      <w:tblGrid>
        <w:gridCol w:w="222"/>
        <w:gridCol w:w="222"/>
        <w:gridCol w:w="222"/>
        <w:gridCol w:w="5283"/>
        <w:gridCol w:w="5316"/>
        <w:gridCol w:w="2174"/>
        <w:gridCol w:w="2175"/>
      </w:tblGrid>
      <w:tr>
        <w:tblPrEx>
          <w:tblCellMar>
            <w:top w:w="0" w:type="dxa"/>
            <w:left w:w="108" w:type="dxa"/>
            <w:bottom w:w="0" w:type="dxa"/>
            <w:right w:w="108" w:type="dxa"/>
          </w:tblCellMar>
        </w:tblPrEx>
        <w:trPr>
          <w:trHeight w:val="390" w:hRule="atLeast"/>
        </w:trPr>
        <w:tc>
          <w:tcPr>
            <w:tcW w:w="1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center"/>
              <w:rPr>
                <w:rFonts w:ascii="宋体" w:hAnsi="宋体" w:eastAsia="宋体" w:cs="Arial"/>
                <w:color w:val="000000"/>
                <w:kern w:val="0"/>
                <w:sz w:val="30"/>
                <w:szCs w:val="30"/>
              </w:rPr>
            </w:pPr>
            <w:r>
              <w:rPr>
                <w:rFonts w:hint="eastAsia" w:ascii="宋体" w:hAnsi="宋体" w:eastAsia="宋体" w:cs="Arial"/>
                <w:color w:val="000000"/>
                <w:kern w:val="0"/>
                <w:sz w:val="30"/>
                <w:szCs w:val="30"/>
              </w:rPr>
              <w:t>国有资本经营预算财政拨款支出决算表</w:t>
            </w:r>
          </w:p>
        </w:tc>
        <w:tc>
          <w:tcPr>
            <w:tcW w:w="84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r>
      <w:tr>
        <w:tblPrEx>
          <w:tblCellMar>
            <w:top w:w="0" w:type="dxa"/>
            <w:left w:w="108" w:type="dxa"/>
            <w:bottom w:w="0" w:type="dxa"/>
            <w:right w:w="108" w:type="dxa"/>
          </w:tblCellMar>
        </w:tblPrEx>
        <w:trPr>
          <w:trHeight w:val="255" w:hRule="atLeast"/>
        </w:trPr>
        <w:tc>
          <w:tcPr>
            <w:tcW w:w="1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197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公开09表</w:t>
            </w:r>
          </w:p>
        </w:tc>
      </w:tr>
      <w:tr>
        <w:tblPrEx>
          <w:tblCellMar>
            <w:top w:w="0" w:type="dxa"/>
            <w:left w:w="108" w:type="dxa"/>
            <w:bottom w:w="0" w:type="dxa"/>
            <w:right w:w="108" w:type="dxa"/>
          </w:tblCellMar>
        </w:tblPrEx>
        <w:trPr>
          <w:trHeight w:val="255" w:hRule="atLeast"/>
        </w:trPr>
        <w:tc>
          <w:tcPr>
            <w:tcW w:w="2480" w:type="pct"/>
            <w:gridSpan w:val="4"/>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szCs w:val="20"/>
              </w:rPr>
            </w:pPr>
            <w:r>
              <w:rPr>
                <w:rFonts w:hint="eastAsia" w:ascii="宋体" w:hAnsi="宋体" w:eastAsia="宋体" w:cs="Arial"/>
                <w:color w:val="000000"/>
                <w:kern w:val="0"/>
                <w:sz w:val="20"/>
                <w:szCs w:val="20"/>
              </w:rPr>
              <w:t>部门：湘潭县射埠镇人民政府</w:t>
            </w:r>
          </w:p>
        </w:tc>
        <w:tc>
          <w:tcPr>
            <w:tcW w:w="84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szCs w:val="20"/>
              </w:rPr>
            </w:pPr>
          </w:p>
        </w:tc>
        <w:tc>
          <w:tcPr>
            <w:tcW w:w="84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szCs w:val="20"/>
              </w:rPr>
            </w:pPr>
            <w:r>
              <w:rPr>
                <w:rFonts w:hint="eastAsia" w:ascii="宋体" w:hAnsi="宋体" w:eastAsia="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2480"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w:t>
            </w:r>
          </w:p>
        </w:tc>
        <w:tc>
          <w:tcPr>
            <w:tcW w:w="2520"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本年支出</w:t>
            </w:r>
          </w:p>
        </w:tc>
      </w:tr>
      <w:tr>
        <w:tblPrEx>
          <w:tblCellMar>
            <w:top w:w="0" w:type="dxa"/>
            <w:left w:w="108" w:type="dxa"/>
            <w:bottom w:w="0" w:type="dxa"/>
            <w:right w:w="108" w:type="dxa"/>
          </w:tblCellMar>
        </w:tblPrEx>
        <w:trPr>
          <w:trHeight w:val="312" w:hRule="atLeast"/>
        </w:trPr>
        <w:tc>
          <w:tcPr>
            <w:tcW w:w="510"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功能分类科目编码</w:t>
            </w:r>
          </w:p>
        </w:tc>
        <w:tc>
          <w:tcPr>
            <w:tcW w:w="1970"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科目名称</w:t>
            </w:r>
          </w:p>
        </w:tc>
        <w:tc>
          <w:tcPr>
            <w:tcW w:w="84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84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基本支出</w:t>
            </w:r>
          </w:p>
        </w:tc>
        <w:tc>
          <w:tcPr>
            <w:tcW w:w="84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项目支出</w:t>
            </w:r>
          </w:p>
        </w:tc>
      </w:tr>
      <w:tr>
        <w:tblPrEx>
          <w:tblCellMar>
            <w:top w:w="0" w:type="dxa"/>
            <w:left w:w="108" w:type="dxa"/>
            <w:bottom w:w="0" w:type="dxa"/>
            <w:right w:w="108" w:type="dxa"/>
          </w:tblCellMar>
        </w:tblPrEx>
        <w:trPr>
          <w:trHeight w:val="312" w:hRule="atLeast"/>
        </w:trPr>
        <w:tc>
          <w:tcPr>
            <w:tcW w:w="51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97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12" w:hRule="atLeast"/>
        </w:trPr>
        <w:tc>
          <w:tcPr>
            <w:tcW w:w="510"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197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c>
          <w:tcPr>
            <w:tcW w:w="840"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rPr>
            </w:pPr>
          </w:p>
        </w:tc>
      </w:tr>
      <w:tr>
        <w:tblPrEx>
          <w:tblCellMar>
            <w:top w:w="0" w:type="dxa"/>
            <w:left w:w="108" w:type="dxa"/>
            <w:bottom w:w="0" w:type="dxa"/>
            <w:right w:w="108" w:type="dxa"/>
          </w:tblCellMar>
        </w:tblPrEx>
        <w:trPr>
          <w:trHeight w:val="308" w:hRule="atLeast"/>
        </w:trPr>
        <w:tc>
          <w:tcPr>
            <w:tcW w:w="2480"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栏次</w:t>
            </w:r>
          </w:p>
        </w:tc>
        <w:tc>
          <w:tcPr>
            <w:tcW w:w="84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1</w:t>
            </w:r>
          </w:p>
        </w:tc>
        <w:tc>
          <w:tcPr>
            <w:tcW w:w="84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2</w:t>
            </w:r>
          </w:p>
        </w:tc>
        <w:tc>
          <w:tcPr>
            <w:tcW w:w="840"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3</w:t>
            </w:r>
          </w:p>
        </w:tc>
      </w:tr>
      <w:tr>
        <w:tblPrEx>
          <w:tblCellMar>
            <w:top w:w="0" w:type="dxa"/>
            <w:left w:w="108" w:type="dxa"/>
            <w:bottom w:w="0" w:type="dxa"/>
            <w:right w:w="108" w:type="dxa"/>
          </w:tblCellMar>
        </w:tblPrEx>
        <w:trPr>
          <w:trHeight w:val="308" w:hRule="atLeast"/>
        </w:trPr>
        <w:tc>
          <w:tcPr>
            <w:tcW w:w="2480"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rPr>
            </w:pPr>
            <w:r>
              <w:rPr>
                <w:rFonts w:hint="eastAsia" w:ascii="宋体" w:hAnsi="宋体" w:eastAsia="宋体" w:cs="Arial"/>
                <w:color w:val="000000"/>
                <w:kern w:val="0"/>
                <w:sz w:val="22"/>
              </w:rPr>
              <w:t>合计</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b/>
                <w:bCs/>
                <w:color w:val="000000"/>
                <w:kern w:val="0"/>
                <w:sz w:val="22"/>
              </w:rPr>
            </w:pP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b/>
                <w:bCs/>
                <w:color w:val="000000"/>
                <w:kern w:val="0"/>
                <w:sz w:val="22"/>
              </w:rPr>
            </w:pPr>
            <w:r>
              <w:rPr>
                <w:rFonts w:hint="eastAsia" w:ascii="宋体" w:hAnsi="宋体" w:eastAsia="宋体" w:cs="Arial"/>
                <w:b/>
                <w:bCs/>
                <w:color w:val="000000"/>
                <w:kern w:val="0"/>
                <w:sz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510"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　</w:t>
            </w:r>
          </w:p>
        </w:tc>
        <w:tc>
          <w:tcPr>
            <w:tcW w:w="197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b/>
                <w:bCs/>
                <w:color w:val="000000"/>
                <w:kern w:val="0"/>
                <w:sz w:val="22"/>
              </w:rPr>
              <w:t>本表无数据</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2"/>
              </w:rPr>
            </w:pPr>
            <w:r>
              <w:rPr>
                <w:rFonts w:hint="eastAsia" w:ascii="宋体" w:hAnsi="宋体" w:eastAsia="宋体" w:cs="Arial"/>
                <w:b/>
                <w:bCs/>
                <w:color w:val="000000"/>
                <w:kern w:val="0"/>
                <w:sz w:val="22"/>
              </w:rPr>
              <w:t>本表无数据</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c>
          <w:tcPr>
            <w:tcW w:w="84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rPr>
            </w:pPr>
            <w:r>
              <w:rPr>
                <w:rFonts w:hint="eastAsia" w:ascii="宋体" w:hAnsi="宋体" w:eastAsia="宋体" w:cs="Arial"/>
                <w:color w:val="000000"/>
                <w:kern w:val="0"/>
                <w:sz w:val="22"/>
              </w:rPr>
              <w:t>　</w:t>
            </w: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rPr>
            </w:pPr>
            <w:r>
              <w:rPr>
                <w:rFonts w:hint="eastAsia" w:ascii="宋体" w:hAnsi="宋体" w:eastAsia="宋体" w:cs="Arial"/>
                <w:color w:val="000000"/>
                <w:kern w:val="0"/>
                <w:sz w:val="22"/>
              </w:rPr>
              <w:t>注：本表反映部门本年度国有资本经营预算财政拨款支出情况。</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rPr>
          <w:sz w:val="72"/>
          <w:szCs w:val="72"/>
        </w:rPr>
      </w:pPr>
    </w:p>
    <w:p>
      <w:pPr>
        <w:pStyle w:val="11"/>
        <w:rPr>
          <w:sz w:val="72"/>
          <w:szCs w:val="72"/>
        </w:rPr>
      </w:pPr>
    </w:p>
    <w:p>
      <w:pPr>
        <w:pStyle w:val="11"/>
        <w:rPr>
          <w:sz w:val="72"/>
          <w:szCs w:val="72"/>
        </w:rPr>
      </w:pPr>
    </w:p>
    <w:p>
      <w:pPr>
        <w:pStyle w:val="11"/>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w:t>
      </w:r>
      <w:r>
        <w:rPr>
          <w:rFonts w:hint="eastAsia"/>
          <w:sz w:val="70"/>
          <w:szCs w:val="70"/>
          <w:lang w:val="en-US" w:eastAsia="zh-CN"/>
        </w:rPr>
        <w:t>1</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1"/>
        <w:rPr>
          <w:rFonts w:asciiTheme="minorEastAsia" w:hAnsiTheme="minorEastAsia" w:eastAsiaTheme="minorEastAsia"/>
          <w:sz w:val="32"/>
          <w:szCs w:val="32"/>
        </w:rPr>
      </w:pP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年度收、支总计</w:t>
      </w:r>
      <w:r>
        <w:rPr>
          <w:rFonts w:hint="eastAsia" w:asciiTheme="minorEastAsia" w:hAnsiTheme="minorEastAsia" w:eastAsiaTheme="minorEastAsia"/>
          <w:sz w:val="32"/>
          <w:szCs w:val="32"/>
          <w:lang w:val="en-US" w:eastAsia="zh-CN"/>
        </w:rPr>
        <w:t>5309.38</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1039.14万元，</w:t>
      </w:r>
      <w:r>
        <w:rPr>
          <w:rFonts w:hint="eastAsia" w:asciiTheme="minorEastAsia" w:hAnsiTheme="minorEastAsia" w:eastAsiaTheme="minorEastAsia"/>
          <w:sz w:val="32"/>
          <w:szCs w:val="32"/>
          <w:lang w:eastAsia="zh-CN"/>
        </w:rPr>
        <w:t>增大了</w:t>
      </w:r>
      <w:r>
        <w:rPr>
          <w:rFonts w:hint="eastAsia" w:asciiTheme="minorEastAsia" w:hAnsiTheme="minorEastAsia" w:eastAsiaTheme="minorEastAsia"/>
          <w:sz w:val="32"/>
          <w:szCs w:val="32"/>
          <w:lang w:val="en-US" w:eastAsia="zh-CN"/>
        </w:rPr>
        <w:t>24.33</w:t>
      </w:r>
      <w:r>
        <w:rPr>
          <w:rFonts w:hint="eastAsia" w:asciiTheme="minorEastAsia" w:hAnsiTheme="minorEastAsia" w:eastAsiaTheme="minorEastAsia"/>
          <w:sz w:val="32"/>
          <w:szCs w:val="32"/>
        </w:rPr>
        <w:t>%，主要是因为预算调整，本年度实际拨款有所</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增大</w:t>
      </w:r>
      <w:r>
        <w:rPr>
          <w:rFonts w:hint="eastAsia" w:asciiTheme="minorEastAsia" w:hAnsiTheme="minorEastAsia" w:eastAsiaTheme="minorEastAsia"/>
          <w:sz w:val="32"/>
          <w:szCs w:val="32"/>
        </w:rPr>
        <w:t>了部分</w:t>
      </w:r>
      <w:r>
        <w:rPr>
          <w:rFonts w:hint="eastAsia" w:asciiTheme="minorEastAsia" w:hAnsiTheme="minorEastAsia" w:eastAsiaTheme="minorEastAsia"/>
          <w:sz w:val="32"/>
          <w:szCs w:val="32"/>
          <w:lang w:eastAsia="zh-CN"/>
        </w:rPr>
        <w:t>经费</w:t>
      </w:r>
      <w:r>
        <w:rPr>
          <w:rFonts w:hint="eastAsia" w:asciiTheme="minorEastAsia" w:hAnsiTheme="minorEastAsia" w:eastAsiaTheme="minorEastAsia"/>
          <w:sz w:val="32"/>
          <w:szCs w:val="32"/>
        </w:rPr>
        <w:t>开支，另有部分补助尚未发放到位。</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5309.38</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3181.60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59</w:t>
      </w:r>
      <w:r>
        <w:rPr>
          <w:rFonts w:hint="eastAsia" w:asciiTheme="minorEastAsia" w:hAnsiTheme="minorEastAsia" w:eastAsiaTheme="minorEastAsia"/>
          <w:sz w:val="32"/>
          <w:szCs w:val="32"/>
        </w:rPr>
        <w:t>%；无</w:t>
      </w:r>
      <w:r>
        <w:rPr>
          <w:rFonts w:hint="eastAsia" w:ascii="宋体" w:hAnsi="宋体" w:eastAsia="宋体" w:cs="宋体"/>
          <w:sz w:val="32"/>
          <w:szCs w:val="32"/>
        </w:rPr>
        <w:t>上级补助收入；</w:t>
      </w:r>
      <w:r>
        <w:rPr>
          <w:rFonts w:hint="eastAsia" w:asciiTheme="minorEastAsia" w:hAnsiTheme="minorEastAsia" w:eastAsiaTheme="minorEastAsia"/>
          <w:sz w:val="32"/>
          <w:szCs w:val="32"/>
        </w:rPr>
        <w:t>其他收入2127.78万元，占4</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5309.38</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5309.38</w:t>
      </w:r>
      <w:r>
        <w:rPr>
          <w:rFonts w:hint="eastAsia" w:asciiTheme="minorEastAsia" w:hAnsiTheme="minorEastAsia" w:eastAsiaTheme="minorEastAsia"/>
          <w:sz w:val="32"/>
          <w:szCs w:val="32"/>
        </w:rPr>
        <w:t>万元，占100%</w:t>
      </w:r>
      <w:r>
        <w:rPr>
          <w:rFonts w:hint="eastAsia" w:ascii="宋体" w:hAnsi="宋体" w:eastAsia="宋体" w:cs="宋体"/>
          <w:sz w:val="32"/>
          <w:szCs w:val="32"/>
        </w:rPr>
        <w:t>。</w:t>
      </w:r>
    </w:p>
    <w:p>
      <w:pPr>
        <w:pStyle w:val="11"/>
        <w:rPr>
          <w:rFonts w:hAnsi="黑体"/>
          <w:b/>
          <w:sz w:val="32"/>
          <w:szCs w:val="32"/>
        </w:rPr>
      </w:pPr>
      <w:r>
        <w:rPr>
          <w:rFonts w:hint="eastAsia" w:hAnsi="黑体"/>
          <w:b/>
          <w:sz w:val="32"/>
          <w:szCs w:val="32"/>
        </w:rPr>
        <w:t>四、财政拨款收入支出决算总体情况说明</w:t>
      </w:r>
    </w:p>
    <w:p>
      <w:pPr>
        <w:pStyle w:val="11"/>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年度财政拨款收、支总计</w:t>
      </w:r>
      <w:r>
        <w:rPr>
          <w:rFonts w:hint="eastAsia" w:asciiTheme="minorEastAsia" w:hAnsiTheme="minorEastAsia" w:eastAsiaTheme="minorEastAsia"/>
          <w:sz w:val="32"/>
          <w:szCs w:val="32"/>
          <w:lang w:val="en-US" w:eastAsia="zh-CN"/>
        </w:rPr>
        <w:t>3181.60</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eastAsia="zh-CN"/>
        </w:rPr>
        <w:t>增加776.85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增加了</w:t>
      </w:r>
      <w:r>
        <w:rPr>
          <w:rFonts w:hint="eastAsia" w:asciiTheme="minorEastAsia" w:hAnsiTheme="minorEastAsia" w:eastAsiaTheme="minorEastAsia"/>
          <w:sz w:val="32"/>
          <w:szCs w:val="32"/>
          <w:lang w:val="en-US" w:eastAsia="zh-CN"/>
        </w:rPr>
        <w:t>36.3%</w:t>
      </w:r>
      <w:r>
        <w:rPr>
          <w:rFonts w:hint="eastAsia" w:asciiTheme="minorEastAsia" w:hAnsiTheme="minorEastAsia" w:eastAsiaTheme="minorEastAsia"/>
          <w:sz w:val="32"/>
          <w:szCs w:val="32"/>
        </w:rPr>
        <w:t>，主要是因为预算有所调整，</w:t>
      </w:r>
      <w:r>
        <w:rPr>
          <w:rFonts w:hint="eastAsia" w:asciiTheme="minorEastAsia" w:hAnsiTheme="minorEastAsia" w:eastAsiaTheme="minorEastAsia"/>
          <w:sz w:val="32"/>
          <w:szCs w:val="32"/>
          <w:lang w:eastAsia="zh-CN"/>
        </w:rPr>
        <w:t>增加了</w:t>
      </w:r>
      <w:r>
        <w:rPr>
          <w:rFonts w:hint="eastAsia" w:asciiTheme="minorEastAsia" w:hAnsiTheme="minorEastAsia" w:eastAsiaTheme="minorEastAsia"/>
          <w:sz w:val="32"/>
          <w:szCs w:val="32"/>
        </w:rPr>
        <w:t>部分开支。</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（一）一般公共预算财政拨款支出决算总体情况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年度一般公共预算财政拨款支出</w:t>
      </w:r>
      <w:r>
        <w:rPr>
          <w:rFonts w:hint="eastAsia" w:asciiTheme="minorEastAsia" w:hAnsiTheme="minorEastAsia" w:eastAsiaTheme="minorEastAsia"/>
          <w:sz w:val="32"/>
          <w:szCs w:val="32"/>
          <w:lang w:val="en-US" w:eastAsia="zh-CN"/>
        </w:rPr>
        <w:t>3181.60</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59</w:t>
      </w:r>
      <w:r>
        <w:rPr>
          <w:rFonts w:hint="eastAsia" w:asciiTheme="minorEastAsia" w:hAnsiTheme="minorEastAsia" w:eastAsiaTheme="minorEastAsia"/>
          <w:sz w:val="32"/>
          <w:szCs w:val="32"/>
        </w:rPr>
        <w:t>%，与上年相比，财政拨款支出</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776.85万元</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增加了</w:t>
      </w:r>
      <w:r>
        <w:rPr>
          <w:rFonts w:hint="eastAsia" w:asciiTheme="minorEastAsia" w:hAnsiTheme="minorEastAsia" w:eastAsiaTheme="minorEastAsia"/>
          <w:sz w:val="32"/>
          <w:szCs w:val="32"/>
          <w:lang w:val="en-US" w:eastAsia="zh-CN"/>
        </w:rPr>
        <w:t>36.3%</w:t>
      </w:r>
      <w:r>
        <w:rPr>
          <w:rFonts w:hint="eastAsia" w:asciiTheme="minorEastAsia" w:hAnsiTheme="minorEastAsia" w:eastAsiaTheme="minorEastAsia"/>
          <w:sz w:val="32"/>
          <w:szCs w:val="32"/>
        </w:rPr>
        <w:t>，主要是因为一般公共服务支出有所</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（二）一般公共预算财政拨款支出决算结构情况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年度一般公共预算财政拨款支出</w:t>
      </w:r>
      <w:r>
        <w:rPr>
          <w:rFonts w:hint="eastAsia" w:asciiTheme="minorEastAsia" w:hAnsiTheme="minorEastAsia" w:eastAsiaTheme="minorEastAsia"/>
          <w:sz w:val="32"/>
          <w:szCs w:val="32"/>
          <w:lang w:val="en-US" w:eastAsia="zh-CN"/>
        </w:rPr>
        <w:t>3181.60</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2629.50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公共安全支出</w:t>
      </w:r>
      <w:r>
        <w:rPr>
          <w:rFonts w:hint="eastAsia" w:asciiTheme="minorEastAsia" w:hAnsiTheme="minorEastAsia" w:eastAsiaTheme="minorEastAsia"/>
          <w:sz w:val="32"/>
          <w:szCs w:val="32"/>
          <w:lang w:val="en-US" w:eastAsia="zh-CN"/>
        </w:rPr>
        <w:t>53.40万元，占1.6%；文化旅游体育与传媒支出41.40万元，占1.3%；</w:t>
      </w:r>
      <w:r>
        <w:rPr>
          <w:rFonts w:hint="eastAsia" w:asciiTheme="minorEastAsia" w:hAnsiTheme="minorEastAsia" w:eastAsiaTheme="minorEastAsia"/>
          <w:sz w:val="32"/>
          <w:szCs w:val="32"/>
        </w:rPr>
        <w:t>社会保障和就业（类）支出</w:t>
      </w:r>
      <w:r>
        <w:rPr>
          <w:rFonts w:hint="eastAsia" w:asciiTheme="minorEastAsia" w:hAnsiTheme="minorEastAsia" w:eastAsiaTheme="minorEastAsia"/>
          <w:sz w:val="32"/>
          <w:szCs w:val="32"/>
          <w:lang w:val="en-US" w:eastAsia="zh-CN"/>
        </w:rPr>
        <w:t>72.30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2.2</w:t>
      </w:r>
      <w:r>
        <w:rPr>
          <w:rFonts w:hint="eastAsia" w:asciiTheme="minorEastAsia" w:hAnsiTheme="minorEastAsia" w:eastAsiaTheme="minorEastAsia"/>
          <w:sz w:val="32"/>
          <w:szCs w:val="32"/>
        </w:rPr>
        <w:t>%;城乡社区（类）支出</w:t>
      </w:r>
      <w:r>
        <w:rPr>
          <w:rFonts w:hint="eastAsia" w:asciiTheme="minorEastAsia" w:hAnsiTheme="minorEastAsia" w:eastAsiaTheme="minorEastAsia"/>
          <w:sz w:val="32"/>
          <w:szCs w:val="32"/>
          <w:lang w:val="en-US" w:eastAsia="zh-CN"/>
        </w:rPr>
        <w:t>31.70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%;农林水（类）支出</w:t>
      </w:r>
      <w:r>
        <w:rPr>
          <w:rFonts w:hint="eastAsia" w:asciiTheme="minorEastAsia" w:hAnsiTheme="minorEastAsia" w:eastAsiaTheme="minorEastAsia"/>
          <w:sz w:val="32"/>
          <w:szCs w:val="32"/>
          <w:lang w:val="en-US" w:eastAsia="zh-CN"/>
        </w:rPr>
        <w:t>353.30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11.9</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w:t>
      </w:r>
      <w:r>
        <w:rPr>
          <w:rFonts w:hint="eastAsia" w:asciiTheme="minorEastAsia" w:hAnsiTheme="minorEastAsia" w:eastAsiaTheme="minorEastAsia"/>
          <w:b/>
          <w:sz w:val="32"/>
          <w:szCs w:val="32"/>
          <w:highlight w:val="none"/>
        </w:rPr>
        <w:t>一般公共预算财政拨款支出决算具体情况</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年度一般公共预算财政拨款支出年初预算数为</w:t>
      </w:r>
      <w:r>
        <w:rPr>
          <w:rFonts w:hint="eastAsia" w:asciiTheme="minorEastAsia" w:hAnsiTheme="minorEastAsia" w:eastAsiaTheme="minorEastAsia"/>
          <w:sz w:val="32"/>
          <w:szCs w:val="32"/>
          <w:lang w:val="en-US" w:eastAsia="zh-CN"/>
        </w:rPr>
        <w:t>2364.76</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3181.60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134.54</w:t>
      </w:r>
      <w:r>
        <w:rPr>
          <w:rFonts w:hint="eastAsia" w:asciiTheme="minorEastAsia" w:hAnsiTheme="minorEastAsia" w:eastAsiaTheme="minorEastAsia"/>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1、一般公共服务（类）政府办公厅及相关机构事务（款）行政运行（项）。</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1226.05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2570.95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209</w:t>
      </w:r>
      <w:r>
        <w:rPr>
          <w:rFonts w:hint="eastAsia" w:asciiTheme="minorEastAsia" w:hAnsiTheme="minorEastAsia" w:eastAsiaTheme="minorEastAsia"/>
          <w:sz w:val="32"/>
          <w:szCs w:val="32"/>
          <w:highlight w:val="none"/>
        </w:rPr>
        <w:t>%</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大</w:t>
      </w:r>
      <w:r>
        <w:rPr>
          <w:rFonts w:hint="eastAsia" w:asciiTheme="minorEastAsia" w:hAnsiTheme="minorEastAsia" w:eastAsiaTheme="minorEastAsia"/>
          <w:sz w:val="32"/>
          <w:szCs w:val="32"/>
          <w:highlight w:val="none"/>
        </w:rPr>
        <w:t>于年初预算数的主要原因是：行政运行支出有所</w:t>
      </w:r>
      <w:r>
        <w:rPr>
          <w:rFonts w:hint="eastAsia" w:asciiTheme="minorEastAsia" w:hAnsiTheme="minorEastAsia" w:eastAsiaTheme="minorEastAsia"/>
          <w:sz w:val="32"/>
          <w:szCs w:val="32"/>
          <w:highlight w:val="none"/>
          <w:lang w:eastAsia="zh-CN"/>
        </w:rPr>
        <w:t>增多</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一般公共服务（类）政府办公厅及相关机构事务（款）</w:t>
      </w:r>
      <w:r>
        <w:rPr>
          <w:rFonts w:hint="eastAsia" w:asciiTheme="minorEastAsia" w:hAnsiTheme="minorEastAsia" w:eastAsiaTheme="minorEastAsia"/>
          <w:sz w:val="32"/>
          <w:szCs w:val="32"/>
          <w:lang w:val="en-US" w:eastAsia="zh-CN"/>
        </w:rPr>
        <w:t>事业</w:t>
      </w:r>
      <w:r>
        <w:rPr>
          <w:rFonts w:hint="eastAsia" w:asciiTheme="minorEastAsia" w:hAnsiTheme="minorEastAsia" w:eastAsiaTheme="minorEastAsia"/>
          <w:sz w:val="32"/>
          <w:szCs w:val="32"/>
        </w:rPr>
        <w:t>运行（项）。</w:t>
      </w:r>
    </w:p>
    <w:p>
      <w:pPr>
        <w:pStyle w:val="11"/>
        <w:ind w:firstLine="800" w:firstLineChars="250"/>
        <w:rPr>
          <w:rFonts w:hint="eastAsia" w:asciiTheme="minorEastAsia" w:hAnsiTheme="minorEastAsia" w:eastAsiaTheme="minorEastAsia"/>
          <w:sz w:val="32"/>
          <w:szCs w:val="32"/>
          <w:highlight w:val="none"/>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0.4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11.16</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大</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highlight w:val="none"/>
          <w:lang w:val="en-US" w:eastAsia="zh-CN"/>
        </w:rPr>
        <w:t>事业</w:t>
      </w:r>
      <w:r>
        <w:rPr>
          <w:rFonts w:hint="eastAsia" w:asciiTheme="minorEastAsia" w:hAnsiTheme="minorEastAsia" w:eastAsiaTheme="minorEastAsia"/>
          <w:sz w:val="32"/>
          <w:szCs w:val="32"/>
          <w:highlight w:val="none"/>
        </w:rPr>
        <w:t>运行支出</w:t>
      </w:r>
      <w:r>
        <w:rPr>
          <w:rFonts w:hint="eastAsia" w:asciiTheme="minorEastAsia" w:hAnsiTheme="minorEastAsia" w:eastAsiaTheme="minorEastAsia"/>
          <w:sz w:val="32"/>
          <w:szCs w:val="32"/>
          <w:highlight w:val="none"/>
          <w:lang w:val="en-US" w:eastAsia="zh-CN"/>
        </w:rPr>
        <w:t>增加。</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、一般公共服务（类）财政事务（款）行政运行（项）。</w:t>
      </w:r>
    </w:p>
    <w:p>
      <w:pPr>
        <w:pStyle w:val="11"/>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51.13</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rPr>
        <w:t>，支出决算为</w:t>
      </w:r>
      <w:r>
        <w:rPr>
          <w:rFonts w:hint="eastAsia" w:asciiTheme="minorEastAsia" w:hAnsiTheme="minorEastAsia" w:eastAsiaTheme="minorEastAsia"/>
          <w:sz w:val="32"/>
          <w:szCs w:val="32"/>
          <w:lang w:val="en-US" w:eastAsia="zh-CN"/>
        </w:rPr>
        <w:t>47.39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92.68</w:t>
      </w:r>
      <w:r>
        <w:rPr>
          <w:rFonts w:hint="eastAsia" w:asciiTheme="minorEastAsia" w:hAnsiTheme="minorEastAsia" w:eastAsiaTheme="minorEastAsia"/>
          <w:sz w:val="32"/>
          <w:szCs w:val="32"/>
          <w:highlight w:val="none"/>
        </w:rPr>
        <w:t>%，决算数小于年初预算数的主要原因是：财政事务行政运行支出有所减少。</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、公共安全支出（类）其他公共安全支出（款）其他公共安全支出（项）。</w:t>
      </w:r>
    </w:p>
    <w:p>
      <w:pPr>
        <w:pStyle w:val="11"/>
        <w:ind w:firstLine="800" w:firstLineChars="250"/>
        <w:rPr>
          <w:rFonts w:asciiTheme="minorEastAsia" w:hAnsiTheme="minorEastAsia" w:eastAsiaTheme="minorEastAsia"/>
          <w:sz w:val="32"/>
          <w:szCs w:val="32"/>
          <w:highlight w:val="none"/>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68.18</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rPr>
        <w:t>，支出决算为</w:t>
      </w:r>
      <w:r>
        <w:rPr>
          <w:rFonts w:hint="eastAsia" w:asciiTheme="minorEastAsia" w:hAnsiTheme="minorEastAsia" w:eastAsiaTheme="minorEastAsia"/>
          <w:sz w:val="32"/>
          <w:szCs w:val="32"/>
          <w:lang w:val="en-US" w:eastAsia="zh-CN"/>
        </w:rPr>
        <w:t>53.38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78.30</w:t>
      </w:r>
      <w:r>
        <w:rPr>
          <w:rFonts w:hint="eastAsia" w:asciiTheme="minorEastAsia" w:hAnsiTheme="minorEastAsia" w:eastAsiaTheme="minorEastAsia"/>
          <w:sz w:val="32"/>
          <w:szCs w:val="32"/>
          <w:highlight w:val="none"/>
        </w:rPr>
        <w:t>%，决算数小于年初预算数的主要原因是：综治维稳等其他公共安全支出有所减少。</w:t>
      </w:r>
    </w:p>
    <w:p>
      <w:pPr>
        <w:pStyle w:val="11"/>
        <w:numPr>
          <w:ilvl w:val="0"/>
          <w:numId w:val="0"/>
        </w:numPr>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文化旅游体育与传媒支出（类）文化</w:t>
      </w:r>
      <w:r>
        <w:rPr>
          <w:rFonts w:hint="eastAsia" w:asciiTheme="minorEastAsia" w:hAnsiTheme="minorEastAsia" w:eastAsiaTheme="minorEastAsia"/>
          <w:sz w:val="32"/>
          <w:szCs w:val="32"/>
          <w:lang w:val="en-US" w:eastAsia="zh-CN"/>
        </w:rPr>
        <w:t>和</w:t>
      </w:r>
      <w:r>
        <w:rPr>
          <w:rFonts w:hint="eastAsia" w:asciiTheme="minorEastAsia" w:hAnsiTheme="minorEastAsia" w:eastAsiaTheme="minorEastAsia"/>
          <w:sz w:val="32"/>
          <w:szCs w:val="32"/>
        </w:rPr>
        <w:t>旅游（款）其他文化</w:t>
      </w:r>
      <w:r>
        <w:rPr>
          <w:rFonts w:hint="eastAsia" w:asciiTheme="minorEastAsia" w:hAnsiTheme="minorEastAsia" w:eastAsiaTheme="minorEastAsia"/>
          <w:sz w:val="32"/>
          <w:szCs w:val="32"/>
          <w:lang w:val="en-US" w:eastAsia="zh-CN"/>
        </w:rPr>
        <w:t>和</w:t>
      </w:r>
      <w:r>
        <w:rPr>
          <w:rFonts w:hint="eastAsia" w:asciiTheme="minorEastAsia" w:hAnsiTheme="minorEastAsia" w:eastAsiaTheme="minorEastAsia"/>
          <w:sz w:val="32"/>
          <w:szCs w:val="32"/>
        </w:rPr>
        <w:t>旅游支出（项）。</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45.45</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rPr>
        <w:t>，支出决算为</w:t>
      </w:r>
      <w:r>
        <w:rPr>
          <w:rFonts w:hint="eastAsia" w:asciiTheme="minorEastAsia" w:hAnsiTheme="minorEastAsia" w:eastAsiaTheme="minorEastAsia"/>
          <w:sz w:val="32"/>
          <w:szCs w:val="32"/>
          <w:lang w:val="en-US" w:eastAsia="zh-CN"/>
        </w:rPr>
        <w:t>41.43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highlight w:val="none"/>
          <w:lang w:val="en-US" w:eastAsia="zh-CN"/>
        </w:rPr>
        <w:t>91.17</w:t>
      </w:r>
      <w:r>
        <w:rPr>
          <w:rFonts w:hint="eastAsia" w:asciiTheme="minorEastAsia" w:hAnsiTheme="minorEastAsia" w:eastAsiaTheme="minorEastAsia"/>
          <w:sz w:val="32"/>
          <w:szCs w:val="32"/>
          <w:highlight w:val="none"/>
        </w:rPr>
        <w:t>%，决算数小于年初预算数的主要原因是：文化旅游体育与传媒支出有所减少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、社会保障和就业支出（类）人力资源和社会保障管理事务（款）其他人力资源和社会保障管理事务支出（项）。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39.77</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60.63</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152</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大</w:t>
      </w:r>
      <w:r>
        <w:rPr>
          <w:rFonts w:hint="eastAsia" w:asciiTheme="minorEastAsia" w:hAnsiTheme="minorEastAsia" w:eastAsiaTheme="minorEastAsia"/>
          <w:sz w:val="32"/>
          <w:szCs w:val="32"/>
          <w:highlight w:val="none"/>
        </w:rPr>
        <w:t>于年初预算数的主要原因是：</w:t>
      </w:r>
      <w:r>
        <w:rPr>
          <w:rFonts w:hint="eastAsia" w:asciiTheme="minorEastAsia" w:hAnsiTheme="minorEastAsia" w:eastAsiaTheme="minorEastAsia"/>
          <w:sz w:val="32"/>
          <w:szCs w:val="32"/>
        </w:rPr>
        <w:t>其他人力资源和社会保障管理事务支出</w:t>
      </w:r>
      <w:r>
        <w:rPr>
          <w:rFonts w:hint="eastAsia" w:asciiTheme="minorEastAsia" w:hAnsiTheme="minorEastAsia" w:eastAsiaTheme="minorEastAsia"/>
          <w:sz w:val="32"/>
          <w:szCs w:val="32"/>
          <w:highlight w:val="none"/>
        </w:rPr>
        <w:t>有所</w:t>
      </w:r>
      <w:r>
        <w:rPr>
          <w:rFonts w:hint="eastAsia" w:asciiTheme="minorEastAsia" w:hAnsiTheme="minorEastAsia" w:eastAsiaTheme="minorEastAsia"/>
          <w:sz w:val="32"/>
          <w:szCs w:val="32"/>
          <w:highlight w:val="none"/>
          <w:lang w:eastAsia="zh-CN"/>
        </w:rPr>
        <w:t>增加</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7</w:t>
      </w:r>
      <w:r>
        <w:rPr>
          <w:rFonts w:hint="eastAsia" w:asciiTheme="minorEastAsia" w:hAnsiTheme="minorEastAsia" w:eastAsiaTheme="minorEastAsia"/>
          <w:sz w:val="32"/>
          <w:szCs w:val="32"/>
        </w:rPr>
        <w:t>、社会保障和就业支出（类）退役军人管理事务（款）</w:t>
      </w:r>
      <w:r>
        <w:rPr>
          <w:rFonts w:hint="eastAsia" w:asciiTheme="minorEastAsia" w:hAnsiTheme="minorEastAsia" w:eastAsiaTheme="minorEastAsia"/>
          <w:sz w:val="32"/>
          <w:szCs w:val="32"/>
          <w:lang w:val="en-US" w:eastAsia="zh-CN"/>
        </w:rPr>
        <w:t>行政运行</w:t>
      </w:r>
      <w:r>
        <w:rPr>
          <w:rFonts w:hint="eastAsia" w:asciiTheme="minorEastAsia" w:hAnsiTheme="minorEastAsia" w:eastAsiaTheme="minorEastAsia"/>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17.04</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11.72</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68.78</w:t>
      </w:r>
      <w:r>
        <w:rPr>
          <w:rFonts w:hint="eastAsia" w:asciiTheme="minorEastAsia" w:hAnsiTheme="minorEastAsia" w:eastAsiaTheme="minorEastAsia"/>
          <w:sz w:val="32"/>
          <w:szCs w:val="32"/>
          <w:highlight w:val="none"/>
        </w:rPr>
        <w:t>%，决算数小于年初预算数的主要原因是：其他退役军人事务管理支出有所减少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、城乡社区支出（类）城乡社区管理事务（款）城管执法（项）。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28.41</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31.74</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111</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大</w:t>
      </w:r>
      <w:r>
        <w:rPr>
          <w:rFonts w:hint="eastAsia" w:asciiTheme="minorEastAsia" w:hAnsiTheme="minorEastAsia" w:eastAsiaTheme="minorEastAsia"/>
          <w:sz w:val="32"/>
          <w:szCs w:val="32"/>
          <w:highlight w:val="none"/>
        </w:rPr>
        <w:t>于年初预算数的主要原因是：城管执法支出</w:t>
      </w:r>
      <w:r>
        <w:rPr>
          <w:rFonts w:hint="eastAsia" w:asciiTheme="minorEastAsia" w:hAnsiTheme="minorEastAsia" w:eastAsiaTheme="minorEastAsia"/>
          <w:sz w:val="32"/>
          <w:szCs w:val="32"/>
          <w:highlight w:val="none"/>
          <w:lang w:eastAsia="zh-CN"/>
        </w:rPr>
        <w:t>增加</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9</w:t>
      </w:r>
      <w:r>
        <w:rPr>
          <w:rFonts w:hint="eastAsia" w:asciiTheme="minorEastAsia" w:hAnsiTheme="minorEastAsia" w:eastAsiaTheme="minorEastAsia"/>
          <w:sz w:val="32"/>
          <w:szCs w:val="32"/>
        </w:rPr>
        <w:t>、农林水支出（类）农业农村（款）行政运行（项）。</w:t>
      </w:r>
    </w:p>
    <w:p>
      <w:pPr>
        <w:pStyle w:val="11"/>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w:t>
      </w:r>
      <w:r>
        <w:rPr>
          <w:rFonts w:hint="eastAsia" w:asciiTheme="minorEastAsia" w:hAnsiTheme="minorEastAsia" w:eastAsiaTheme="minorEastAsia"/>
          <w:sz w:val="32"/>
          <w:szCs w:val="32"/>
          <w:highlight w:val="none"/>
        </w:rPr>
        <w:t>为</w:t>
      </w:r>
      <w:r>
        <w:rPr>
          <w:rFonts w:hint="eastAsia" w:asciiTheme="minorEastAsia" w:hAnsiTheme="minorEastAsia" w:eastAsiaTheme="minorEastAsia"/>
          <w:sz w:val="32"/>
          <w:szCs w:val="32"/>
          <w:highlight w:val="none"/>
          <w:lang w:val="en-US" w:eastAsia="zh-CN"/>
        </w:rPr>
        <w:t>192.84</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163.29</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84.67</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小</w:t>
      </w:r>
      <w:r>
        <w:rPr>
          <w:rFonts w:hint="eastAsia" w:asciiTheme="minorEastAsia" w:hAnsiTheme="minorEastAsia" w:eastAsiaTheme="minorEastAsia"/>
          <w:sz w:val="32"/>
          <w:szCs w:val="32"/>
          <w:highlight w:val="none"/>
        </w:rPr>
        <w:t>于年初预算数的主要原因是：农林水支出有所</w:t>
      </w:r>
      <w:r>
        <w:rPr>
          <w:rFonts w:hint="eastAsia" w:asciiTheme="minorEastAsia" w:hAnsiTheme="minorEastAsia" w:eastAsiaTheme="minorEastAsia"/>
          <w:sz w:val="32"/>
          <w:szCs w:val="32"/>
          <w:highlight w:val="none"/>
          <w:lang w:eastAsia="zh-CN"/>
        </w:rPr>
        <w:t>减少</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农林水支出（类）农业农村</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val="en-US" w:eastAsia="zh-CN"/>
        </w:rPr>
        <w:t>行业业务管理</w:t>
      </w:r>
      <w:r>
        <w:rPr>
          <w:rFonts w:hint="eastAsia" w:asciiTheme="minorEastAsia" w:hAnsiTheme="minorEastAsia" w:eastAsiaTheme="minorEastAsia"/>
          <w:color w:val="auto"/>
          <w:sz w:val="32"/>
          <w:szCs w:val="32"/>
        </w:rPr>
        <w:t>（项）。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highlight w:val="none"/>
          <w:lang w:val="en-US" w:eastAsia="zh-CN"/>
        </w:rPr>
        <w:t>51.13</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40.86</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highlight w:val="none"/>
          <w:lang w:val="en-US" w:eastAsia="zh-CN"/>
        </w:rPr>
        <w:t>79.91</w:t>
      </w:r>
      <w:r>
        <w:rPr>
          <w:rFonts w:hint="eastAsia" w:asciiTheme="minorEastAsia" w:hAnsiTheme="minorEastAsia" w:eastAsiaTheme="minorEastAsia"/>
          <w:color w:val="auto"/>
          <w:sz w:val="32"/>
          <w:szCs w:val="32"/>
          <w:highlight w:val="none"/>
        </w:rPr>
        <w:t>%，决算数小于年初预算数的主要原因是：</w:t>
      </w:r>
      <w:r>
        <w:rPr>
          <w:rFonts w:hint="eastAsia" w:asciiTheme="minorEastAsia" w:hAnsiTheme="minorEastAsia" w:eastAsiaTheme="minorEastAsia"/>
          <w:color w:val="auto"/>
          <w:sz w:val="32"/>
          <w:szCs w:val="32"/>
          <w:highlight w:val="none"/>
          <w:lang w:val="en-US" w:eastAsia="zh-CN"/>
        </w:rPr>
        <w:t>相关</w:t>
      </w:r>
      <w:r>
        <w:rPr>
          <w:rFonts w:hint="eastAsia" w:asciiTheme="minorEastAsia" w:hAnsiTheme="minorEastAsia" w:eastAsiaTheme="minorEastAsia"/>
          <w:color w:val="auto"/>
          <w:sz w:val="32"/>
          <w:szCs w:val="32"/>
          <w:highlight w:val="none"/>
        </w:rPr>
        <w:t>支出有所减少</w:t>
      </w:r>
      <w:r>
        <w:rPr>
          <w:rFonts w:hint="eastAsia" w:asciiTheme="minorEastAsia" w:hAnsiTheme="minorEastAsia" w:eastAsiaTheme="minorEastAsia"/>
          <w:sz w:val="32"/>
          <w:szCs w:val="32"/>
          <w:highlight w:val="none"/>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11、</w:t>
      </w:r>
      <w:r>
        <w:rPr>
          <w:rFonts w:hint="eastAsia" w:asciiTheme="minorEastAsia" w:hAnsiTheme="minorEastAsia" w:eastAsiaTheme="minorEastAsia"/>
          <w:sz w:val="32"/>
          <w:szCs w:val="32"/>
        </w:rPr>
        <w:t>农林水支出（类）农村综合改革（款）对村民委员会和村党支部的补助（项）。</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highlight w:val="none"/>
          <w:lang w:val="en-US" w:eastAsia="zh-CN"/>
        </w:rPr>
        <w:t>644.72</w:t>
      </w:r>
      <w:r>
        <w:rPr>
          <w:rFonts w:hint="eastAsia" w:asciiTheme="minorEastAsia" w:hAnsiTheme="minorEastAsia" w:eastAsiaTheme="minorEastAsia"/>
          <w:sz w:val="32"/>
          <w:szCs w:val="32"/>
          <w:highlight w:val="none"/>
        </w:rPr>
        <w:t>万元，支出决算为</w:t>
      </w:r>
      <w:r>
        <w:rPr>
          <w:rFonts w:hint="eastAsia" w:asciiTheme="minorEastAsia" w:hAnsiTheme="minorEastAsia" w:eastAsiaTheme="minorEastAsia"/>
          <w:sz w:val="32"/>
          <w:szCs w:val="32"/>
          <w:highlight w:val="none"/>
          <w:lang w:val="en-US" w:eastAsia="zh-CN"/>
        </w:rPr>
        <w:t>149.03</w:t>
      </w:r>
      <w:r>
        <w:rPr>
          <w:rFonts w:hint="eastAsia" w:asciiTheme="minorEastAsia" w:hAnsiTheme="minorEastAsia" w:eastAsiaTheme="minorEastAsia"/>
          <w:sz w:val="32"/>
          <w:szCs w:val="32"/>
          <w:highlight w:val="none"/>
        </w:rPr>
        <w:t>万元，完成年初预算的</w:t>
      </w:r>
      <w:r>
        <w:rPr>
          <w:rFonts w:hint="eastAsia" w:asciiTheme="minorEastAsia" w:hAnsiTheme="minorEastAsia" w:eastAsiaTheme="minorEastAsia"/>
          <w:sz w:val="32"/>
          <w:szCs w:val="32"/>
          <w:highlight w:val="none"/>
          <w:lang w:val="en-US" w:eastAsia="zh-CN"/>
        </w:rPr>
        <w:t>23.11</w:t>
      </w:r>
      <w:r>
        <w:rPr>
          <w:rFonts w:hint="eastAsia" w:asciiTheme="minorEastAsia" w:hAnsiTheme="minorEastAsia" w:eastAsiaTheme="minorEastAsia"/>
          <w:sz w:val="32"/>
          <w:szCs w:val="32"/>
          <w:highlight w:val="none"/>
        </w:rPr>
        <w:t>%，决算数</w:t>
      </w:r>
      <w:r>
        <w:rPr>
          <w:rFonts w:hint="eastAsia" w:asciiTheme="minorEastAsia" w:hAnsiTheme="minorEastAsia" w:eastAsiaTheme="minorEastAsia"/>
          <w:sz w:val="32"/>
          <w:szCs w:val="32"/>
          <w:highlight w:val="none"/>
          <w:lang w:eastAsia="zh-CN"/>
        </w:rPr>
        <w:t>小</w:t>
      </w:r>
      <w:r>
        <w:rPr>
          <w:rFonts w:hint="eastAsia" w:asciiTheme="minorEastAsia" w:hAnsiTheme="minorEastAsia" w:eastAsiaTheme="minorEastAsia"/>
          <w:sz w:val="32"/>
          <w:szCs w:val="32"/>
          <w:highlight w:val="none"/>
        </w:rPr>
        <w:t>于年初预算数的主要原因是：对村民委员会和村党支部的补助有所</w:t>
      </w:r>
      <w:r>
        <w:rPr>
          <w:rFonts w:hint="eastAsia" w:asciiTheme="minorEastAsia" w:hAnsiTheme="minorEastAsia" w:eastAsiaTheme="minorEastAsia"/>
          <w:sz w:val="32"/>
          <w:szCs w:val="32"/>
          <w:highlight w:val="none"/>
          <w:lang w:eastAsia="zh-CN"/>
        </w:rPr>
        <w:t>减少</w:t>
      </w:r>
      <w:r>
        <w:rPr>
          <w:rFonts w:hint="eastAsia" w:asciiTheme="minorEastAsia" w:hAnsiTheme="minorEastAsia" w:eastAsiaTheme="minorEastAsia"/>
          <w:sz w:val="32"/>
          <w:szCs w:val="32"/>
          <w:highlight w:val="none"/>
        </w:rPr>
        <w:t>。</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年度一般公共预算财政拨款基本支出</w:t>
      </w:r>
      <w:r>
        <w:rPr>
          <w:rFonts w:hint="eastAsia" w:asciiTheme="minorEastAsia" w:hAnsiTheme="minorEastAsia" w:eastAsiaTheme="minorEastAsia"/>
          <w:sz w:val="32"/>
          <w:szCs w:val="32"/>
          <w:lang w:val="en-US" w:eastAsia="zh-CN"/>
        </w:rPr>
        <w:t>3181.60</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2185.90</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68.70</w:t>
      </w:r>
      <w:r>
        <w:rPr>
          <w:rFonts w:hint="eastAsia" w:asciiTheme="minorEastAsia" w:hAnsiTheme="minorEastAsia" w:eastAsiaTheme="minorEastAsia"/>
          <w:sz w:val="32"/>
          <w:szCs w:val="32"/>
        </w:rPr>
        <w:t>%,主要包括基本工资、津贴补贴、奖金、伙食补助费、绩效工资、机关事业单位基本养老保险缴费、职业年金缴费、职工基本医疗保险缴费、公务员医疗补助缴费、住房公积金、其他工资福利支出、对个人和家庭的补助等；公用经费</w:t>
      </w:r>
      <w:r>
        <w:rPr>
          <w:rFonts w:hint="eastAsia" w:asciiTheme="minorEastAsia" w:hAnsiTheme="minorEastAsia" w:eastAsiaTheme="minorEastAsia"/>
          <w:sz w:val="32"/>
          <w:szCs w:val="32"/>
          <w:lang w:val="en-US" w:eastAsia="zh-CN"/>
        </w:rPr>
        <w:t>995.70</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31.30</w:t>
      </w:r>
      <w:r>
        <w:rPr>
          <w:rFonts w:hint="eastAsia" w:asciiTheme="minorEastAsia" w:hAnsiTheme="minorEastAsia" w:eastAsiaTheme="minorEastAsia"/>
          <w:sz w:val="32"/>
          <w:szCs w:val="32"/>
        </w:rPr>
        <w:t>%，主要包括办公费、印刷费、咨询费、电费、差旅费、维修（护）费、租赁费、会议费、培训费、公务接待费、劳务费、委托业务费、工会经费、其他交通费用、其他商品和服务支出、办公设备购置等。</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万元，其中：</w:t>
      </w:r>
    </w:p>
    <w:p>
      <w:pPr>
        <w:pStyle w:val="11"/>
        <w:ind w:firstLine="800" w:firstLineChars="250"/>
        <w:rPr>
          <w:rFonts w:ascii="宋体" w:hAnsi="宋体" w:eastAsia="宋体" w:cs="Times New Roman"/>
          <w:sz w:val="32"/>
          <w:szCs w:val="32"/>
        </w:rPr>
      </w:pPr>
      <w:r>
        <w:rPr>
          <w:rFonts w:hint="eastAsia" w:asciiTheme="minorEastAsia" w:hAnsiTheme="minorEastAsia" w:eastAsiaTheme="minorEastAsia"/>
          <w:sz w:val="32"/>
          <w:szCs w:val="32"/>
        </w:rPr>
        <w:t>无因公出国（境）费支出预算，支出决算为0万元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与上年相比无增减</w:t>
      </w:r>
      <w:r>
        <w:rPr>
          <w:rFonts w:hint="eastAsia" w:ascii="宋体" w:hAnsi="宋体" w:eastAsia="宋体" w:cs="宋体"/>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万元。与上年相比减少1.</w:t>
      </w:r>
      <w:r>
        <w:rPr>
          <w:rFonts w:hint="eastAsia" w:asciiTheme="minorEastAsia" w:hAnsiTheme="minorEastAsia" w:eastAsiaTheme="minorEastAsia"/>
          <w:sz w:val="32"/>
          <w:szCs w:val="32"/>
          <w:lang w:val="en-US" w:eastAsia="zh-CN"/>
        </w:rPr>
        <w:t>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%,减少的主要原因是公务接待支出减少。</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万元，无因公出国（境）费支出,无公务用车购置费及运行维护费支出，其中：</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1、无因公出国（境）费支出。</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3、无公务用车购置费及运行维护费支出，截止202</w:t>
      </w:r>
      <w:r>
        <w:rPr>
          <w:rFonts w:hint="eastAsia" w:asciiTheme="minorEastAsia" w:hAnsiTheme="minorEastAsia"/>
          <w:sz w:val="32"/>
          <w:szCs w:val="32"/>
          <w:lang w:val="en-US" w:eastAsia="zh-CN"/>
        </w:rPr>
        <w:t>1</w:t>
      </w:r>
      <w:r>
        <w:rPr>
          <w:rFonts w:hint="eastAsia" w:asciiTheme="minorEastAsia" w:hAnsiTheme="minorEastAsia"/>
          <w:sz w:val="32"/>
          <w:szCs w:val="32"/>
        </w:rPr>
        <w:t>年12月31日，我单位开支财政拨款的公务用车保有量为0辆。</w:t>
      </w:r>
    </w:p>
    <w:p>
      <w:pPr>
        <w:pStyle w:val="11"/>
        <w:rPr>
          <w:rFonts w:hAnsi="黑体"/>
          <w:b/>
          <w:sz w:val="32"/>
          <w:szCs w:val="32"/>
        </w:rPr>
      </w:pPr>
      <w:r>
        <w:rPr>
          <w:rFonts w:hint="eastAsia" w:hAnsi="黑体"/>
          <w:b/>
          <w:sz w:val="32"/>
          <w:szCs w:val="32"/>
        </w:rPr>
        <w:t>八、政府性基金预算收入支出决算情况</w:t>
      </w:r>
    </w:p>
    <w:p>
      <w:pPr>
        <w:pStyle w:val="11"/>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无</w:t>
      </w:r>
    </w:p>
    <w:p>
      <w:pPr>
        <w:pStyle w:val="11"/>
        <w:rPr>
          <w:rFonts w:hAnsi="黑体"/>
          <w:b/>
          <w:sz w:val="32"/>
          <w:szCs w:val="32"/>
        </w:rPr>
      </w:pPr>
      <w:r>
        <w:rPr>
          <w:rFonts w:hint="eastAsia" w:hAnsi="黑体"/>
          <w:b/>
          <w:sz w:val="32"/>
          <w:szCs w:val="32"/>
        </w:rPr>
        <w:t>九、关于机关运行经费支出说明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年度机关运行经费支出</w:t>
      </w:r>
      <w:r>
        <w:rPr>
          <w:rFonts w:hint="eastAsia" w:asciiTheme="minorEastAsia" w:hAnsiTheme="minorEastAsia" w:eastAsiaTheme="minorEastAsia"/>
          <w:sz w:val="32"/>
          <w:szCs w:val="32"/>
          <w:lang w:val="en-US" w:eastAsia="zh-CN"/>
        </w:rPr>
        <w:t>995.70</w:t>
      </w:r>
      <w:r>
        <w:rPr>
          <w:rFonts w:hint="eastAsia" w:asciiTheme="minorEastAsia" w:hAnsiTheme="minorEastAsia" w:eastAsiaTheme="minorEastAsia"/>
          <w:sz w:val="32"/>
          <w:szCs w:val="32"/>
        </w:rPr>
        <w:t>万元，比上年决算数增加</w:t>
      </w:r>
      <w:r>
        <w:rPr>
          <w:rFonts w:hint="eastAsia" w:asciiTheme="minorEastAsia" w:hAnsiTheme="minorEastAsia" w:eastAsiaTheme="minorEastAsia"/>
          <w:sz w:val="32"/>
          <w:szCs w:val="32"/>
          <w:lang w:val="en-US" w:eastAsia="zh-CN"/>
        </w:rPr>
        <w:t>592.81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147</w:t>
      </w:r>
      <w:r>
        <w:rPr>
          <w:rFonts w:hint="eastAsia" w:asciiTheme="minorEastAsia" w:hAnsiTheme="minorEastAsia" w:eastAsiaTheme="minorEastAsia"/>
          <w:sz w:val="32"/>
          <w:szCs w:val="32"/>
        </w:rPr>
        <w:t>%。主要原因是：受疫情</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影响，商品和服务支出有所增加。</w:t>
      </w:r>
    </w:p>
    <w:p>
      <w:pPr>
        <w:pStyle w:val="11"/>
        <w:rPr>
          <w:rFonts w:hAnsi="黑体"/>
          <w:b/>
          <w:sz w:val="32"/>
          <w:szCs w:val="32"/>
        </w:rPr>
      </w:pPr>
      <w:r>
        <w:rPr>
          <w:rFonts w:hint="eastAsia" w:hAnsi="黑体"/>
          <w:b/>
          <w:sz w:val="32"/>
          <w:szCs w:val="32"/>
        </w:rPr>
        <w:t>十、一般性支出情况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年本部门开支会议费</w:t>
      </w:r>
      <w:r>
        <w:rPr>
          <w:rFonts w:hint="eastAsia" w:asciiTheme="minorEastAsia" w:hAnsiTheme="minorEastAsia" w:eastAsiaTheme="minorEastAsia"/>
          <w:sz w:val="32"/>
          <w:szCs w:val="32"/>
          <w:lang w:val="en-US" w:eastAsia="zh-CN"/>
        </w:rPr>
        <w:t>1.32</w:t>
      </w:r>
      <w:r>
        <w:rPr>
          <w:rFonts w:hint="eastAsia" w:asciiTheme="minorEastAsia" w:hAnsiTheme="minorEastAsia" w:eastAsiaTheme="minorEastAsia"/>
          <w:sz w:val="32"/>
          <w:szCs w:val="32"/>
        </w:rPr>
        <w:t>万元，用于召开镇村干部工作会议、党代会、人大会、扶贫工作推进会、医保社保收缴推进会、民调工作会议等，人数约2000人，内容为全面工作部署、扶贫工作部署、医保社保收缴工作部署、民情走访工作部署等；开支培训费</w:t>
      </w:r>
      <w:r>
        <w:rPr>
          <w:rFonts w:hint="eastAsia" w:asciiTheme="minorEastAsia" w:hAnsiTheme="minorEastAsia" w:eastAsiaTheme="minorEastAsia"/>
          <w:sz w:val="32"/>
          <w:szCs w:val="32"/>
          <w:lang w:val="en-US" w:eastAsia="zh-CN"/>
        </w:rPr>
        <w:t>0.56</w:t>
      </w:r>
      <w:r>
        <w:rPr>
          <w:rFonts w:hint="eastAsia" w:asciiTheme="minorEastAsia" w:hAnsiTheme="minorEastAsia" w:eastAsiaTheme="minorEastAsia"/>
          <w:sz w:val="32"/>
          <w:szCs w:val="32"/>
        </w:rPr>
        <w:t>万元，用于开展人大代表培训等，人数约100人，内容为人大代表培训等。</w:t>
      </w:r>
    </w:p>
    <w:p>
      <w:pPr>
        <w:pStyle w:val="11"/>
        <w:rPr>
          <w:rFonts w:hAnsi="黑体"/>
          <w:b/>
          <w:sz w:val="32"/>
          <w:szCs w:val="32"/>
        </w:rPr>
      </w:pPr>
      <w:r>
        <w:rPr>
          <w:rFonts w:hint="eastAsia" w:hAnsi="黑体"/>
          <w:b/>
          <w:sz w:val="32"/>
          <w:szCs w:val="32"/>
        </w:rPr>
        <w:t>十一、关于政府采购支出说明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年度政府采</w:t>
      </w:r>
      <w:r>
        <w:rPr>
          <w:rFonts w:hint="eastAsia" w:asciiTheme="minorEastAsia" w:hAnsiTheme="minorEastAsia" w:eastAsiaTheme="minorEastAsia"/>
          <w:sz w:val="32"/>
          <w:szCs w:val="32"/>
          <w:highlight w:val="none"/>
        </w:rPr>
        <w:t>购支出总额</w:t>
      </w:r>
      <w:r>
        <w:rPr>
          <w:rFonts w:hint="eastAsia" w:asciiTheme="minorEastAsia" w:hAnsiTheme="minorEastAsia" w:eastAsiaTheme="minorEastAsia"/>
          <w:sz w:val="32"/>
          <w:szCs w:val="32"/>
          <w:highlight w:val="none"/>
          <w:lang w:val="en-US" w:eastAsia="zh-CN"/>
        </w:rPr>
        <w:t>481.22</w:t>
      </w:r>
      <w:r>
        <w:rPr>
          <w:rFonts w:hint="eastAsia" w:asciiTheme="minorEastAsia" w:hAnsiTheme="minorEastAsia" w:eastAsiaTheme="minorEastAsia"/>
          <w:sz w:val="32"/>
          <w:szCs w:val="32"/>
          <w:highlight w:val="none"/>
        </w:rPr>
        <w:t>万元，其中：政府采购货物支出</w:t>
      </w:r>
      <w:r>
        <w:rPr>
          <w:rFonts w:hint="eastAsia" w:asciiTheme="minorEastAsia" w:hAnsiTheme="minorEastAsia" w:eastAsiaTheme="minorEastAsia"/>
          <w:sz w:val="32"/>
          <w:szCs w:val="32"/>
          <w:highlight w:val="none"/>
          <w:lang w:val="en-US" w:eastAsia="zh-CN"/>
        </w:rPr>
        <w:t>141.84</w:t>
      </w:r>
      <w:r>
        <w:rPr>
          <w:rFonts w:hint="eastAsia" w:asciiTheme="minorEastAsia" w:hAnsiTheme="minorEastAsia" w:eastAsiaTheme="minorEastAsia"/>
          <w:sz w:val="32"/>
          <w:szCs w:val="32"/>
          <w:highlight w:val="none"/>
        </w:rPr>
        <w:t>万元、政府采购工程支出</w:t>
      </w:r>
      <w:r>
        <w:rPr>
          <w:rFonts w:hint="eastAsia" w:asciiTheme="minorEastAsia" w:hAnsiTheme="minorEastAsia" w:eastAsiaTheme="minorEastAsia"/>
          <w:sz w:val="32"/>
          <w:szCs w:val="32"/>
          <w:highlight w:val="none"/>
          <w:lang w:val="en-US" w:eastAsia="zh-CN"/>
        </w:rPr>
        <w:t>56.69</w:t>
      </w:r>
      <w:r>
        <w:rPr>
          <w:rFonts w:hint="eastAsia" w:asciiTheme="minorEastAsia" w:hAnsiTheme="minorEastAsia" w:eastAsiaTheme="minorEastAsia"/>
          <w:sz w:val="32"/>
          <w:szCs w:val="32"/>
          <w:highlight w:val="none"/>
        </w:rPr>
        <w:t>万元、政府采购服务支出</w:t>
      </w:r>
      <w:r>
        <w:rPr>
          <w:rFonts w:hint="eastAsia" w:asciiTheme="minorEastAsia" w:hAnsiTheme="minorEastAsia" w:eastAsiaTheme="minorEastAsia"/>
          <w:sz w:val="32"/>
          <w:szCs w:val="32"/>
          <w:highlight w:val="none"/>
          <w:lang w:val="en-US" w:eastAsia="zh-CN"/>
        </w:rPr>
        <w:t>282.68</w:t>
      </w:r>
      <w:r>
        <w:rPr>
          <w:rFonts w:hint="eastAsia" w:asciiTheme="minorEastAsia" w:hAnsiTheme="minorEastAsia" w:eastAsiaTheme="minorEastAsia"/>
          <w:sz w:val="32"/>
          <w:szCs w:val="32"/>
          <w:highlight w:val="none"/>
        </w:rPr>
        <w:t>万元。授予中小企业合同金额</w:t>
      </w:r>
      <w:r>
        <w:rPr>
          <w:rFonts w:hint="eastAsia" w:asciiTheme="minorEastAsia" w:hAnsiTheme="minorEastAsia" w:eastAsiaTheme="minorEastAsia"/>
          <w:sz w:val="32"/>
          <w:szCs w:val="32"/>
          <w:highlight w:val="none"/>
          <w:lang w:val="en-US" w:eastAsia="zh-CN"/>
        </w:rPr>
        <w:t>481.22</w:t>
      </w:r>
      <w:r>
        <w:rPr>
          <w:rFonts w:hint="eastAsia" w:asciiTheme="minorEastAsia" w:hAnsiTheme="minorEastAsia" w:eastAsiaTheme="minorEastAsia"/>
          <w:sz w:val="32"/>
          <w:szCs w:val="32"/>
          <w:highlight w:val="none"/>
        </w:rPr>
        <w:t>万元，占政府采购支出总额的100%，其中：授予小微企业合同金额</w:t>
      </w:r>
      <w:r>
        <w:rPr>
          <w:rFonts w:hint="eastAsia" w:asciiTheme="minorEastAsia" w:hAnsiTheme="minorEastAsia" w:eastAsiaTheme="minorEastAsia"/>
          <w:sz w:val="32"/>
          <w:szCs w:val="32"/>
          <w:highlight w:val="none"/>
          <w:lang w:val="en-US" w:eastAsia="zh-CN"/>
        </w:rPr>
        <w:t>481.22</w:t>
      </w:r>
      <w:r>
        <w:rPr>
          <w:rFonts w:hint="eastAsia" w:asciiTheme="minorEastAsia" w:hAnsiTheme="minorEastAsia" w:eastAsiaTheme="minorEastAsia"/>
          <w:sz w:val="32"/>
          <w:szCs w:val="32"/>
          <w:highlight w:val="none"/>
        </w:rPr>
        <w:t>万元，占政府采购支出总额的100%</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十二、关于国有资产占用情况说明</w:t>
      </w:r>
    </w:p>
    <w:p>
      <w:pPr>
        <w:pStyle w:val="11"/>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截至202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pPr>
        <w:pStyle w:val="11"/>
        <w:spacing w:line="600" w:lineRule="exact"/>
        <w:outlineLvl w:val="1"/>
        <w:rPr>
          <w:rFonts w:hAnsi="黑体" w:cs="Times New Roman"/>
          <w:color w:val="auto"/>
          <w:sz w:val="32"/>
          <w:szCs w:val="32"/>
        </w:rPr>
      </w:pPr>
      <w:r>
        <w:rPr>
          <w:rFonts w:hint="eastAsia" w:hAnsi="黑体" w:cs="Times New Roman"/>
          <w:color w:val="auto"/>
          <w:sz w:val="32"/>
          <w:szCs w:val="32"/>
        </w:rPr>
        <w:t>十三</w:t>
      </w:r>
      <w:r>
        <w:rPr>
          <w:rFonts w:hAnsi="黑体" w:cs="Times New Roman"/>
          <w:color w:val="auto"/>
          <w:sz w:val="32"/>
          <w:szCs w:val="32"/>
        </w:rPr>
        <w:t>、</w:t>
      </w:r>
      <w:r>
        <w:rPr>
          <w:rFonts w:hint="eastAsia" w:hAnsi="黑体" w:cs="Times New Roman"/>
          <w:color w:val="auto"/>
          <w:sz w:val="32"/>
          <w:szCs w:val="32"/>
        </w:rPr>
        <w:t>国有资本经营预算财政拨款支出决算情况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本单位无国有资本经营预算支出</w:t>
      </w:r>
      <w:bookmarkStart w:id="0" w:name="_GoBack"/>
      <w:bookmarkEnd w:id="0"/>
    </w:p>
    <w:p>
      <w:pPr>
        <w:pStyle w:val="11"/>
        <w:rPr>
          <w:rFonts w:hAnsi="黑体"/>
          <w:b/>
          <w:sz w:val="32"/>
          <w:szCs w:val="32"/>
        </w:rPr>
      </w:pPr>
      <w:r>
        <w:rPr>
          <w:rFonts w:hint="eastAsia" w:hAnsi="黑体"/>
          <w:b/>
          <w:sz w:val="32"/>
          <w:szCs w:val="32"/>
        </w:rPr>
        <w:t>十三、关于202</w:t>
      </w:r>
      <w:r>
        <w:rPr>
          <w:rFonts w:hint="eastAsia" w:hAnsi="黑体"/>
          <w:b/>
          <w:sz w:val="32"/>
          <w:szCs w:val="32"/>
          <w:lang w:val="en-US" w:eastAsia="zh-CN"/>
        </w:rPr>
        <w:t>1</w:t>
      </w:r>
      <w:r>
        <w:rPr>
          <w:rFonts w:hint="eastAsia" w:hAnsi="黑体"/>
          <w:b/>
          <w:sz w:val="32"/>
          <w:szCs w:val="32"/>
        </w:rPr>
        <w:t>年度预算绩效情况的说明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本部门预算绩效管理开展情况、绩效目标和绩效评价报告等按照财政绩效部门要求已公开。（第五部分 附件）</w:t>
      </w:r>
    </w:p>
    <w:p>
      <w:pPr>
        <w:pStyle w:val="11"/>
        <w:rPr>
          <w:rFonts w:hAnsi="黑体"/>
          <w:b/>
          <w:sz w:val="32"/>
          <w:szCs w:val="3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numPr>
          <w:ilvl w:val="0"/>
          <w:numId w:val="3"/>
        </w:num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 燃料费、维修费、保险费等支出；因公出国（境）费反映单位公务出国（境）的国际旅费、国外城市间交通费、食宿费等支出。</w:t>
      </w:r>
    </w:p>
    <w:p>
      <w:pPr>
        <w:numPr>
          <w:ilvl w:val="0"/>
          <w:numId w:val="3"/>
        </w:num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jc w:val="left"/>
        <w:rPr>
          <w:rFonts w:eastAsia="黑体" w:cs="黑体" w:asciiTheme="minorEastAsia" w:hAnsiTheme="minorEastAsia"/>
          <w:color w:val="000000"/>
          <w:kern w:val="0"/>
          <w:sz w:val="28"/>
          <w:szCs w:val="3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spacing w:line="360" w:lineRule="exact"/>
        <w:rPr>
          <w:rFonts w:hint="eastAsia" w:ascii="黑体" w:hAnsi="黑体" w:eastAsia="黑体" w:cs="黑体"/>
          <w:color w:val="000000"/>
          <w:sz w:val="32"/>
          <w:szCs w:val="32"/>
        </w:rPr>
      </w:pPr>
    </w:p>
    <w:p>
      <w:pPr>
        <w:tabs>
          <w:tab w:val="left" w:pos="6480"/>
        </w:tabs>
        <w:spacing w:line="360" w:lineRule="exact"/>
        <w:jc w:val="center"/>
        <w:rPr>
          <w:rFonts w:hint="eastAsia" w:ascii="宋体" w:hAnsi="宋体" w:cs="方正小标宋_GBK"/>
          <w:b/>
          <w:bCs/>
          <w:sz w:val="36"/>
          <w:szCs w:val="36"/>
        </w:rPr>
      </w:pPr>
      <w:r>
        <w:rPr>
          <w:rFonts w:hint="eastAsia" w:ascii="宋体" w:hAnsi="宋体" w:cs="方正小标宋_GBK"/>
          <w:b/>
          <w:bCs/>
          <w:sz w:val="36"/>
          <w:szCs w:val="36"/>
          <w:lang w:val="en-US" w:eastAsia="zh-CN"/>
        </w:rPr>
        <w:t>2021年</w:t>
      </w:r>
      <w:r>
        <w:rPr>
          <w:rFonts w:hint="eastAsia" w:ascii="宋体" w:hAnsi="宋体" w:cs="方正小标宋_GBK"/>
          <w:b/>
          <w:bCs/>
          <w:sz w:val="36"/>
          <w:szCs w:val="36"/>
        </w:rPr>
        <w:t>部门整体支出绩效评价报告</w:t>
      </w:r>
    </w:p>
    <w:p>
      <w:pPr>
        <w:tabs>
          <w:tab w:val="left" w:pos="6480"/>
        </w:tabs>
        <w:spacing w:line="360" w:lineRule="exact"/>
        <w:jc w:val="center"/>
        <w:rPr>
          <w:rFonts w:hint="eastAsia" w:ascii="宋体" w:hAnsi="宋体" w:cs="方正小标宋_GBK"/>
          <w:b/>
          <w:sz w:val="36"/>
          <w:szCs w:val="36"/>
        </w:rPr>
      </w:pPr>
      <w:r>
        <w:rPr>
          <w:rFonts w:hint="eastAsia" w:ascii="宋体" w:hAnsi="宋体" w:cs="方正小标宋_GBK"/>
          <w:b/>
          <w:sz w:val="36"/>
          <w:szCs w:val="36"/>
        </w:rPr>
        <w:t>（湘潭县</w:t>
      </w:r>
      <w:r>
        <w:rPr>
          <w:rFonts w:ascii="宋体" w:hAnsi="宋体" w:cs="方正小标宋_GBK"/>
          <w:b/>
          <w:sz w:val="36"/>
          <w:szCs w:val="36"/>
        </w:rPr>
        <w:t>射埠</w:t>
      </w:r>
      <w:r>
        <w:rPr>
          <w:rFonts w:hint="eastAsia" w:ascii="宋体" w:hAnsi="宋体" w:cs="方正小标宋_GBK"/>
          <w:b/>
          <w:sz w:val="36"/>
          <w:szCs w:val="36"/>
        </w:rPr>
        <w:t>镇人民政府）</w:t>
      </w:r>
    </w:p>
    <w:tbl>
      <w:tblPr>
        <w:tblStyle w:val="7"/>
        <w:tblW w:w="95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6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4" w:hRule="atLeast"/>
          <w:jc w:val="center"/>
        </w:trPr>
        <w:tc>
          <w:tcPr>
            <w:tcW w:w="1384" w:type="dxa"/>
            <w:vMerge w:val="restart"/>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部门概况</w:t>
            </w: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单位名称</w:t>
            </w:r>
          </w:p>
        </w:tc>
        <w:tc>
          <w:tcPr>
            <w:tcW w:w="6193" w:type="dxa"/>
            <w:noWrap w:val="0"/>
            <w:vAlign w:val="center"/>
          </w:tcPr>
          <w:p>
            <w:pPr>
              <w:spacing w:line="360" w:lineRule="exact"/>
              <w:ind w:right="879" w:rightChars="419"/>
              <w:jc w:val="center"/>
              <w:rPr>
                <w:rFonts w:hint="eastAsia" w:ascii="仿宋_GB2312" w:hAnsi="宋体" w:eastAsia="仿宋_GB2312" w:cs="宋体"/>
                <w:sz w:val="24"/>
              </w:rPr>
            </w:pPr>
            <w:r>
              <w:rPr>
                <w:rFonts w:hint="eastAsia" w:ascii="仿宋_GB2312" w:hAnsi="宋体" w:eastAsia="仿宋_GB2312" w:cs="宋体"/>
                <w:sz w:val="24"/>
              </w:rPr>
              <w:t>湘潭县射埠镇人民政府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6" w:hRule="atLeast"/>
          <w:jc w:val="center"/>
        </w:trPr>
        <w:tc>
          <w:tcPr>
            <w:tcW w:w="1384" w:type="dxa"/>
            <w:vMerge w:val="continue"/>
            <w:noWrap w:val="0"/>
            <w:vAlign w:val="top"/>
          </w:tcPr>
          <w:p>
            <w:pPr>
              <w:spacing w:line="360" w:lineRule="exact"/>
              <w:jc w:val="center"/>
              <w:rPr>
                <w:rFonts w:hint="eastAsia" w:ascii="仿宋_GB2312" w:hAnsi="宋体" w:eastAsia="仿宋_GB2312" w:cs="宋体"/>
                <w:sz w:val="24"/>
              </w:rPr>
            </w:pP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年度预算金额</w:t>
            </w:r>
          </w:p>
        </w:tc>
        <w:tc>
          <w:tcPr>
            <w:tcW w:w="6193" w:type="dxa"/>
            <w:noWrap w:val="0"/>
            <w:vAlign w:val="center"/>
          </w:tcPr>
          <w:p>
            <w:pPr>
              <w:spacing w:line="360" w:lineRule="exact"/>
              <w:ind w:right="879" w:rightChars="419"/>
              <w:jc w:val="center"/>
              <w:rPr>
                <w:rFonts w:ascii="仿宋_GB2312" w:hAnsi="宋体" w:eastAsia="仿宋_GB2312" w:cs="宋体"/>
                <w:sz w:val="24"/>
              </w:rPr>
            </w:pPr>
            <w:r>
              <w:rPr>
                <w:rFonts w:hint="eastAsia" w:ascii="仿宋_GB2312" w:hAnsi="宋体" w:eastAsia="仿宋_GB2312" w:cs="宋体"/>
                <w:sz w:val="24"/>
              </w:rPr>
              <w:t>4650万元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360" w:lineRule="exact"/>
              <w:jc w:val="center"/>
              <w:rPr>
                <w:rFonts w:hint="eastAsia" w:ascii="仿宋_GB2312" w:hAnsi="宋体" w:eastAsia="仿宋_GB2312" w:cs="宋体"/>
                <w:sz w:val="24"/>
              </w:rPr>
            </w:pP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主管部门</w:t>
            </w:r>
          </w:p>
        </w:tc>
        <w:tc>
          <w:tcPr>
            <w:tcW w:w="6193" w:type="dxa"/>
            <w:noWrap w:val="0"/>
            <w:vAlign w:val="center"/>
          </w:tcPr>
          <w:p>
            <w:pPr>
              <w:spacing w:line="360" w:lineRule="exact"/>
              <w:ind w:right="879" w:rightChars="419"/>
              <w:jc w:val="center"/>
              <w:rPr>
                <w:rFonts w:hint="eastAsia" w:ascii="仿宋_GB2312" w:hAnsi="宋体" w:eastAsia="仿宋_GB2312" w:cs="宋体"/>
                <w:sz w:val="24"/>
              </w:rPr>
            </w:pPr>
            <w:r>
              <w:rPr>
                <w:rFonts w:hint="eastAsia" w:ascii="仿宋_GB2312" w:hAnsi="宋体" w:eastAsia="仿宋_GB2312"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noWrap w:val="0"/>
            <w:vAlign w:val="top"/>
          </w:tcPr>
          <w:p>
            <w:pPr>
              <w:spacing w:line="360" w:lineRule="exact"/>
              <w:jc w:val="center"/>
              <w:rPr>
                <w:rFonts w:hint="eastAsia" w:ascii="仿宋_GB2312" w:hAnsi="宋体" w:eastAsia="仿宋_GB2312" w:cs="宋体"/>
                <w:sz w:val="24"/>
              </w:rPr>
            </w:pP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单位基本职能</w:t>
            </w:r>
          </w:p>
        </w:tc>
        <w:tc>
          <w:tcPr>
            <w:tcW w:w="6193" w:type="dxa"/>
            <w:noWrap w:val="0"/>
            <w:vAlign w:val="center"/>
          </w:tcPr>
          <w:p>
            <w:pPr>
              <w:spacing w:line="360" w:lineRule="exact"/>
              <w:ind w:firstLine="480" w:firstLineChars="200"/>
              <w:rPr>
                <w:rFonts w:hint="eastAsia" w:ascii="仿宋_GB2312" w:hAnsi="宋体" w:eastAsia="仿宋_GB2312" w:cs="宋体"/>
                <w:bCs/>
                <w:sz w:val="24"/>
              </w:rPr>
            </w:pPr>
            <w:r>
              <w:rPr>
                <w:rFonts w:hint="eastAsia" w:ascii="仿宋_GB2312" w:hAnsi="宋体" w:eastAsia="仿宋_GB2312" w:cs="宋体"/>
                <w:bCs/>
                <w:sz w:val="24"/>
              </w:rPr>
              <w:t>1、社会管理职能。（1）贯彻执行上级的各项方针政策，保障公民享有宪法规定的经济、政治和文化权利；（2）加强综合治理，维护社会稳定，妥善处理突发性、群体性事件，调节和处理好各种利益矛盾和纠分；（3）根据乡村社会的需要，组织制定和推动落实经农民认可的乡规民约，构建和谐的乡村社会等。</w:t>
            </w:r>
          </w:p>
          <w:p>
            <w:pPr>
              <w:spacing w:line="360" w:lineRule="exact"/>
              <w:ind w:firstLine="480" w:firstLineChars="200"/>
              <w:rPr>
                <w:rFonts w:hint="eastAsia" w:ascii="仿宋_GB2312" w:hAnsi="宋体" w:eastAsia="仿宋_GB2312" w:cs="宋体"/>
                <w:bCs/>
                <w:sz w:val="24"/>
              </w:rPr>
            </w:pPr>
            <w:r>
              <w:rPr>
                <w:rFonts w:hint="eastAsia" w:ascii="仿宋_GB2312" w:hAnsi="宋体" w:eastAsia="仿宋_GB2312" w:cs="宋体"/>
                <w:bCs/>
                <w:sz w:val="24"/>
              </w:rPr>
              <w:t>2.发展经济职能。（1）组织制定本乡镇产业发展规划，指导产业结构调整，形成地域产业特色；（2）组织营造良好的投资环境，包括政策环境、硬件环境、社会环境，加大招商引资力度；（3）通过推动和引导农村经济合作组织的发展，指导农村生产，提高农村生产组织化程度；（4）加强信息服务，密切本地农产品的市场衔接，促进农业新技术的推广。</w:t>
            </w:r>
          </w:p>
          <w:p>
            <w:pPr>
              <w:spacing w:line="360" w:lineRule="exact"/>
              <w:ind w:firstLine="480" w:firstLineChars="200"/>
              <w:rPr>
                <w:rFonts w:hint="eastAsia" w:ascii="仿宋_GB2312" w:hAnsi="宋体" w:eastAsia="仿宋_GB2312" w:cs="宋体"/>
                <w:bCs/>
                <w:sz w:val="24"/>
              </w:rPr>
            </w:pPr>
            <w:r>
              <w:rPr>
                <w:rFonts w:hint="eastAsia" w:ascii="仿宋_GB2312" w:hAnsi="宋体" w:eastAsia="仿宋_GB2312" w:cs="宋体"/>
                <w:bCs/>
                <w:sz w:val="24"/>
              </w:rPr>
              <w:t>3.公共服务职能。普及义务教育，计划生育，积极发展农村卫生事业，繁荣农村文化，建立农村社会保障制度，加强社会公德建设，加强农民思想道德教育，倡导健康文明新风尚等，组织好农村公共产品的供应。</w:t>
            </w:r>
          </w:p>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bCs/>
                <w:sz w:val="24"/>
              </w:rPr>
              <w:t>4.基层建设职能。（1）抓好农村党组织建设，包括乡镇党委、村党支部领导班子的推荐与选配，农村党员的发展和管理，党员干部队伍思想作风建设等；（2）抓好村委会班子建设，依法指导和帮助组织好乡村基层组织和社区自治，为落实公民在选举、决策、管理和监督等方面的民主权利创造条件；（3）抓好农村思想建设，加强农村思想政治工作和社会主义精神文明建设，倡导乡村社会文明新风；（4）抓好民主集中制建设，敞开群众表达意愿的渠道，建立民主决策、科学决策的程序和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7" w:hRule="atLeast"/>
          <w:jc w:val="center"/>
        </w:trPr>
        <w:tc>
          <w:tcPr>
            <w:tcW w:w="1384" w:type="dxa"/>
            <w:vMerge w:val="restart"/>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绩效完成情况</w:t>
            </w: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部门整体支出管理和使用基本情况</w:t>
            </w:r>
          </w:p>
        </w:tc>
        <w:tc>
          <w:tcPr>
            <w:tcW w:w="6193" w:type="dxa"/>
            <w:noWrap w:val="0"/>
            <w:vAlign w:val="center"/>
          </w:tcPr>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1、2021年收入实际完成5309万元，其中：财政拨款收入3182万元，其他收入2127万元。</w:t>
            </w:r>
          </w:p>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2、2021年决算总支出5309万元，其中工资福利支出1956万元、商品和服务支出1936万元、对个人和家庭的补助1417万元、资本性支出 0万元，当年无结余。</w:t>
            </w:r>
          </w:p>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3、“三公经费”支出情况</w:t>
            </w:r>
          </w:p>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2021年 “三公”经费支出0元。其中公务接待费0元，公务用车运行费用0元，因公出国费0元。</w:t>
            </w:r>
          </w:p>
          <w:p>
            <w:pPr>
              <w:spacing w:line="360" w:lineRule="exact"/>
              <w:ind w:firstLine="480" w:firstLineChars="200"/>
              <w:rPr>
                <w:rFonts w:hint="eastAsia" w:ascii="仿宋_GB2312" w:hAnsi="宋体" w:eastAsia="仿宋_GB2312"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0" w:hRule="atLeast"/>
          <w:jc w:val="center"/>
        </w:trPr>
        <w:tc>
          <w:tcPr>
            <w:tcW w:w="1384" w:type="dxa"/>
            <w:vMerge w:val="continue"/>
            <w:noWrap w:val="0"/>
            <w:vAlign w:val="top"/>
          </w:tcPr>
          <w:p>
            <w:pPr>
              <w:spacing w:line="360" w:lineRule="exact"/>
              <w:jc w:val="center"/>
              <w:rPr>
                <w:rFonts w:hint="eastAsia" w:ascii="仿宋_GB2312" w:hAnsi="宋体" w:eastAsia="仿宋_GB2312" w:cs="宋体"/>
                <w:sz w:val="24"/>
              </w:rPr>
            </w:pP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绩效目标完成情况</w:t>
            </w:r>
          </w:p>
        </w:tc>
        <w:tc>
          <w:tcPr>
            <w:tcW w:w="6193" w:type="dxa"/>
            <w:noWrap w:val="0"/>
            <w:vAlign w:val="center"/>
          </w:tcPr>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一、以党建领航为抓手，持续抓好党的建设。</w:t>
            </w:r>
          </w:p>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优化3个机关党支部，撤销3个“僵尸企业”党支部；对软弱焕散村级党组织，通过实地调研、召开民主生活会、谈心谈话等形式，强化党组织的管理。开展党员发展回头看，对2012年以来发展的农村党员进行了全面清理，初步核查问题线索149条，拟直接除名1人，已给予党纪处分3人，拟移交镇纪委立案5人。坚持定期不定期地开展作风建设督查，对发现的问题严查到底绝不含糊，持续深入反 “四风”治腐败，全年，共受理信访举报10件次，共计立案查处10起党员干部违纪案件，给予党纪处分9人次，政务处分1人次，在全镇形成“无功即是过、有过必受罚”的统一认识。</w:t>
            </w:r>
          </w:p>
          <w:p>
            <w:pPr>
              <w:spacing w:line="360" w:lineRule="exact"/>
              <w:ind w:firstLine="480" w:firstLineChars="200"/>
              <w:jc w:val="left"/>
              <w:rPr>
                <w:rFonts w:hint="eastAsia" w:ascii="仿宋_GB2312" w:hAnsi="宋体" w:eastAsia="仿宋_GB2312" w:cs="宋体"/>
                <w:bCs/>
                <w:sz w:val="24"/>
              </w:rPr>
            </w:pPr>
            <w:r>
              <w:rPr>
                <w:rFonts w:hint="eastAsia" w:ascii="仿宋_GB2312" w:hAnsi="宋体" w:eastAsia="仿宋_GB2312" w:cs="宋体"/>
                <w:bCs/>
                <w:sz w:val="24"/>
              </w:rPr>
              <w:t>二、以经济建设为主导，镇域发展平稳前行。</w:t>
            </w:r>
          </w:p>
          <w:p>
            <w:pPr>
              <w:spacing w:line="360" w:lineRule="exact"/>
              <w:ind w:firstLine="480" w:firstLineChars="200"/>
              <w:rPr>
                <w:rFonts w:hint="eastAsia" w:ascii="仿宋_GB2312" w:hAnsi="宋体" w:eastAsia="仿宋_GB2312" w:cs="宋体"/>
                <w:sz w:val="24"/>
              </w:rPr>
            </w:pPr>
            <w:r>
              <w:rPr>
                <w:rFonts w:hint="eastAsia" w:ascii="仿宋_GB2312" w:hAnsi="宋体" w:eastAsia="仿宋_GB2312" w:cs="宋体"/>
                <w:sz w:val="24"/>
              </w:rPr>
              <w:t>重点围绕地区生产总值、财税收入、固定资产投资等主要经济指标，深入分析研判，强化调度推进，培育工业经济主体，超额完成全年税收任务；非税收入完成362万元，完成率达226%；完成规模工业总产值3.4亿元，完成率为100％；完成全社会固定资产投资3.25亿元，完成率达108%。全年招商引资项目4个，到位资金1.4亿，正在洽谈项目2个，拟投资1.5亿左右。在建重点项目5个，成立5个工作专班，目前各项目稳步推进。</w:t>
            </w:r>
          </w:p>
          <w:p>
            <w:pPr>
              <w:spacing w:line="360" w:lineRule="exact"/>
              <w:ind w:firstLine="480" w:firstLineChars="200"/>
              <w:jc w:val="left"/>
              <w:rPr>
                <w:rFonts w:hint="eastAsia" w:ascii="仿宋_GB2312" w:hAnsi="宋体" w:eastAsia="仿宋_GB2312" w:cs="宋体"/>
                <w:bCs/>
                <w:sz w:val="24"/>
              </w:rPr>
            </w:pPr>
            <w:r>
              <w:rPr>
                <w:rFonts w:hint="eastAsia" w:ascii="仿宋_GB2312" w:hAnsi="宋体" w:eastAsia="仿宋_GB2312" w:cs="宋体"/>
                <w:bCs/>
                <w:sz w:val="24"/>
              </w:rPr>
              <w:t>三、以农业发展为基础，新农村建设稳步推进。</w:t>
            </w:r>
          </w:p>
          <w:p>
            <w:pPr>
              <w:spacing w:line="360" w:lineRule="exact"/>
              <w:ind w:firstLine="480" w:firstLineChars="200"/>
              <w:jc w:val="left"/>
              <w:rPr>
                <w:rFonts w:hint="eastAsia" w:ascii="仿宋_GB2312" w:hAnsi="宋体" w:eastAsia="仿宋_GB2312" w:cs="宋体"/>
                <w:bCs/>
                <w:sz w:val="24"/>
              </w:rPr>
            </w:pPr>
            <w:r>
              <w:rPr>
                <w:rFonts w:hint="eastAsia" w:ascii="仿宋_GB2312" w:hAnsi="宋体" w:eastAsia="仿宋_GB2312" w:cs="宋体"/>
                <w:bCs/>
                <w:sz w:val="24"/>
              </w:rPr>
              <w:t>不断完善水、电、路等基础设施，狠抓粮食生产，坚决杜绝农田抛荒行为，有序引导1.8万亩的种植结构调整，实现蔬菜、稻鱼、稻油、龙虾、茶叶等种养殖新型经营主体多达90余家。召开了政银企合作洽谈会，助力孵化特色农业产业。落实各项措施巩固脱贫成效，有效实现与乡村振兴衔接，排查防返贫监测户35户49人，无一例返贫。成功举办2021年湘潭县射埠镇乡村振兴特色产业推介会暨脱贫丰收节活动，“一亩田脱贫”模式创始人、“全国脱贫攻坚先进个人”邓述东今年12月再次获评国家全面建成小康社会作贡献先进个人，形成了具有全域影响力的品牌。</w:t>
            </w:r>
          </w:p>
          <w:p>
            <w:pPr>
              <w:spacing w:line="360" w:lineRule="exact"/>
              <w:ind w:firstLine="480" w:firstLineChars="200"/>
              <w:jc w:val="left"/>
              <w:rPr>
                <w:rFonts w:hint="eastAsia" w:ascii="仿宋_GB2312" w:hAnsi="宋体" w:eastAsia="仿宋_GB2312" w:cs="宋体"/>
                <w:bCs/>
                <w:sz w:val="24"/>
              </w:rPr>
            </w:pPr>
            <w:r>
              <w:rPr>
                <w:rFonts w:hint="eastAsia" w:ascii="仿宋_GB2312" w:hAnsi="宋体" w:eastAsia="仿宋_GB2312" w:cs="宋体"/>
                <w:bCs/>
                <w:sz w:val="24"/>
              </w:rPr>
              <w:t>四、以服务民生为根本，各项事业取得进步。</w:t>
            </w:r>
          </w:p>
          <w:p>
            <w:pPr>
              <w:spacing w:line="360" w:lineRule="exact"/>
              <w:ind w:firstLine="480" w:firstLineChars="200"/>
              <w:jc w:val="left"/>
              <w:rPr>
                <w:rFonts w:hint="eastAsia" w:ascii="仿宋_GB2312" w:hAnsi="宋体" w:eastAsia="仿宋_GB2312" w:cs="宋体"/>
                <w:bCs/>
                <w:sz w:val="24"/>
              </w:rPr>
            </w:pPr>
            <w:r>
              <w:rPr>
                <w:rFonts w:hint="eastAsia" w:ascii="仿宋_GB2312" w:hAnsi="宋体" w:eastAsia="仿宋_GB2312" w:cs="宋体"/>
                <w:bCs/>
                <w:sz w:val="24"/>
              </w:rPr>
              <w:t>严格落实各项惠民政策，接受了市“减负”工作专项督查，全年发放各项强农惠民补贴资金3000余万元，加大对困难群体的救助力度，特困供养、农村低保、社会保障兜底保障对象实现应保尽保，将各项社会保障政策落实到位。</w:t>
            </w:r>
          </w:p>
          <w:p>
            <w:pPr>
              <w:spacing w:line="360" w:lineRule="exact"/>
              <w:ind w:firstLine="480" w:firstLineChars="200"/>
              <w:jc w:val="left"/>
              <w:rPr>
                <w:rFonts w:hint="eastAsia" w:ascii="仿宋_GB2312" w:hAnsi="宋体" w:eastAsia="仿宋_GB2312" w:cs="宋体"/>
                <w:bCs/>
                <w:sz w:val="24"/>
              </w:rPr>
            </w:pPr>
            <w:r>
              <w:rPr>
                <w:rFonts w:hint="eastAsia" w:ascii="仿宋_GB2312" w:hAnsi="宋体" w:eastAsia="仿宋_GB2312" w:cs="宋体"/>
                <w:bCs/>
                <w:sz w:val="24"/>
              </w:rPr>
              <w:t>五、以安全生产为底线，全力以赴筑牢防线。</w:t>
            </w:r>
          </w:p>
          <w:p>
            <w:pPr>
              <w:spacing w:line="360" w:lineRule="exact"/>
              <w:ind w:firstLine="480" w:firstLineChars="200"/>
              <w:jc w:val="left"/>
              <w:rPr>
                <w:rFonts w:hint="eastAsia" w:ascii="仿宋_GB2312" w:hAnsi="宋体" w:eastAsia="仿宋_GB2312" w:cs="宋体"/>
                <w:sz w:val="24"/>
              </w:rPr>
            </w:pPr>
            <w:r>
              <w:rPr>
                <w:rFonts w:hint="eastAsia" w:ascii="仿宋_GB2312" w:hAnsi="宋体" w:eastAsia="仿宋_GB2312" w:cs="宋体"/>
                <w:bCs/>
                <w:sz w:val="24"/>
              </w:rPr>
              <w:t>层层落实安全生产责任制，重点面向八大行业领域，开展安全执法检查50余次，排查存在安全隐患48处并督促整改到位；积极开展“打非治违”，共立案查处2起并处罚金8000元，全年没有发生较大以上安全事故。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56" w:hRule="atLeast"/>
          <w:jc w:val="center"/>
        </w:trPr>
        <w:tc>
          <w:tcPr>
            <w:tcW w:w="1384" w:type="dxa"/>
            <w:vMerge w:val="restart"/>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存在的问题分析及改进措施</w:t>
            </w: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存在的问题</w:t>
            </w:r>
          </w:p>
        </w:tc>
        <w:tc>
          <w:tcPr>
            <w:tcW w:w="6193" w:type="dxa"/>
            <w:noWrap w:val="0"/>
            <w:vAlign w:val="center"/>
          </w:tcPr>
          <w:p>
            <w:pPr>
              <w:autoSpaceDE w:val="0"/>
              <w:spacing w:line="360" w:lineRule="exact"/>
              <w:ind w:firstLine="480" w:firstLineChars="200"/>
              <w:rPr>
                <w:rFonts w:hint="eastAsia" w:ascii="仿宋_GB2312" w:hAnsi="宋体" w:eastAsia="仿宋_GB2312" w:cs="宋体"/>
                <w:bCs/>
                <w:sz w:val="24"/>
              </w:rPr>
            </w:pPr>
            <w:r>
              <w:rPr>
                <w:rFonts w:hint="eastAsia" w:ascii="仿宋_GB2312" w:hAnsi="宋体" w:eastAsia="仿宋_GB2312" w:cs="宋体"/>
                <w:bCs/>
                <w:sz w:val="24"/>
              </w:rPr>
              <w:t>1、内控管理工作仍需加强。主要在预算编制与执行、政府采购、资产管理等方面措施有待完善。</w:t>
            </w:r>
          </w:p>
          <w:p>
            <w:pPr>
              <w:autoSpaceDE w:val="0"/>
              <w:spacing w:line="360" w:lineRule="exact"/>
              <w:ind w:firstLine="480" w:firstLineChars="200"/>
              <w:rPr>
                <w:rFonts w:hint="eastAsia" w:ascii="仿宋_GB2312" w:hAnsi="宋体" w:eastAsia="仿宋_GB2312" w:cs="宋体"/>
                <w:bCs/>
                <w:sz w:val="24"/>
              </w:rPr>
            </w:pPr>
            <w:r>
              <w:rPr>
                <w:rFonts w:hint="eastAsia" w:ascii="仿宋_GB2312" w:hAnsi="宋体" w:eastAsia="仿宋_GB2312" w:cs="宋体"/>
                <w:bCs/>
                <w:sz w:val="24"/>
              </w:rPr>
              <w:t>2、个别绩效目标设置不够细化，考核指标可衡量性不强，绩效指标体系有待完善。</w:t>
            </w:r>
          </w:p>
          <w:p>
            <w:pPr>
              <w:autoSpaceDE w:val="0"/>
              <w:spacing w:line="360" w:lineRule="exact"/>
              <w:ind w:firstLine="480" w:firstLineChars="200"/>
              <w:rPr>
                <w:rFonts w:hint="eastAsia" w:ascii="仿宋_GB2312" w:hAnsi="宋体" w:eastAsia="仿宋_GB2312"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noWrap w:val="0"/>
            <w:vAlign w:val="top"/>
          </w:tcPr>
          <w:p>
            <w:pPr>
              <w:spacing w:line="360" w:lineRule="exact"/>
              <w:jc w:val="center"/>
              <w:rPr>
                <w:rFonts w:hint="eastAsia" w:ascii="仿宋_GB2312" w:hAnsi="宋体" w:eastAsia="仿宋_GB2312" w:cs="宋体"/>
                <w:sz w:val="24"/>
              </w:rPr>
            </w:pP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改进措施</w:t>
            </w:r>
          </w:p>
        </w:tc>
        <w:tc>
          <w:tcPr>
            <w:tcW w:w="6193" w:type="dxa"/>
            <w:noWrap w:val="0"/>
            <w:vAlign w:val="center"/>
          </w:tcPr>
          <w:p>
            <w:pPr>
              <w:autoSpaceDE w:val="0"/>
              <w:spacing w:line="360" w:lineRule="exact"/>
              <w:ind w:firstLine="480" w:firstLineChars="200"/>
              <w:rPr>
                <w:rFonts w:hint="eastAsia" w:ascii="仿宋_GB2312" w:hAnsi="宋体" w:eastAsia="仿宋_GB2312" w:cs="宋体"/>
                <w:bCs/>
                <w:sz w:val="24"/>
              </w:rPr>
            </w:pPr>
            <w:r>
              <w:rPr>
                <w:rFonts w:hint="eastAsia" w:ascii="仿宋_GB2312" w:hAnsi="宋体" w:eastAsia="仿宋_GB2312" w:cs="宋体"/>
                <w:bCs/>
                <w:sz w:val="24"/>
              </w:rPr>
              <w:t>1、深入推进内控制度建设，对预算业务、收支业务、政府采购业务、资产管理业务、合同管理业务等各项经济业务流程进行全面梳理，明确各项业务的目标、范围、内容、流程、环节以及相应的部门岗位。</w:t>
            </w:r>
          </w:p>
          <w:p>
            <w:pPr>
              <w:autoSpaceDE w:val="0"/>
              <w:spacing w:line="360" w:lineRule="exact"/>
              <w:ind w:firstLine="480" w:firstLineChars="200"/>
              <w:rPr>
                <w:rFonts w:hint="eastAsia" w:ascii="仿宋_GB2312" w:hAnsi="宋体" w:eastAsia="仿宋_GB2312" w:cs="宋体"/>
                <w:bCs/>
                <w:sz w:val="24"/>
              </w:rPr>
            </w:pPr>
            <w:r>
              <w:rPr>
                <w:rFonts w:hint="eastAsia" w:ascii="仿宋_GB2312" w:hAnsi="宋体" w:eastAsia="仿宋_GB2312" w:cs="宋体"/>
                <w:bCs/>
                <w:sz w:val="24"/>
              </w:rPr>
              <w:t>2、严格按照预算绩效评价的相关制度和要求，进一步加强预算目标的可考核性，细化绩效目标，完善适应本单位管理特点的预算绩效指标体系，不断规范和加强预算绩效评价工作。</w:t>
            </w:r>
          </w:p>
          <w:p>
            <w:pPr>
              <w:autoSpaceDE w:val="0"/>
              <w:spacing w:line="360" w:lineRule="exact"/>
              <w:ind w:firstLine="480" w:firstLineChars="200"/>
              <w:rPr>
                <w:rFonts w:hint="eastAsia" w:ascii="仿宋_GB2312" w:hAnsi="宋体" w:eastAsia="仿宋_GB2312" w:cs="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00" w:hRule="atLeast"/>
          <w:jc w:val="center"/>
        </w:trPr>
        <w:tc>
          <w:tcPr>
            <w:tcW w:w="1384" w:type="dxa"/>
            <w:vMerge w:val="continue"/>
            <w:noWrap w:val="0"/>
            <w:vAlign w:val="top"/>
          </w:tcPr>
          <w:p>
            <w:pPr>
              <w:spacing w:line="360" w:lineRule="exact"/>
              <w:jc w:val="center"/>
              <w:rPr>
                <w:rFonts w:hint="eastAsia" w:ascii="仿宋_GB2312" w:hAnsi="宋体" w:eastAsia="仿宋_GB2312" w:cs="宋体"/>
                <w:sz w:val="24"/>
              </w:rPr>
            </w:pPr>
          </w:p>
        </w:tc>
        <w:tc>
          <w:tcPr>
            <w:tcW w:w="1985" w:type="dxa"/>
            <w:noWrap w:val="0"/>
            <w:vAlign w:val="center"/>
          </w:tcPr>
          <w:p>
            <w:pPr>
              <w:spacing w:line="360" w:lineRule="exact"/>
              <w:jc w:val="center"/>
              <w:rPr>
                <w:rFonts w:hint="eastAsia" w:ascii="仿宋_GB2312" w:hAnsi="宋体" w:eastAsia="仿宋_GB2312" w:cs="宋体"/>
                <w:sz w:val="24"/>
              </w:rPr>
            </w:pPr>
            <w:r>
              <w:rPr>
                <w:rFonts w:hint="eastAsia" w:ascii="仿宋_GB2312" w:hAnsi="宋体" w:eastAsia="仿宋_GB2312" w:cs="宋体"/>
                <w:sz w:val="24"/>
              </w:rPr>
              <w:t>其他需要说明问题</w:t>
            </w:r>
          </w:p>
        </w:tc>
        <w:tc>
          <w:tcPr>
            <w:tcW w:w="6193" w:type="dxa"/>
            <w:noWrap w:val="0"/>
            <w:vAlign w:val="center"/>
          </w:tcPr>
          <w:p>
            <w:pPr>
              <w:spacing w:line="360" w:lineRule="exact"/>
              <w:ind w:right="879" w:rightChars="419"/>
              <w:jc w:val="center"/>
              <w:rPr>
                <w:rFonts w:hint="eastAsia" w:ascii="仿宋_GB2312" w:hAnsi="宋体" w:eastAsia="仿宋_GB2312" w:cs="宋体"/>
                <w:sz w:val="24"/>
              </w:rPr>
            </w:pPr>
            <w:r>
              <w:rPr>
                <w:rFonts w:hint="eastAsia" w:ascii="仿宋_GB2312" w:hAnsi="宋体" w:eastAsia="仿宋_GB2312" w:cs="宋体"/>
                <w:sz w:val="24"/>
              </w:rPr>
              <w:t>无</w:t>
            </w:r>
          </w:p>
        </w:tc>
      </w:tr>
    </w:tbl>
    <w:p>
      <w:pPr>
        <w:widowControl/>
        <w:spacing w:line="360" w:lineRule="exact"/>
        <w:jc w:val="left"/>
        <w:rPr>
          <w:rFonts w:hint="eastAsia" w:ascii="仿宋_GB2312" w:hAnsi="黑体" w:eastAsia="仿宋_GB2312" w:cs="黑体"/>
          <w:color w:val="000000"/>
          <w:sz w:val="32"/>
          <w:szCs w:val="32"/>
        </w:rPr>
      </w:pPr>
    </w:p>
    <w:p>
      <w:pPr>
        <w:widowControl/>
        <w:spacing w:line="360" w:lineRule="exact"/>
        <w:jc w:val="left"/>
        <w:rPr>
          <w:rFonts w:hint="eastAsia" w:ascii="仿宋_GB2312" w:hAnsi="黑体" w:eastAsia="仿宋_GB2312" w:cs="黑体"/>
          <w:color w:val="000000"/>
          <w:sz w:val="32"/>
          <w:szCs w:val="32"/>
        </w:rPr>
      </w:pPr>
    </w:p>
    <w:p>
      <w:pPr>
        <w:spacing w:line="360" w:lineRule="exact"/>
      </w:pP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476C1A5-0DA7-4832-A164-570F77201EAC}"/>
  </w:font>
  <w:font w:name="黑体">
    <w:panose1 w:val="02010609060101010101"/>
    <w:charset w:val="86"/>
    <w:family w:val="auto"/>
    <w:pitch w:val="default"/>
    <w:sig w:usb0="800002BF" w:usb1="38CF7CFA" w:usb2="00000016" w:usb3="00000000" w:csb0="00040001" w:csb1="00000000"/>
    <w:embedRegular r:id="rId2" w:fontKey="{D9B90FCA-670D-4426-8C76-6F919FF943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embedRegular r:id="rId3" w:fontKey="{FD3C60B9-8965-4D75-9AF6-48B7D864D3FD}"/>
  </w:font>
  <w:font w:name="仿宋">
    <w:panose1 w:val="02010609060101010101"/>
    <w:charset w:val="86"/>
    <w:family w:val="auto"/>
    <w:pitch w:val="default"/>
    <w:sig w:usb0="800002BF" w:usb1="38CF7CFA" w:usb2="00000016" w:usb3="00000000" w:csb0="00040001" w:csb1="00000000"/>
    <w:embedRegular r:id="rId4" w:fontKey="{23F356A3-8E35-4F66-9CDF-6246AE784B67}"/>
  </w:font>
  <w:font w:name="方正小标宋_GBK">
    <w:panose1 w:val="02000000000000000000"/>
    <w:charset w:val="86"/>
    <w:family w:val="script"/>
    <w:pitch w:val="default"/>
    <w:sig w:usb0="A00002BF" w:usb1="38CF7CFA" w:usb2="00082016" w:usb3="00000000" w:csb0="00040001" w:csb1="00000000"/>
    <w:embedRegular r:id="rId5" w:fontKey="{03066CFF-597E-4CC9-85D7-5651153CD2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CAC7850"/>
    <w:multiLevelType w:val="singleLevel"/>
    <w:tmpl w:val="3CAC7850"/>
    <w:lvl w:ilvl="0" w:tentative="0">
      <w:start w:val="1"/>
      <w:numFmt w:val="chineseCounting"/>
      <w:suff w:val="nothing"/>
      <w:lvlText w:val="%1、"/>
      <w:lvlJc w:val="left"/>
      <w:rPr>
        <w:rFonts w:hint="eastAsia"/>
      </w:rPr>
    </w:lvl>
  </w:abstractNum>
  <w:abstractNum w:abstractNumId="2">
    <w:nsid w:val="3CFB28B9"/>
    <w:multiLevelType w:val="multilevel"/>
    <w:tmpl w:val="3CFB28B9"/>
    <w:lvl w:ilvl="0" w:tentative="0">
      <w:start w:val="1"/>
      <w:numFmt w:val="japaneseCounting"/>
      <w:lvlText w:val="（%1）"/>
      <w:lvlJc w:val="left"/>
      <w:pPr>
        <w:ind w:left="2260" w:hanging="1620"/>
      </w:pPr>
      <w:rPr>
        <w:rFonts w:hint="default" w:ascii="仿宋" w:hAnsi="仿宋" w:eastAsia="仿宋"/>
        <w:sz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2ZTRjZTlkMDYyNzdhMmZlY2ZjN2FkNjEzOGZjYjUifQ=="/>
  </w:docVars>
  <w:rsids>
    <w:rsidRoot w:val="004506F9"/>
    <w:rsid w:val="0002229B"/>
    <w:rsid w:val="000273BD"/>
    <w:rsid w:val="00036945"/>
    <w:rsid w:val="000415B7"/>
    <w:rsid w:val="00041E3F"/>
    <w:rsid w:val="00055DAA"/>
    <w:rsid w:val="00061F7B"/>
    <w:rsid w:val="000658A3"/>
    <w:rsid w:val="00074155"/>
    <w:rsid w:val="00096B56"/>
    <w:rsid w:val="000A3F69"/>
    <w:rsid w:val="000B740D"/>
    <w:rsid w:val="00103957"/>
    <w:rsid w:val="0013638F"/>
    <w:rsid w:val="00152C6D"/>
    <w:rsid w:val="00162D39"/>
    <w:rsid w:val="001678BD"/>
    <w:rsid w:val="001A67DB"/>
    <w:rsid w:val="001C3C29"/>
    <w:rsid w:val="001C71E1"/>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640F"/>
    <w:rsid w:val="0042790C"/>
    <w:rsid w:val="004506F9"/>
    <w:rsid w:val="004717A2"/>
    <w:rsid w:val="00473DF3"/>
    <w:rsid w:val="00487911"/>
    <w:rsid w:val="00491741"/>
    <w:rsid w:val="004C0F46"/>
    <w:rsid w:val="004F418F"/>
    <w:rsid w:val="004F4C46"/>
    <w:rsid w:val="00500E5F"/>
    <w:rsid w:val="00502B06"/>
    <w:rsid w:val="005122EF"/>
    <w:rsid w:val="0051441A"/>
    <w:rsid w:val="00517C33"/>
    <w:rsid w:val="00523644"/>
    <w:rsid w:val="0054069E"/>
    <w:rsid w:val="00544866"/>
    <w:rsid w:val="005767CC"/>
    <w:rsid w:val="00590D9F"/>
    <w:rsid w:val="00595D26"/>
    <w:rsid w:val="005A74E6"/>
    <w:rsid w:val="005B404E"/>
    <w:rsid w:val="005C7EA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20C6"/>
    <w:rsid w:val="00727A53"/>
    <w:rsid w:val="00734463"/>
    <w:rsid w:val="00787B42"/>
    <w:rsid w:val="00796D8B"/>
    <w:rsid w:val="007A4966"/>
    <w:rsid w:val="007C4539"/>
    <w:rsid w:val="007F3657"/>
    <w:rsid w:val="00812ED5"/>
    <w:rsid w:val="008277D9"/>
    <w:rsid w:val="00836907"/>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01D60"/>
    <w:rsid w:val="00B33BEA"/>
    <w:rsid w:val="00B57C9F"/>
    <w:rsid w:val="00B617DF"/>
    <w:rsid w:val="00B624D8"/>
    <w:rsid w:val="00B63572"/>
    <w:rsid w:val="00B844C7"/>
    <w:rsid w:val="00B845B3"/>
    <w:rsid w:val="00B85D8B"/>
    <w:rsid w:val="00B95CE9"/>
    <w:rsid w:val="00BB4A40"/>
    <w:rsid w:val="00BB5A02"/>
    <w:rsid w:val="00BD6C3E"/>
    <w:rsid w:val="00BE3674"/>
    <w:rsid w:val="00C10681"/>
    <w:rsid w:val="00C3049A"/>
    <w:rsid w:val="00C31B1E"/>
    <w:rsid w:val="00C33CA7"/>
    <w:rsid w:val="00C77645"/>
    <w:rsid w:val="00CE04C3"/>
    <w:rsid w:val="00CE76A0"/>
    <w:rsid w:val="00D148C6"/>
    <w:rsid w:val="00D17A8A"/>
    <w:rsid w:val="00D415BA"/>
    <w:rsid w:val="00D644EE"/>
    <w:rsid w:val="00DA6C49"/>
    <w:rsid w:val="00DD06FF"/>
    <w:rsid w:val="00DD5FE9"/>
    <w:rsid w:val="00E00C7A"/>
    <w:rsid w:val="00E37D6C"/>
    <w:rsid w:val="00E53A61"/>
    <w:rsid w:val="00E55B68"/>
    <w:rsid w:val="00E67BE6"/>
    <w:rsid w:val="00E801EF"/>
    <w:rsid w:val="00E8683C"/>
    <w:rsid w:val="00EA2B72"/>
    <w:rsid w:val="00EC54FF"/>
    <w:rsid w:val="00F74360"/>
    <w:rsid w:val="00FB462F"/>
    <w:rsid w:val="00FE16FA"/>
    <w:rsid w:val="00FE328A"/>
    <w:rsid w:val="00FE6269"/>
    <w:rsid w:val="02302868"/>
    <w:rsid w:val="02AA4A69"/>
    <w:rsid w:val="06082158"/>
    <w:rsid w:val="08FD2C99"/>
    <w:rsid w:val="0BDF7825"/>
    <w:rsid w:val="0E46348A"/>
    <w:rsid w:val="0FE424DD"/>
    <w:rsid w:val="133E04B0"/>
    <w:rsid w:val="146F199D"/>
    <w:rsid w:val="159857C1"/>
    <w:rsid w:val="219C4390"/>
    <w:rsid w:val="291D48C0"/>
    <w:rsid w:val="291E5190"/>
    <w:rsid w:val="2C287922"/>
    <w:rsid w:val="2C3C5D79"/>
    <w:rsid w:val="2CBC5258"/>
    <w:rsid w:val="3306205F"/>
    <w:rsid w:val="3662398F"/>
    <w:rsid w:val="3B40537C"/>
    <w:rsid w:val="3C342341"/>
    <w:rsid w:val="3C8C28FA"/>
    <w:rsid w:val="3DC86AB7"/>
    <w:rsid w:val="41042D75"/>
    <w:rsid w:val="42E262FF"/>
    <w:rsid w:val="488022EE"/>
    <w:rsid w:val="49484FEF"/>
    <w:rsid w:val="4F474090"/>
    <w:rsid w:val="50C926C4"/>
    <w:rsid w:val="522441E3"/>
    <w:rsid w:val="52523980"/>
    <w:rsid w:val="59036C6A"/>
    <w:rsid w:val="59191CEE"/>
    <w:rsid w:val="59463083"/>
    <w:rsid w:val="5CCF21CD"/>
    <w:rsid w:val="63C865B6"/>
    <w:rsid w:val="6AF05F8C"/>
    <w:rsid w:val="6CDC4E14"/>
    <w:rsid w:val="6DC50FAA"/>
    <w:rsid w:val="78995DBE"/>
    <w:rsid w:val="7E625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hint="eastAsia" w:ascii="宋体" w:hAnsi="宋体"/>
      <w:b/>
      <w:sz w:val="21"/>
    </w:rPr>
  </w:style>
  <w:style w:type="paragraph" w:styleId="3">
    <w:name w:val="Balloon Text"/>
    <w:basedOn w:val="1"/>
    <w:link w:val="13"/>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cs="Times New Roman"/>
      <w:kern w:val="0"/>
      <w:sz w:val="24"/>
      <w:szCs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3"/>
    <w:semiHidden/>
    <w:qFormat/>
    <w:uiPriority w:val="99"/>
    <w:rPr>
      <w:sz w:val="18"/>
      <w:szCs w:val="18"/>
    </w:rPr>
  </w:style>
  <w:style w:type="paragraph" w:customStyle="1" w:styleId="14">
    <w:name w:val="列出段落1"/>
    <w:basedOn w:val="1"/>
    <w:qFormat/>
    <w:uiPriority w:val="0"/>
    <w:pPr>
      <w:ind w:firstLine="420" w:firstLineChars="200"/>
    </w:pPr>
    <w:rPr>
      <w:rFonts w:ascii="Calibri" w:hAnsi="Calibri" w:eastAsia="宋体" w:cs="Times New Roman"/>
    </w:rPr>
  </w:style>
  <w:style w:type="character" w:customStyle="1" w:styleId="15">
    <w:name w:val="font1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74D276-8AEF-4272-A769-761EC28421B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33</Pages>
  <Words>10141</Words>
  <Characters>13940</Characters>
  <Lines>141</Lines>
  <Paragraphs>39</Paragraphs>
  <TotalTime>13</TotalTime>
  <ScaleCrop>false</ScaleCrop>
  <LinksUpToDate>false</LinksUpToDate>
  <CharactersWithSpaces>14546</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2021-08-08T05:56:00Z</dcterms:created>
  <dc:creator>李航 null</dc:creator>
  <cp:lastModifiedBy>WPS_1576728322</cp:lastModifiedBy>
  <cp:lastPrinted>2021-08-08T06:02:00Z</cp:lastPrinted>
  <dcterms:modified xsi:type="dcterms:W3CDTF">2023-07-02T06:21:40Z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C6EA323C4066427A85D3FF34EADE8172</vt:lpwstr>
  </property>
</Properties>
</file>