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1"/>
        <w:jc w:val="center"/>
        <w:rPr>
          <w:rFonts w:hint="eastAsia" w:ascii="仿宋" w:hAnsi="仿宋" w:eastAsia="仿宋"/>
          <w:sz w:val="52"/>
          <w:szCs w:val="52"/>
          <w:lang w:eastAsia="zh-CN"/>
        </w:rPr>
      </w:pPr>
      <w:r>
        <w:rPr>
          <w:rFonts w:ascii="仿宋" w:hAnsi="仿宋" w:eastAsia="仿宋"/>
          <w:sz w:val="52"/>
          <w:szCs w:val="52"/>
        </w:rPr>
        <w:t>20</w:t>
      </w:r>
      <w:r>
        <w:rPr>
          <w:rFonts w:hint="eastAsia" w:ascii="仿宋" w:hAnsi="仿宋" w:eastAsia="仿宋"/>
          <w:sz w:val="52"/>
          <w:szCs w:val="52"/>
        </w:rPr>
        <w:t>21年度云湖桥镇</w:t>
      </w:r>
      <w:r>
        <w:rPr>
          <w:rFonts w:hint="eastAsia" w:ascii="仿宋" w:hAnsi="仿宋" w:eastAsia="仿宋"/>
          <w:sz w:val="52"/>
          <w:szCs w:val="52"/>
          <w:lang w:eastAsia="zh-CN"/>
        </w:rPr>
        <w:t>人民政府</w:t>
      </w:r>
    </w:p>
    <w:p>
      <w:pPr>
        <w:pStyle w:val="51"/>
        <w:jc w:val="center"/>
        <w:rPr>
          <w:rFonts w:ascii="仿宋" w:hAnsi="仿宋" w:eastAsia="仿宋"/>
          <w:sz w:val="52"/>
          <w:szCs w:val="52"/>
        </w:rPr>
      </w:pPr>
      <w:r>
        <w:rPr>
          <w:rFonts w:hint="eastAsia" w:ascii="仿宋" w:hAnsi="仿宋" w:eastAsia="仿宋"/>
          <w:sz w:val="52"/>
          <w:szCs w:val="52"/>
        </w:rPr>
        <w:t>决算公开</w:t>
      </w:r>
    </w:p>
    <w:p>
      <w:pPr>
        <w:spacing w:line="600" w:lineRule="exact"/>
        <w:jc w:val="center"/>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目录</w:t>
      </w:r>
    </w:p>
    <w:p>
      <w:pPr>
        <w:spacing w:line="600" w:lineRule="exact"/>
        <w:ind w:firstLine="643"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第一部分 :云湖桥镇概况</w:t>
      </w:r>
    </w:p>
    <w:p>
      <w:pPr>
        <w:pStyle w:val="51"/>
        <w:spacing w:line="600" w:lineRule="exact"/>
        <w:ind w:firstLine="787" w:firstLineChars="246"/>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一、部门职责</w:t>
      </w:r>
    </w:p>
    <w:p>
      <w:pPr>
        <w:pStyle w:val="5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二、机构设置</w:t>
      </w:r>
    </w:p>
    <w:p>
      <w:pPr>
        <w:spacing w:line="600" w:lineRule="exact"/>
        <w:ind w:firstLine="643"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第二部分: 2021年部门决算表</w:t>
      </w:r>
    </w:p>
    <w:p>
      <w:pPr>
        <w:pStyle w:val="5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一、部门收支</w:t>
      </w:r>
      <w:r>
        <w:rPr>
          <w:rFonts w:ascii="Times New Roman" w:hAnsi="Times New Roman" w:eastAsia="仿宋_GB2312" w:cs="Times New Roman"/>
          <w:sz w:val="32"/>
          <w:szCs w:val="32"/>
        </w:rPr>
        <w:t>决算总表</w:t>
      </w:r>
    </w:p>
    <w:p>
      <w:pPr>
        <w:pStyle w:val="5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二、部门</w:t>
      </w:r>
      <w:r>
        <w:rPr>
          <w:rFonts w:ascii="Times New Roman" w:hAnsi="Times New Roman" w:eastAsia="仿宋_GB2312" w:cs="Times New Roman"/>
          <w:sz w:val="32"/>
          <w:szCs w:val="32"/>
        </w:rPr>
        <w:t>收入决算表</w:t>
      </w:r>
    </w:p>
    <w:p>
      <w:pPr>
        <w:pStyle w:val="5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三、部门</w:t>
      </w:r>
      <w:r>
        <w:rPr>
          <w:rFonts w:ascii="Times New Roman" w:hAnsi="Times New Roman" w:eastAsia="仿宋_GB2312" w:cs="Times New Roman"/>
          <w:sz w:val="32"/>
          <w:szCs w:val="32"/>
        </w:rPr>
        <w:t>支出决算表</w:t>
      </w:r>
    </w:p>
    <w:p>
      <w:pPr>
        <w:pStyle w:val="5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财政拨款</w:t>
      </w:r>
      <w:r>
        <w:rPr>
          <w:rFonts w:hint="eastAsia" w:ascii="Times New Roman" w:hAnsi="Times New Roman" w:eastAsia="仿宋_GB2312" w:cs="Times New Roman"/>
          <w:sz w:val="32"/>
          <w:szCs w:val="32"/>
        </w:rPr>
        <w:t>收支</w:t>
      </w:r>
      <w:r>
        <w:rPr>
          <w:rFonts w:ascii="Times New Roman" w:hAnsi="Times New Roman" w:eastAsia="仿宋_GB2312" w:cs="Times New Roman"/>
          <w:sz w:val="32"/>
          <w:szCs w:val="32"/>
        </w:rPr>
        <w:t>决算总表</w:t>
      </w:r>
    </w:p>
    <w:p>
      <w:pPr>
        <w:pStyle w:val="5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一般公共预算财政拨款支出决算表</w:t>
      </w:r>
    </w:p>
    <w:p>
      <w:pPr>
        <w:pStyle w:val="5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一般公共预算财政拨款基本支出决算表</w:t>
      </w:r>
    </w:p>
    <w:p>
      <w:pPr>
        <w:pStyle w:val="5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w:t>
      </w:r>
      <w:r>
        <w:rPr>
          <w:rFonts w:ascii="Times New Roman" w:hAnsi="Times New Roman" w:eastAsia="仿宋_GB2312" w:cs="Times New Roman"/>
          <w:sz w:val="32"/>
          <w:szCs w:val="32"/>
        </w:rPr>
        <w:t>一般公共预算财政拨款“三公”经费支出决算表</w:t>
      </w:r>
    </w:p>
    <w:p>
      <w:pPr>
        <w:pStyle w:val="5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八、</w:t>
      </w:r>
      <w:r>
        <w:rPr>
          <w:rFonts w:ascii="Times New Roman" w:hAnsi="Times New Roman" w:eastAsia="仿宋_GB2312" w:cs="Times New Roman"/>
          <w:sz w:val="32"/>
          <w:szCs w:val="32"/>
        </w:rPr>
        <w:t>政府性基金预算财政拨款收入支出决算表</w:t>
      </w:r>
    </w:p>
    <w:p>
      <w:pPr>
        <w:pStyle w:val="5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九、国有资本经营预算财政拨款支出决算表</w:t>
      </w:r>
    </w:p>
    <w:p>
      <w:pPr>
        <w:spacing w:line="600" w:lineRule="exact"/>
        <w:ind w:firstLine="643"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第三部分 2021年度部门决算情况说明</w:t>
      </w:r>
    </w:p>
    <w:p>
      <w:pPr>
        <w:pStyle w:val="51"/>
        <w:keepNext w:val="0"/>
        <w:keepLines w:val="0"/>
        <w:pageBreakBefore w:val="0"/>
        <w:kinsoku/>
        <w:wordWrap/>
        <w:overflowPunct/>
        <w:topLinePunct w:val="0"/>
        <w:bidi w:val="0"/>
        <w:snapToGrid/>
        <w:spacing w:line="600" w:lineRule="exact"/>
        <w:ind w:firstLine="800" w:firstLineChars="25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收入支出决算总体情况说明</w:t>
      </w:r>
    </w:p>
    <w:p>
      <w:pPr>
        <w:keepNext w:val="0"/>
        <w:keepLines w:val="0"/>
        <w:pageBreakBefore w:val="0"/>
        <w:kinsoku/>
        <w:wordWrap/>
        <w:overflowPunct/>
        <w:topLinePunct w:val="0"/>
        <w:bidi w:val="0"/>
        <w:snapToGrid/>
        <w:spacing w:after="0" w:line="600" w:lineRule="exact"/>
        <w:ind w:firstLine="800" w:firstLineChars="250"/>
        <w:textAlignment w:val="auto"/>
        <w:rPr>
          <w:rFonts w:eastAsia="仿宋_GB2312"/>
          <w:sz w:val="32"/>
          <w:szCs w:val="32"/>
          <w:lang w:eastAsia="zh-CN"/>
        </w:rPr>
      </w:pPr>
      <w:r>
        <w:rPr>
          <w:rFonts w:hint="eastAsia" w:eastAsia="仿宋_GB2312"/>
          <w:sz w:val="32"/>
          <w:szCs w:val="32"/>
          <w:lang w:eastAsia="zh-CN"/>
        </w:rPr>
        <w:t>二、</w:t>
      </w:r>
      <w:r>
        <w:rPr>
          <w:rFonts w:eastAsia="仿宋_GB2312"/>
          <w:sz w:val="32"/>
          <w:szCs w:val="32"/>
          <w:lang w:eastAsia="zh-CN"/>
        </w:rPr>
        <w:t>收入决算情况说明</w:t>
      </w:r>
    </w:p>
    <w:p>
      <w:pPr>
        <w:keepNext w:val="0"/>
        <w:keepLines w:val="0"/>
        <w:pageBreakBefore w:val="0"/>
        <w:widowControl/>
        <w:kinsoku/>
        <w:wordWrap/>
        <w:overflowPunct/>
        <w:topLinePunct w:val="0"/>
        <w:autoSpaceDE w:val="0"/>
        <w:autoSpaceDN w:val="0"/>
        <w:bidi w:val="0"/>
        <w:adjustRightInd w:val="0"/>
        <w:snapToGrid/>
        <w:spacing w:after="0" w:line="600" w:lineRule="exact"/>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三、</w:t>
      </w:r>
      <w:r>
        <w:rPr>
          <w:rFonts w:eastAsia="仿宋_GB2312"/>
          <w:color w:val="000000"/>
          <w:sz w:val="32"/>
          <w:szCs w:val="32"/>
          <w:lang w:eastAsia="zh-CN"/>
        </w:rPr>
        <w:t>支出决算情况说明</w:t>
      </w:r>
    </w:p>
    <w:p>
      <w:pPr>
        <w:keepNext w:val="0"/>
        <w:keepLines w:val="0"/>
        <w:pageBreakBefore w:val="0"/>
        <w:widowControl/>
        <w:kinsoku/>
        <w:wordWrap/>
        <w:overflowPunct/>
        <w:topLinePunct w:val="0"/>
        <w:autoSpaceDE w:val="0"/>
        <w:autoSpaceDN w:val="0"/>
        <w:bidi w:val="0"/>
        <w:adjustRightInd w:val="0"/>
        <w:snapToGrid/>
        <w:spacing w:after="0" w:line="600" w:lineRule="exact"/>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四、</w:t>
      </w:r>
      <w:r>
        <w:rPr>
          <w:rFonts w:eastAsia="仿宋_GB2312"/>
          <w:color w:val="000000"/>
          <w:sz w:val="32"/>
          <w:szCs w:val="32"/>
          <w:lang w:eastAsia="zh-CN"/>
        </w:rPr>
        <w:t>财政拨款收入支出决算总体情况说明</w:t>
      </w:r>
    </w:p>
    <w:p>
      <w:pPr>
        <w:keepNext w:val="0"/>
        <w:keepLines w:val="0"/>
        <w:pageBreakBefore w:val="0"/>
        <w:kinsoku/>
        <w:wordWrap/>
        <w:overflowPunct/>
        <w:topLinePunct w:val="0"/>
        <w:autoSpaceDE w:val="0"/>
        <w:autoSpaceDN w:val="0"/>
        <w:bidi w:val="0"/>
        <w:adjustRightInd w:val="0"/>
        <w:snapToGrid/>
        <w:spacing w:after="0" w:line="600" w:lineRule="exact"/>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五、</w:t>
      </w:r>
      <w:r>
        <w:rPr>
          <w:rFonts w:eastAsia="仿宋_GB2312"/>
          <w:color w:val="000000"/>
          <w:sz w:val="32"/>
          <w:szCs w:val="32"/>
          <w:lang w:eastAsia="zh-CN"/>
        </w:rPr>
        <w:t>一般公共预算财政拨款支出决算情况说明</w:t>
      </w:r>
    </w:p>
    <w:p>
      <w:pPr>
        <w:keepNext w:val="0"/>
        <w:keepLines w:val="0"/>
        <w:pageBreakBefore w:val="0"/>
        <w:kinsoku/>
        <w:wordWrap/>
        <w:overflowPunct/>
        <w:topLinePunct w:val="0"/>
        <w:autoSpaceDE w:val="0"/>
        <w:autoSpaceDN w:val="0"/>
        <w:bidi w:val="0"/>
        <w:adjustRightInd w:val="0"/>
        <w:snapToGrid/>
        <w:spacing w:after="0" w:line="600" w:lineRule="exact"/>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六、</w:t>
      </w:r>
      <w:r>
        <w:rPr>
          <w:rFonts w:eastAsia="仿宋_GB2312"/>
          <w:color w:val="000000"/>
          <w:sz w:val="32"/>
          <w:szCs w:val="32"/>
          <w:lang w:eastAsia="zh-CN"/>
        </w:rPr>
        <w:t>一般公共预算财政拨款基本支出决算情况说明</w:t>
      </w:r>
    </w:p>
    <w:p>
      <w:pPr>
        <w:keepNext w:val="0"/>
        <w:keepLines w:val="0"/>
        <w:pageBreakBefore w:val="0"/>
        <w:kinsoku/>
        <w:wordWrap/>
        <w:overflowPunct/>
        <w:topLinePunct w:val="0"/>
        <w:autoSpaceDE w:val="0"/>
        <w:autoSpaceDN w:val="0"/>
        <w:bidi w:val="0"/>
        <w:adjustRightInd w:val="0"/>
        <w:snapToGrid/>
        <w:spacing w:after="0" w:line="600" w:lineRule="exact"/>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七、</w:t>
      </w:r>
      <w:r>
        <w:rPr>
          <w:rFonts w:eastAsia="仿宋_GB2312"/>
          <w:color w:val="000000"/>
          <w:sz w:val="32"/>
          <w:szCs w:val="32"/>
          <w:lang w:eastAsia="zh-CN"/>
        </w:rPr>
        <w:t>一般公共预算财政拨款三公经费支出决算情况说明</w:t>
      </w:r>
    </w:p>
    <w:p>
      <w:pPr>
        <w:keepNext w:val="0"/>
        <w:keepLines w:val="0"/>
        <w:pageBreakBefore w:val="0"/>
        <w:kinsoku/>
        <w:wordWrap/>
        <w:overflowPunct/>
        <w:topLinePunct w:val="0"/>
        <w:autoSpaceDE w:val="0"/>
        <w:autoSpaceDN w:val="0"/>
        <w:bidi w:val="0"/>
        <w:adjustRightInd w:val="0"/>
        <w:snapToGrid/>
        <w:spacing w:after="0" w:line="600" w:lineRule="exact"/>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八、</w:t>
      </w:r>
      <w:r>
        <w:rPr>
          <w:rFonts w:eastAsia="仿宋_GB2312"/>
          <w:color w:val="000000"/>
          <w:sz w:val="32"/>
          <w:szCs w:val="32"/>
          <w:lang w:eastAsia="zh-CN"/>
        </w:rPr>
        <w:t>政府性基金预算收入支出决算情况</w:t>
      </w:r>
    </w:p>
    <w:p>
      <w:pPr>
        <w:keepNext w:val="0"/>
        <w:keepLines w:val="0"/>
        <w:pageBreakBefore w:val="0"/>
        <w:kinsoku/>
        <w:wordWrap/>
        <w:overflowPunct/>
        <w:topLinePunct w:val="0"/>
        <w:autoSpaceDE w:val="0"/>
        <w:autoSpaceDN w:val="0"/>
        <w:bidi w:val="0"/>
        <w:adjustRightInd w:val="0"/>
        <w:snapToGrid/>
        <w:spacing w:after="0" w:line="600" w:lineRule="exact"/>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九、国有资本经营预算财政拨款支出决算情况</w:t>
      </w:r>
    </w:p>
    <w:p>
      <w:pPr>
        <w:keepNext w:val="0"/>
        <w:keepLines w:val="0"/>
        <w:pageBreakBefore w:val="0"/>
        <w:kinsoku/>
        <w:wordWrap/>
        <w:overflowPunct/>
        <w:topLinePunct w:val="0"/>
        <w:autoSpaceDE w:val="0"/>
        <w:autoSpaceDN w:val="0"/>
        <w:bidi w:val="0"/>
        <w:adjustRightInd w:val="0"/>
        <w:snapToGrid/>
        <w:spacing w:after="0" w:line="600" w:lineRule="exact"/>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十、</w:t>
      </w:r>
      <w:r>
        <w:rPr>
          <w:rFonts w:eastAsia="仿宋_GB2312"/>
          <w:color w:val="000000"/>
          <w:sz w:val="32"/>
          <w:szCs w:val="32"/>
          <w:lang w:eastAsia="zh-CN"/>
        </w:rPr>
        <w:t>预算绩效情况说明</w:t>
      </w:r>
    </w:p>
    <w:p>
      <w:pPr>
        <w:keepNext w:val="0"/>
        <w:keepLines w:val="0"/>
        <w:pageBreakBefore w:val="0"/>
        <w:kinsoku/>
        <w:wordWrap/>
        <w:overflowPunct/>
        <w:topLinePunct w:val="0"/>
        <w:autoSpaceDE w:val="0"/>
        <w:autoSpaceDN w:val="0"/>
        <w:bidi w:val="0"/>
        <w:adjustRightInd w:val="0"/>
        <w:snapToGrid/>
        <w:spacing w:after="0" w:line="600" w:lineRule="exact"/>
        <w:ind w:firstLine="800" w:firstLineChars="250"/>
        <w:textAlignment w:val="auto"/>
        <w:rPr>
          <w:rFonts w:eastAsia="仿宋_GB2312"/>
          <w:color w:val="000000"/>
          <w:sz w:val="32"/>
          <w:szCs w:val="32"/>
          <w:lang w:eastAsia="zh-CN"/>
        </w:rPr>
      </w:pPr>
      <w:r>
        <w:rPr>
          <w:rFonts w:hint="eastAsia" w:eastAsia="仿宋_GB2312"/>
          <w:color w:val="000000"/>
          <w:sz w:val="32"/>
          <w:szCs w:val="32"/>
          <w:lang w:eastAsia="zh-CN"/>
        </w:rPr>
        <w:t>十一、</w:t>
      </w:r>
      <w:r>
        <w:rPr>
          <w:rFonts w:eastAsia="仿宋_GB2312"/>
          <w:color w:val="000000"/>
          <w:sz w:val="32"/>
          <w:szCs w:val="32"/>
          <w:lang w:eastAsia="zh-CN"/>
        </w:rPr>
        <w:t>其他重要事项情况说</w:t>
      </w:r>
      <w:r>
        <w:rPr>
          <w:rFonts w:hint="eastAsia" w:ascii="Times New Roman" w:hAnsi="Times New Roman" w:eastAsia="仿宋_GB2312" w:cs="Times New Roman"/>
          <w:color w:val="000000"/>
          <w:sz w:val="32"/>
          <w:szCs w:val="32"/>
          <w:lang w:val="en-US" w:eastAsia="zh-CN" w:bidi="ar-SA"/>
        </w:rPr>
        <w:t>明</w:t>
      </w:r>
    </w:p>
    <w:p>
      <w:pPr>
        <w:spacing w:line="600" w:lineRule="exact"/>
        <w:ind w:firstLine="643"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第四部分 名词解释</w:t>
      </w:r>
    </w:p>
    <w:p>
      <w:pPr>
        <w:spacing w:line="600" w:lineRule="exact"/>
        <w:ind w:firstLine="643" w:firstLineChars="200"/>
        <w:outlineLvl w:val="0"/>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第五部分 附件</w:t>
      </w:r>
    </w:p>
    <w:p>
      <w:pPr>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br w:type="page"/>
      </w:r>
    </w:p>
    <w:p>
      <w:pPr>
        <w:spacing w:line="600" w:lineRule="exact"/>
        <w:jc w:val="center"/>
        <w:outlineLvl w:val="0"/>
        <w:rPr>
          <w:rFonts w:ascii="黑体" w:hAnsi="黑体" w:eastAsia="黑体" w:cs="黑体"/>
          <w:b/>
          <w:sz w:val="44"/>
          <w:szCs w:val="44"/>
          <w:lang w:eastAsia="zh-CN"/>
        </w:rPr>
      </w:pPr>
      <w:r>
        <w:rPr>
          <w:rFonts w:hint="eastAsia" w:ascii="黑体" w:hAnsi="黑体" w:eastAsia="黑体" w:cs="黑体"/>
          <w:b/>
          <w:sz w:val="44"/>
          <w:szCs w:val="44"/>
          <w:lang w:eastAsia="zh-CN"/>
        </w:rPr>
        <w:t>第一部分 云湖桥镇人民政府部门概况</w:t>
      </w:r>
    </w:p>
    <w:p>
      <w:pPr>
        <w:pStyle w:val="29"/>
        <w:rPr>
          <w:rFonts w:ascii="黑体" w:hAnsi="黑体" w:eastAsia="黑体"/>
          <w:sz w:val="32"/>
          <w:szCs w:val="32"/>
          <w:lang w:eastAsia="zh-CN"/>
        </w:rPr>
      </w:pPr>
    </w:p>
    <w:p>
      <w:pPr>
        <w:spacing w:line="600" w:lineRule="exact"/>
        <w:ind w:firstLine="640" w:firstLineChars="200"/>
        <w:outlineLvl w:val="1"/>
        <w:rPr>
          <w:rFonts w:ascii="黑体" w:hAnsi="黑体" w:eastAsia="黑体"/>
          <w:bCs/>
          <w:sz w:val="32"/>
          <w:szCs w:val="32"/>
          <w:lang w:eastAsia="zh-CN"/>
        </w:rPr>
      </w:pPr>
      <w:r>
        <w:rPr>
          <w:rFonts w:hint="eastAsia" w:ascii="黑体" w:hAnsi="黑体" w:eastAsia="黑体"/>
          <w:bCs/>
          <w:sz w:val="32"/>
          <w:szCs w:val="32"/>
          <w:lang w:eastAsia="zh-CN"/>
        </w:rPr>
        <w:t>一、部门职能</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 xml:space="preserve"> （一）在镇党委的领导下，贯彻执行党的路线、方针、政策和国家的各项法律、法规；负责镇辖区内地区性、群众性、公益性、社会性工作。</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（二）负责精神文明建设工作，积极组织以提高民众素质为目的的活动，树立文明新风。</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（三）按照职责范围，负责镇辖区内的建设和管理、环境卫生、环境保护等监督、管理、服务工作。</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（四）负责镇辖区内的维护稳定及社会治安综合治理工作，依照有关规定做好出租屋和外来暂住人员的管理工作；负责民事调解、法律服务工作，维护居民的合法权益。</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五）负责村、居委会的建设和管理，积极开展镇区服务工作，大力兴办福利企业，发动和组织镇区成员开展各类公益活动；负责拥军优属、优抚安置、社会救济、社会福利、社区文化、科普、体育、教育等工作。</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（六）发展镇区经济，为镇区经济组织提供人才、科技、信息和各类服务，以经济、法律和必要的行政手段推动镇区经济发展和维护市场经济秩序。</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（七）负责计划生育、劳动就业、安全生产管理、初级卫生保健、民兵、兵役、侨务等工作。</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（八）指导和帮助居民委员会搞好组织建设和制度建设，发挥居民委员会的群众自治组织作用。</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（九）配合有关部门做好房屋拆迁、防汛、防风、防火、动物防疫、防震、防灾和抢险工作。</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（十）向县人民政府反映居民群众的意见和要求，办理人民群众来信来访事项。</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（十一）负责辖区内普法教育工作，维护老人、妇女儿童的合法权益。</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（十二）负责辖区内安全生产和消防工作的指导、监督。</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（十三）会同有关部门做好辖区内的企业服务、在地统计工作。</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lang w:eastAsia="zh-CN"/>
        </w:rPr>
        <w:t>（十四）承办镇党委和上级部门交办的其他事项。</w:t>
      </w:r>
    </w:p>
    <w:p>
      <w:pPr>
        <w:spacing w:line="600" w:lineRule="exact"/>
        <w:ind w:firstLine="640" w:firstLineChars="200"/>
        <w:outlineLvl w:val="1"/>
        <w:rPr>
          <w:rFonts w:ascii="黑体" w:hAnsi="黑体" w:eastAsia="黑体"/>
          <w:bCs/>
          <w:sz w:val="32"/>
          <w:szCs w:val="32"/>
          <w:lang w:eastAsia="zh-CN"/>
        </w:rPr>
      </w:pPr>
      <w:r>
        <w:rPr>
          <w:rFonts w:hint="eastAsia" w:ascii="黑体" w:hAnsi="黑体" w:eastAsia="黑体"/>
          <w:bCs/>
          <w:sz w:val="32"/>
          <w:szCs w:val="32"/>
          <w:lang w:eastAsia="zh-CN"/>
        </w:rPr>
        <w:t>二、机构设置及决算单位构成</w:t>
      </w:r>
    </w:p>
    <w:p>
      <w:pPr>
        <w:pStyle w:val="51"/>
        <w:spacing w:line="600" w:lineRule="exact"/>
        <w:ind w:firstLine="643" w:firstLineChars="200"/>
        <w:rPr>
          <w:rFonts w:hint="eastAsia" w:ascii="Times New Roman" w:hAnsi="Times New Roman" w:eastAsia="仿宋_GB2312" w:cs="Times New Roman"/>
          <w:b w:val="0"/>
          <w:bCs w:val="0"/>
          <w:color w:val="auto"/>
          <w:sz w:val="32"/>
          <w:szCs w:val="32"/>
          <w:lang w:eastAsia="zh-CN"/>
        </w:rPr>
      </w:pPr>
      <w:r>
        <w:rPr>
          <w:rFonts w:hint="eastAsia" w:ascii="楷体_GB2312" w:hAnsi="宋体" w:eastAsia="楷体_GB2312"/>
          <w:b/>
          <w:bCs/>
          <w:sz w:val="32"/>
          <w:szCs w:val="32"/>
          <w:lang w:eastAsia="zh-CN"/>
        </w:rPr>
        <w:t>（一）内设机构设置。</w:t>
      </w:r>
      <w:r>
        <w:rPr>
          <w:rFonts w:hint="eastAsia" w:eastAsia="仿宋_GB2312"/>
          <w:sz w:val="32"/>
          <w:szCs w:val="32"/>
          <w:lang w:eastAsia="zh-CN"/>
        </w:rPr>
        <w:t>云湖桥政府</w:t>
      </w:r>
      <w:r>
        <w:rPr>
          <w:rFonts w:eastAsia="仿宋_GB2312"/>
          <w:bCs/>
          <w:sz w:val="32"/>
          <w:szCs w:val="32"/>
          <w:lang w:eastAsia="zh-CN"/>
        </w:rPr>
        <w:t>单位内设机构包括：</w:t>
      </w:r>
      <w:r>
        <w:rPr>
          <w:rFonts w:hint="eastAsia" w:ascii="Times New Roman" w:hAnsi="Times New Roman" w:eastAsia="仿宋_GB2312" w:cs="Times New Roman"/>
          <w:b w:val="0"/>
          <w:bCs w:val="0"/>
          <w:color w:val="auto"/>
          <w:sz w:val="32"/>
          <w:szCs w:val="32"/>
          <w:lang w:eastAsia="zh-CN"/>
        </w:rPr>
        <w:t>党政综合办公室、经济发展办公室、社会事务办公室、自然资源和生态环境办公室、社会治安和应急管理办公室、社会事务综合服务中心、农村综合服务中心、政务服务中心、退役军人服务站、综合行政执法大队、财政所。</w:t>
      </w:r>
    </w:p>
    <w:p>
      <w:pPr>
        <w:spacing w:line="600" w:lineRule="exact"/>
        <w:ind w:firstLine="643" w:firstLineChars="200"/>
        <w:rPr>
          <w:rFonts w:eastAsia="仿宋_GB2312"/>
          <w:bCs/>
          <w:sz w:val="32"/>
          <w:szCs w:val="32"/>
          <w:lang w:eastAsia="zh-CN"/>
        </w:rPr>
      </w:pPr>
      <w:r>
        <w:rPr>
          <w:rFonts w:hint="eastAsia" w:ascii="楷体_GB2312" w:hAnsi="宋体" w:eastAsia="楷体_GB2312"/>
          <w:b/>
          <w:bCs/>
          <w:sz w:val="32"/>
          <w:szCs w:val="32"/>
          <w:lang w:eastAsia="zh-CN"/>
        </w:rPr>
        <w:t>（二）决算单位构成。</w:t>
      </w:r>
      <w:r>
        <w:rPr>
          <w:rFonts w:hint="eastAsia" w:eastAsia="仿宋_GB2312"/>
          <w:sz w:val="32"/>
          <w:szCs w:val="32"/>
          <w:lang w:eastAsia="zh-CN"/>
        </w:rPr>
        <w:t>云湖桥镇人民政府</w:t>
      </w:r>
      <w:r>
        <w:rPr>
          <w:rFonts w:eastAsia="仿宋_GB2312"/>
          <w:bCs/>
          <w:sz w:val="32"/>
          <w:szCs w:val="32"/>
          <w:lang w:eastAsia="zh-CN"/>
        </w:rPr>
        <w:t>20</w:t>
      </w:r>
      <w:r>
        <w:rPr>
          <w:rFonts w:hint="eastAsia" w:eastAsia="仿宋_GB2312"/>
          <w:bCs/>
          <w:sz w:val="32"/>
          <w:szCs w:val="32"/>
          <w:lang w:eastAsia="zh-CN"/>
        </w:rPr>
        <w:t>21</w:t>
      </w:r>
      <w:r>
        <w:rPr>
          <w:rFonts w:eastAsia="仿宋_GB2312"/>
          <w:bCs/>
          <w:sz w:val="32"/>
          <w:szCs w:val="32"/>
          <w:lang w:eastAsia="zh-CN"/>
        </w:rPr>
        <w:t>年部门决算汇总公开单位构成包括：</w:t>
      </w:r>
      <w:r>
        <w:rPr>
          <w:rFonts w:hint="eastAsia" w:eastAsia="仿宋_GB2312"/>
          <w:sz w:val="32"/>
          <w:szCs w:val="32"/>
          <w:lang w:eastAsia="zh-CN"/>
        </w:rPr>
        <w:t>云湖桥镇人民政府</w:t>
      </w:r>
      <w:r>
        <w:rPr>
          <w:rFonts w:eastAsia="仿宋_GB2312"/>
          <w:bCs/>
          <w:sz w:val="32"/>
          <w:szCs w:val="32"/>
          <w:lang w:eastAsia="zh-CN"/>
        </w:rPr>
        <w:t>本级</w:t>
      </w:r>
      <w:r>
        <w:rPr>
          <w:rFonts w:hint="eastAsia" w:eastAsia="仿宋_GB2312"/>
          <w:bCs/>
          <w:sz w:val="32"/>
          <w:szCs w:val="32"/>
          <w:lang w:eastAsia="zh-CN"/>
        </w:rPr>
        <w:t>。</w:t>
      </w:r>
    </w:p>
    <w:p>
      <w:pPr>
        <w:rPr>
          <w:rFonts w:ascii="仿宋_GB2312" w:hAnsi="宋体" w:eastAsia="仿宋_GB2312"/>
          <w:sz w:val="28"/>
          <w:szCs w:val="32"/>
          <w:lang w:eastAsia="zh-CN"/>
        </w:rPr>
      </w:pPr>
    </w:p>
    <w:p>
      <w:pPr>
        <w:jc w:val="center"/>
        <w:rPr>
          <w:rFonts w:ascii="黑体" w:hAnsi="黑体" w:eastAsia="黑体"/>
          <w:sz w:val="28"/>
          <w:szCs w:val="28"/>
          <w:lang w:eastAsia="zh-CN"/>
        </w:rPr>
      </w:pPr>
    </w:p>
    <w:p>
      <w:pPr>
        <w:tabs>
          <w:tab w:val="left" w:pos="5705"/>
        </w:tabs>
        <w:jc w:val="left"/>
        <w:rPr>
          <w:rFonts w:hint="eastAsia" w:ascii="黑体" w:hAnsi="黑体" w:eastAsia="黑体"/>
          <w:sz w:val="28"/>
          <w:szCs w:val="28"/>
          <w:lang w:eastAsia="zh-CN"/>
        </w:rPr>
        <w:sectPr>
          <w:headerReference r:id="rId5" w:type="default"/>
          <w:footerReference r:id="rId6" w:type="default"/>
          <w:pgSz w:w="11906" w:h="16838"/>
          <w:pgMar w:top="1440" w:right="1800" w:bottom="1440" w:left="1800" w:header="851" w:footer="992" w:gutter="0"/>
          <w:cols w:space="720" w:num="1"/>
          <w:docGrid w:type="lines" w:linePitch="312" w:charSpace="0"/>
        </w:sectPr>
      </w:pPr>
    </w:p>
    <w:p>
      <w:pPr>
        <w:pStyle w:val="16"/>
        <w:shd w:val="clear" w:color="auto" w:fill="FFFFFF"/>
        <w:jc w:val="center"/>
        <w:rPr>
          <w:rFonts w:ascii="黑体" w:hAnsi="黑体" w:eastAsia="黑体" w:cstheme="minorEastAsia"/>
          <w:b/>
          <w:bCs/>
          <w:color w:val="000000" w:themeColor="text1"/>
          <w:sz w:val="28"/>
          <w:szCs w:val="28"/>
          <w:lang w:eastAsia="zh-CN"/>
          <w14:textFill>
            <w14:solidFill>
              <w14:schemeClr w14:val="tx1"/>
            </w14:solidFill>
          </w14:textFill>
        </w:rPr>
      </w:pPr>
      <w:r>
        <w:rPr>
          <w:rFonts w:hint="eastAsia" w:ascii="黑体" w:hAnsi="黑体" w:eastAsia="黑体" w:cstheme="minorEastAsia"/>
          <w:b/>
          <w:bCs/>
          <w:color w:val="000000" w:themeColor="text1"/>
          <w:sz w:val="28"/>
          <w:szCs w:val="28"/>
          <w:lang w:eastAsia="zh-CN"/>
          <w14:textFill>
            <w14:solidFill>
              <w14:schemeClr w14:val="tx1"/>
            </w14:solidFill>
          </w14:textFill>
        </w:rPr>
        <w:t>第二部分  湘潭县云湖桥镇人民政府2021年度部门决算表（单位：万元）</w:t>
      </w:r>
    </w:p>
    <w:tbl>
      <w:tblPr>
        <w:tblStyle w:val="18"/>
        <w:tblW w:w="5000" w:type="pct"/>
        <w:tblInd w:w="0" w:type="dxa"/>
        <w:tblLayout w:type="autofit"/>
        <w:tblCellMar>
          <w:top w:w="0" w:type="dxa"/>
          <w:left w:w="108" w:type="dxa"/>
          <w:bottom w:w="0" w:type="dxa"/>
          <w:right w:w="108" w:type="dxa"/>
        </w:tblCellMar>
      </w:tblPr>
      <w:tblGrid>
        <w:gridCol w:w="3736"/>
        <w:gridCol w:w="656"/>
        <w:gridCol w:w="2340"/>
        <w:gridCol w:w="4440"/>
        <w:gridCol w:w="656"/>
        <w:gridCol w:w="2346"/>
      </w:tblGrid>
      <w:tr>
        <w:tblPrEx>
          <w:tblCellMar>
            <w:top w:w="0" w:type="dxa"/>
            <w:left w:w="108" w:type="dxa"/>
            <w:bottom w:w="0" w:type="dxa"/>
            <w:right w:w="108" w:type="dxa"/>
          </w:tblCellMar>
        </w:tblPrEx>
        <w:trPr>
          <w:trHeight w:val="390" w:hRule="atLeast"/>
        </w:trPr>
        <w:tc>
          <w:tcPr>
            <w:tcW w:w="5000" w:type="pct"/>
            <w:gridSpan w:val="6"/>
            <w:tcBorders>
              <w:top w:val="nil"/>
              <w:left w:val="nil"/>
              <w:bottom w:val="nil"/>
              <w:right w:val="nil"/>
            </w:tcBorders>
            <w:shd w:val="clear" w:color="auto" w:fill="auto"/>
            <w:noWrap/>
            <w:vAlign w:val="bottom"/>
          </w:tcPr>
          <w:p>
            <w:pPr>
              <w:spacing w:after="0" w:line="240" w:lineRule="auto"/>
              <w:jc w:val="center"/>
              <w:rPr>
                <w:rFonts w:ascii="Arial" w:hAnsi="Arial" w:eastAsia="宋体" w:cs="Arial"/>
                <w:color w:val="000000"/>
                <w:sz w:val="20"/>
                <w:szCs w:val="20"/>
                <w:lang w:eastAsia="zh-CN" w:bidi="ar-SA"/>
              </w:rPr>
            </w:pPr>
            <w:r>
              <w:rPr>
                <w:rFonts w:hint="eastAsia" w:ascii="宋体" w:hAnsi="宋体" w:eastAsia="宋体" w:cs="Arial"/>
                <w:color w:val="000000"/>
                <w:sz w:val="30"/>
                <w:szCs w:val="30"/>
                <w:lang w:eastAsia="zh-CN" w:bidi="ar-SA"/>
              </w:rPr>
              <w:t>收入支出决算总表</w:t>
            </w:r>
          </w:p>
        </w:tc>
      </w:tr>
      <w:tr>
        <w:tblPrEx>
          <w:tblCellMar>
            <w:top w:w="0" w:type="dxa"/>
            <w:left w:w="108" w:type="dxa"/>
            <w:bottom w:w="0" w:type="dxa"/>
            <w:right w:w="108" w:type="dxa"/>
          </w:tblCellMar>
        </w:tblPrEx>
        <w:trPr>
          <w:trHeight w:val="255" w:hRule="atLeast"/>
        </w:trPr>
        <w:tc>
          <w:tcPr>
            <w:tcW w:w="1317"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231"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824"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567"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231"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827" w:type="pct"/>
            <w:tcBorders>
              <w:top w:val="nil"/>
              <w:left w:val="nil"/>
              <w:bottom w:val="nil"/>
              <w:right w:val="nil"/>
            </w:tcBorders>
            <w:shd w:val="clear" w:color="auto" w:fill="auto"/>
            <w:noWrap/>
            <w:vAlign w:val="bottom"/>
          </w:tcPr>
          <w:p>
            <w:pPr>
              <w:spacing w:after="0" w:line="240" w:lineRule="auto"/>
              <w:jc w:val="right"/>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公开01表</w:t>
            </w:r>
          </w:p>
        </w:tc>
      </w:tr>
      <w:tr>
        <w:tblPrEx>
          <w:tblCellMar>
            <w:top w:w="0" w:type="dxa"/>
            <w:left w:w="108" w:type="dxa"/>
            <w:bottom w:w="0" w:type="dxa"/>
            <w:right w:w="108" w:type="dxa"/>
          </w:tblCellMar>
        </w:tblPrEx>
        <w:trPr>
          <w:trHeight w:val="255" w:hRule="atLeast"/>
        </w:trPr>
        <w:tc>
          <w:tcPr>
            <w:tcW w:w="1317" w:type="pct"/>
            <w:tcBorders>
              <w:top w:val="nil"/>
              <w:left w:val="nil"/>
              <w:bottom w:val="nil"/>
              <w:right w:val="nil"/>
            </w:tcBorders>
            <w:shd w:val="clear" w:color="auto" w:fill="auto"/>
            <w:noWrap/>
            <w:vAlign w:val="bottom"/>
          </w:tcPr>
          <w:p>
            <w:pPr>
              <w:spacing w:after="0" w:line="240" w:lineRule="auto"/>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部门：湘潭县云湖桥镇人民政府</w:t>
            </w:r>
          </w:p>
        </w:tc>
        <w:tc>
          <w:tcPr>
            <w:tcW w:w="231"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824"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567"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231"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827" w:type="pct"/>
            <w:tcBorders>
              <w:top w:val="nil"/>
              <w:left w:val="nil"/>
              <w:bottom w:val="nil"/>
              <w:right w:val="nil"/>
            </w:tcBorders>
            <w:shd w:val="clear" w:color="auto" w:fill="auto"/>
            <w:noWrap/>
            <w:vAlign w:val="bottom"/>
          </w:tcPr>
          <w:p>
            <w:pPr>
              <w:spacing w:after="0" w:line="240" w:lineRule="auto"/>
              <w:jc w:val="right"/>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金额单位：万元</w:t>
            </w:r>
          </w:p>
        </w:tc>
      </w:tr>
      <w:tr>
        <w:tblPrEx>
          <w:tblCellMar>
            <w:top w:w="0" w:type="dxa"/>
            <w:left w:w="108" w:type="dxa"/>
            <w:bottom w:w="0" w:type="dxa"/>
            <w:right w:w="108" w:type="dxa"/>
          </w:tblCellMar>
        </w:tblPrEx>
        <w:trPr>
          <w:trHeight w:val="308" w:hRule="atLeast"/>
        </w:trPr>
        <w:tc>
          <w:tcPr>
            <w:tcW w:w="2374" w:type="pct"/>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收入</w:t>
            </w:r>
          </w:p>
        </w:tc>
        <w:tc>
          <w:tcPr>
            <w:tcW w:w="2625" w:type="pct"/>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支出</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项目</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行次</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金额</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项目</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行次</w:t>
            </w:r>
          </w:p>
        </w:tc>
        <w:tc>
          <w:tcPr>
            <w:tcW w:w="82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金额</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栏次</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栏次</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82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一、一般公共预算财政拨款收入</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7021.03</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一、一般公共服务支出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32</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2268</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二、政府性基金预算财政拨款收入</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二、外交支出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33</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三、国有资本经营预算财政拨款收入</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三、国防支出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34</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四、上级补助收入</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1256.33</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四、公共安全支出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35</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五、事业收入</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五、教育支出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36</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六、经营收入</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6</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六、科学技术支出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37</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七、附属单位上缴收入</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7</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七、文化旅游体育与传媒支出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38</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48.48</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八、其他收入</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8</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八、社会保障和就业支出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39</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544.76</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9</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九、卫生健康支出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40</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134.52</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auto"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nil"/>
              <w:left w:val="nil"/>
              <w:bottom w:val="single" w:color="auto"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10</w:t>
            </w:r>
          </w:p>
        </w:tc>
        <w:tc>
          <w:tcPr>
            <w:tcW w:w="824" w:type="pct"/>
            <w:tcBorders>
              <w:top w:val="nil"/>
              <w:left w:val="nil"/>
              <w:bottom w:val="single" w:color="auto"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nil"/>
              <w:left w:val="nil"/>
              <w:bottom w:val="single" w:color="auto"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十、节能环保支出</w:t>
            </w:r>
          </w:p>
        </w:tc>
        <w:tc>
          <w:tcPr>
            <w:tcW w:w="231" w:type="pct"/>
            <w:tcBorders>
              <w:top w:val="nil"/>
              <w:left w:val="nil"/>
              <w:bottom w:val="single" w:color="auto"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41</w:t>
            </w:r>
          </w:p>
        </w:tc>
        <w:tc>
          <w:tcPr>
            <w:tcW w:w="827" w:type="pct"/>
            <w:tcBorders>
              <w:top w:val="nil"/>
              <w:left w:val="nil"/>
              <w:bottom w:val="single" w:color="auto"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29.24</w:t>
            </w:r>
          </w:p>
        </w:tc>
      </w:tr>
      <w:tr>
        <w:tblPrEx>
          <w:tblCellMar>
            <w:top w:w="0" w:type="dxa"/>
            <w:left w:w="108" w:type="dxa"/>
            <w:bottom w:w="0" w:type="dxa"/>
            <w:right w:w="108" w:type="dxa"/>
          </w:tblCellMar>
        </w:tblPrEx>
        <w:trPr>
          <w:trHeight w:val="308" w:hRule="atLeast"/>
        </w:trPr>
        <w:tc>
          <w:tcPr>
            <w:tcW w:w="1317" w:type="pct"/>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11</w:t>
            </w:r>
          </w:p>
        </w:tc>
        <w:tc>
          <w:tcPr>
            <w:tcW w:w="824" w:type="pct"/>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十一、城乡社区支出</w:t>
            </w:r>
          </w:p>
        </w:tc>
        <w:tc>
          <w:tcPr>
            <w:tcW w:w="231" w:type="pct"/>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42</w:t>
            </w:r>
          </w:p>
        </w:tc>
        <w:tc>
          <w:tcPr>
            <w:tcW w:w="827" w:type="pct"/>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89.74</w:t>
            </w:r>
          </w:p>
        </w:tc>
      </w:tr>
      <w:tr>
        <w:tblPrEx>
          <w:tblCellMar>
            <w:top w:w="0" w:type="dxa"/>
            <w:left w:w="108" w:type="dxa"/>
            <w:bottom w:w="0" w:type="dxa"/>
            <w:right w:w="108" w:type="dxa"/>
          </w:tblCellMar>
        </w:tblPrEx>
        <w:trPr>
          <w:trHeight w:val="308" w:hRule="atLeast"/>
        </w:trPr>
        <w:tc>
          <w:tcPr>
            <w:tcW w:w="1317" w:type="pct"/>
            <w:tcBorders>
              <w:top w:val="single" w:color="auto" w:sz="4" w:space="0"/>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single" w:color="auto" w:sz="4" w:space="0"/>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12</w:t>
            </w:r>
          </w:p>
        </w:tc>
        <w:tc>
          <w:tcPr>
            <w:tcW w:w="824" w:type="pct"/>
            <w:tcBorders>
              <w:top w:val="single" w:color="auto" w:sz="4" w:space="0"/>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single" w:color="auto" w:sz="4" w:space="0"/>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十二、农林水支出</w:t>
            </w:r>
          </w:p>
        </w:tc>
        <w:tc>
          <w:tcPr>
            <w:tcW w:w="231" w:type="pct"/>
            <w:tcBorders>
              <w:top w:val="single" w:color="auto" w:sz="4" w:space="0"/>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43</w:t>
            </w:r>
          </w:p>
        </w:tc>
        <w:tc>
          <w:tcPr>
            <w:tcW w:w="827" w:type="pct"/>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1264.52</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13</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十三、交通运输支出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44</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14</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十四、资源勘探工业信息等支出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45</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3030.00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15</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十五、商业服务业等支出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46</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16</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十六、金融支出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47</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17</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十七、援助其他地区支出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48</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18</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十八、自然资源海洋气象等支出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49</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19</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十九、住房保障支出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50</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281.35</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20</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二十、粮油物资储备支出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51</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21</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二十一、国有资本经营预算支出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52</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22</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二十二、灾害防治及应急管理支出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53</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323.61</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23</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二十三、其他支出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54</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8.00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b/>
                <w:bCs/>
                <w:color w:val="000000"/>
                <w:sz w:val="20"/>
                <w:szCs w:val="20"/>
                <w:lang w:eastAsia="zh-CN" w:bidi="ar-SA"/>
              </w:rPr>
            </w:pPr>
            <w:r>
              <w:rPr>
                <w:rFonts w:hint="eastAsia" w:ascii="宋体" w:hAnsi="宋体" w:eastAsia="宋体" w:cs="Arial"/>
                <w:b/>
                <w:bCs/>
                <w:color w:val="000000"/>
                <w:sz w:val="20"/>
                <w:szCs w:val="2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24</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二十四、债务还本支出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55</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25</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二十五、债务付息支出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56</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26</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二十六、抗疫特别国债安排的支出</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57</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b/>
                <w:bCs/>
                <w:color w:val="000000"/>
                <w:lang w:eastAsia="zh-CN" w:bidi="ar-SA"/>
              </w:rPr>
            </w:pPr>
            <w:r>
              <w:rPr>
                <w:rFonts w:hint="eastAsia" w:ascii="宋体" w:hAnsi="宋体" w:eastAsia="宋体" w:cs="Arial"/>
                <w:b/>
                <w:bCs/>
                <w:color w:val="000000"/>
                <w:lang w:eastAsia="zh-CN" w:bidi="ar-SA"/>
              </w:rPr>
              <w:t>本年收入合计</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27</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8285.36</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b/>
                <w:bCs/>
                <w:color w:val="000000"/>
                <w:lang w:eastAsia="zh-CN" w:bidi="ar-SA"/>
              </w:rPr>
            </w:pPr>
            <w:r>
              <w:rPr>
                <w:rFonts w:hint="eastAsia" w:ascii="宋体" w:hAnsi="宋体" w:eastAsia="宋体" w:cs="Arial"/>
                <w:b/>
                <w:bCs/>
                <w:color w:val="000000"/>
                <w:lang w:eastAsia="zh-CN" w:bidi="ar-SA"/>
              </w:rPr>
              <w:t>本年支出合计</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58</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8285.36</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使用非财政拨款结余</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28</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结余分配</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59</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年初结转和结余</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29</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年末结转和结余</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60</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30</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61</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r>
      <w:tr>
        <w:tblPrEx>
          <w:tblCellMar>
            <w:top w:w="0" w:type="dxa"/>
            <w:left w:w="108" w:type="dxa"/>
            <w:bottom w:w="0" w:type="dxa"/>
            <w:right w:w="108" w:type="dxa"/>
          </w:tblCellMar>
        </w:tblPrEx>
        <w:trPr>
          <w:trHeight w:val="308" w:hRule="atLeast"/>
        </w:trPr>
        <w:tc>
          <w:tcPr>
            <w:tcW w:w="1317" w:type="pct"/>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b/>
                <w:bCs/>
                <w:color w:val="000000"/>
                <w:lang w:eastAsia="zh-CN" w:bidi="ar-SA"/>
              </w:rPr>
            </w:pPr>
            <w:r>
              <w:rPr>
                <w:rFonts w:hint="eastAsia" w:ascii="宋体" w:hAnsi="宋体" w:eastAsia="宋体" w:cs="Arial"/>
                <w:b/>
                <w:bCs/>
                <w:color w:val="000000"/>
                <w:lang w:eastAsia="zh-CN" w:bidi="ar-SA"/>
              </w:rPr>
              <w:t>总计</w:t>
            </w:r>
          </w:p>
        </w:tc>
        <w:tc>
          <w:tcPr>
            <w:tcW w:w="231" w:type="pct"/>
            <w:tcBorders>
              <w:top w:val="nil"/>
              <w:left w:val="nil"/>
              <w:bottom w:val="single" w:color="000000" w:sz="8"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31</w:t>
            </w:r>
          </w:p>
        </w:tc>
        <w:tc>
          <w:tcPr>
            <w:tcW w:w="824"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8285.36</w:t>
            </w:r>
          </w:p>
        </w:tc>
        <w:tc>
          <w:tcPr>
            <w:tcW w:w="1567"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b/>
                <w:bCs/>
                <w:color w:val="000000"/>
                <w:lang w:eastAsia="zh-CN" w:bidi="ar-SA"/>
              </w:rPr>
            </w:pPr>
            <w:r>
              <w:rPr>
                <w:rFonts w:hint="eastAsia" w:ascii="宋体" w:hAnsi="宋体" w:eastAsia="宋体" w:cs="Arial"/>
                <w:b/>
                <w:bCs/>
                <w:color w:val="000000"/>
                <w:lang w:eastAsia="zh-CN" w:bidi="ar-SA"/>
              </w:rPr>
              <w:t>总计</w:t>
            </w:r>
          </w:p>
        </w:tc>
        <w:tc>
          <w:tcPr>
            <w:tcW w:w="231" w:type="pc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62</w:t>
            </w:r>
          </w:p>
        </w:tc>
        <w:tc>
          <w:tcPr>
            <w:tcW w:w="827"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8285.36</w:t>
            </w:r>
          </w:p>
        </w:tc>
      </w:tr>
      <w:tr>
        <w:tblPrEx>
          <w:tblCellMar>
            <w:top w:w="0" w:type="dxa"/>
            <w:left w:w="108" w:type="dxa"/>
            <w:bottom w:w="0" w:type="dxa"/>
            <w:right w:w="108" w:type="dxa"/>
          </w:tblCellMar>
        </w:tblPrEx>
        <w:trPr>
          <w:trHeight w:val="308" w:hRule="atLeast"/>
        </w:trPr>
        <w:tc>
          <w:tcPr>
            <w:tcW w:w="5000" w:type="pct"/>
            <w:gridSpan w:val="6"/>
            <w:tcBorders>
              <w:top w:val="nil"/>
              <w:left w:val="nil"/>
              <w:bottom w:val="nil"/>
              <w:right w:val="nil"/>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注：本表反映部门本年度的总收支和年末结转结余情况。本套报表金额单位转换时可能存在尾数误差。</w:t>
            </w:r>
          </w:p>
        </w:tc>
      </w:tr>
    </w:tbl>
    <w:p>
      <w:pPr>
        <w:rPr>
          <w:lang w:eastAsia="zh-CN"/>
        </w:rPr>
      </w:pPr>
    </w:p>
    <w:p>
      <w:pPr>
        <w:rPr>
          <w:lang w:eastAsia="zh-CN"/>
        </w:rPr>
      </w:pPr>
    </w:p>
    <w:p>
      <w:pPr>
        <w:rPr>
          <w:lang w:eastAsia="zh-CN"/>
        </w:rPr>
      </w:pPr>
    </w:p>
    <w:p>
      <w:pPr>
        <w:rPr>
          <w:lang w:eastAsia="zh-CN"/>
        </w:rPr>
      </w:pPr>
    </w:p>
    <w:p>
      <w:pPr>
        <w:rPr>
          <w:lang w:eastAsia="zh-CN"/>
        </w:rPr>
      </w:pPr>
    </w:p>
    <w:tbl>
      <w:tblPr>
        <w:tblStyle w:val="18"/>
        <w:tblW w:w="0" w:type="auto"/>
        <w:tblInd w:w="222" w:type="dxa"/>
        <w:tblLayout w:type="fixed"/>
        <w:tblCellMar>
          <w:top w:w="0" w:type="dxa"/>
          <w:left w:w="108" w:type="dxa"/>
          <w:bottom w:w="0" w:type="dxa"/>
          <w:right w:w="108" w:type="dxa"/>
        </w:tblCellMar>
      </w:tblPr>
      <w:tblGrid>
        <w:gridCol w:w="340"/>
        <w:gridCol w:w="444"/>
        <w:gridCol w:w="340"/>
        <w:gridCol w:w="3770"/>
        <w:gridCol w:w="1575"/>
        <w:gridCol w:w="882"/>
        <w:gridCol w:w="318"/>
        <w:gridCol w:w="379"/>
        <w:gridCol w:w="693"/>
        <w:gridCol w:w="128"/>
        <w:gridCol w:w="990"/>
        <w:gridCol w:w="210"/>
        <w:gridCol w:w="900"/>
        <w:gridCol w:w="300"/>
        <w:gridCol w:w="1200"/>
        <w:gridCol w:w="1200"/>
      </w:tblGrid>
      <w:tr>
        <w:tblPrEx>
          <w:tblCellMar>
            <w:top w:w="0" w:type="dxa"/>
            <w:left w:w="108" w:type="dxa"/>
            <w:bottom w:w="0" w:type="dxa"/>
            <w:right w:w="108" w:type="dxa"/>
          </w:tblCellMar>
        </w:tblPrEx>
        <w:trPr>
          <w:trHeight w:val="390" w:hRule="atLeast"/>
        </w:trPr>
        <w:tc>
          <w:tcPr>
            <w:tcW w:w="13669" w:type="dxa"/>
            <w:gridSpan w:val="16"/>
            <w:tcBorders>
              <w:top w:val="nil"/>
              <w:left w:val="nil"/>
              <w:bottom w:val="nil"/>
              <w:right w:val="nil"/>
            </w:tcBorders>
            <w:shd w:val="clear" w:color="auto" w:fill="auto"/>
            <w:noWrap/>
            <w:vAlign w:val="bottom"/>
          </w:tcPr>
          <w:p>
            <w:pPr>
              <w:spacing w:after="0" w:line="240" w:lineRule="auto"/>
              <w:jc w:val="center"/>
              <w:rPr>
                <w:rFonts w:ascii="宋体" w:hAnsi="宋体" w:eastAsia="宋体" w:cs="Arial"/>
                <w:color w:val="000000"/>
                <w:sz w:val="30"/>
                <w:szCs w:val="30"/>
                <w:lang w:eastAsia="zh-CN" w:bidi="ar-SA"/>
              </w:rPr>
            </w:pPr>
            <w:r>
              <w:rPr>
                <w:rFonts w:hint="eastAsia" w:ascii="宋体" w:hAnsi="宋体" w:eastAsia="宋体" w:cs="Arial"/>
                <w:color w:val="000000"/>
                <w:sz w:val="30"/>
                <w:szCs w:val="30"/>
                <w:lang w:eastAsia="zh-CN" w:bidi="ar-SA"/>
              </w:rPr>
              <w:t>收入决算表</w:t>
            </w:r>
          </w:p>
        </w:tc>
      </w:tr>
      <w:tr>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444"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34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377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575"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882"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697" w:type="dxa"/>
            <w:gridSpan w:val="2"/>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693"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118" w:type="dxa"/>
            <w:gridSpan w:val="2"/>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110" w:type="dxa"/>
            <w:gridSpan w:val="2"/>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2700" w:type="dxa"/>
            <w:gridSpan w:val="3"/>
            <w:tcBorders>
              <w:top w:val="nil"/>
              <w:left w:val="nil"/>
              <w:bottom w:val="nil"/>
              <w:right w:val="nil"/>
            </w:tcBorders>
            <w:shd w:val="clear" w:color="auto" w:fill="auto"/>
            <w:noWrap/>
            <w:vAlign w:val="bottom"/>
          </w:tcPr>
          <w:p>
            <w:pPr>
              <w:spacing w:after="0" w:line="240" w:lineRule="auto"/>
              <w:jc w:val="right"/>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公开02表</w:t>
            </w:r>
          </w:p>
        </w:tc>
      </w:tr>
      <w:tr>
        <w:tblPrEx>
          <w:tblCellMar>
            <w:top w:w="0" w:type="dxa"/>
            <w:left w:w="108" w:type="dxa"/>
            <w:bottom w:w="0" w:type="dxa"/>
            <w:right w:w="108" w:type="dxa"/>
          </w:tblCellMar>
        </w:tblPrEx>
        <w:trPr>
          <w:trHeight w:val="255" w:hRule="atLeast"/>
        </w:trPr>
        <w:tc>
          <w:tcPr>
            <w:tcW w:w="4894" w:type="dxa"/>
            <w:gridSpan w:val="4"/>
            <w:tcBorders>
              <w:top w:val="nil"/>
              <w:left w:val="nil"/>
              <w:bottom w:val="nil"/>
              <w:right w:val="nil"/>
            </w:tcBorders>
            <w:shd w:val="clear" w:color="auto" w:fill="auto"/>
            <w:noWrap/>
            <w:vAlign w:val="bottom"/>
          </w:tcPr>
          <w:p>
            <w:pPr>
              <w:spacing w:after="0" w:line="240" w:lineRule="auto"/>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部门：湘潭县云湖桥镇人民政府</w:t>
            </w:r>
          </w:p>
        </w:tc>
        <w:tc>
          <w:tcPr>
            <w:tcW w:w="1575"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882"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697" w:type="dxa"/>
            <w:gridSpan w:val="2"/>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693"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118" w:type="dxa"/>
            <w:gridSpan w:val="2"/>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110" w:type="dxa"/>
            <w:gridSpan w:val="2"/>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2700" w:type="dxa"/>
            <w:gridSpan w:val="3"/>
            <w:tcBorders>
              <w:top w:val="nil"/>
              <w:left w:val="nil"/>
              <w:bottom w:val="nil"/>
              <w:right w:val="nil"/>
            </w:tcBorders>
            <w:shd w:val="clear" w:color="auto" w:fill="auto"/>
            <w:noWrap/>
            <w:vAlign w:val="bottom"/>
          </w:tcPr>
          <w:p>
            <w:pPr>
              <w:spacing w:after="0" w:line="240" w:lineRule="auto"/>
              <w:jc w:val="right"/>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金额单位：万元</w:t>
            </w:r>
          </w:p>
        </w:tc>
      </w:tr>
      <w:tr>
        <w:tblPrEx>
          <w:tblCellMar>
            <w:top w:w="0" w:type="dxa"/>
            <w:left w:w="108" w:type="dxa"/>
            <w:bottom w:w="0" w:type="dxa"/>
            <w:right w:w="108" w:type="dxa"/>
          </w:tblCellMar>
        </w:tblPrEx>
        <w:trPr>
          <w:trHeight w:val="308" w:hRule="atLeast"/>
        </w:trPr>
        <w:tc>
          <w:tcPr>
            <w:tcW w:w="4894"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项目</w:t>
            </w:r>
          </w:p>
        </w:tc>
        <w:tc>
          <w:tcPr>
            <w:tcW w:w="1575"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本年收入合计</w:t>
            </w:r>
          </w:p>
        </w:tc>
        <w:tc>
          <w:tcPr>
            <w:tcW w:w="1200"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财政拨款收入</w:t>
            </w:r>
          </w:p>
        </w:tc>
        <w:tc>
          <w:tcPr>
            <w:tcW w:w="1200" w:type="dxa"/>
            <w:gridSpan w:val="3"/>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上级补助收入</w:t>
            </w:r>
          </w:p>
        </w:tc>
        <w:tc>
          <w:tcPr>
            <w:tcW w:w="1200"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事业收入</w:t>
            </w:r>
          </w:p>
        </w:tc>
        <w:tc>
          <w:tcPr>
            <w:tcW w:w="1200"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经营收入</w:t>
            </w:r>
          </w:p>
        </w:tc>
        <w:tc>
          <w:tcPr>
            <w:tcW w:w="1200"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附属单位上缴收入</w:t>
            </w:r>
          </w:p>
        </w:tc>
        <w:tc>
          <w:tcPr>
            <w:tcW w:w="1200"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其他收入</w:t>
            </w:r>
          </w:p>
        </w:tc>
      </w:tr>
      <w:tr>
        <w:tblPrEx>
          <w:tblCellMar>
            <w:top w:w="0" w:type="dxa"/>
            <w:left w:w="108" w:type="dxa"/>
            <w:bottom w:w="0" w:type="dxa"/>
            <w:right w:w="108" w:type="dxa"/>
          </w:tblCellMar>
        </w:tblPrEx>
        <w:trPr>
          <w:trHeight w:val="312" w:hRule="atLeast"/>
        </w:trPr>
        <w:tc>
          <w:tcPr>
            <w:tcW w:w="1124" w:type="dxa"/>
            <w:gridSpan w:val="3"/>
            <w:vMerge w:val="restart"/>
            <w:tcBorders>
              <w:top w:val="nil"/>
              <w:left w:val="single" w:color="000000" w:sz="4" w:space="0"/>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功能分类科目编码</w:t>
            </w:r>
          </w:p>
        </w:tc>
        <w:tc>
          <w:tcPr>
            <w:tcW w:w="3770" w:type="dxa"/>
            <w:vMerge w:val="restar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科目名称</w:t>
            </w:r>
          </w:p>
        </w:tc>
        <w:tc>
          <w:tcPr>
            <w:tcW w:w="157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gridSpan w:val="3"/>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12" w:hRule="atLeast"/>
        </w:trPr>
        <w:tc>
          <w:tcPr>
            <w:tcW w:w="1124" w:type="dxa"/>
            <w:gridSpan w:val="3"/>
            <w:vMerge w:val="continue"/>
            <w:tcBorders>
              <w:top w:val="nil"/>
              <w:left w:val="single" w:color="000000" w:sz="4" w:space="0"/>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3770" w:type="dxa"/>
            <w:vMerge w:val="continue"/>
            <w:tcBorders>
              <w:top w:val="nil"/>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57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gridSpan w:val="3"/>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12" w:hRule="atLeast"/>
        </w:trPr>
        <w:tc>
          <w:tcPr>
            <w:tcW w:w="1124" w:type="dxa"/>
            <w:gridSpan w:val="3"/>
            <w:vMerge w:val="continue"/>
            <w:tcBorders>
              <w:top w:val="nil"/>
              <w:left w:val="single" w:color="000000" w:sz="4" w:space="0"/>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3770" w:type="dxa"/>
            <w:vMerge w:val="continue"/>
            <w:tcBorders>
              <w:top w:val="nil"/>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57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gridSpan w:val="3"/>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20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8" w:hRule="atLeast"/>
        </w:trPr>
        <w:tc>
          <w:tcPr>
            <w:tcW w:w="4894" w:type="dxa"/>
            <w:gridSpan w:val="4"/>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栏次</w:t>
            </w:r>
          </w:p>
        </w:tc>
        <w:tc>
          <w:tcPr>
            <w:tcW w:w="1575" w:type="dxa"/>
            <w:tcBorders>
              <w:top w:val="nil"/>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w:t>
            </w:r>
          </w:p>
        </w:tc>
        <w:tc>
          <w:tcPr>
            <w:tcW w:w="1200" w:type="dxa"/>
            <w:gridSpan w:val="2"/>
            <w:tcBorders>
              <w:top w:val="nil"/>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w:t>
            </w:r>
          </w:p>
        </w:tc>
        <w:tc>
          <w:tcPr>
            <w:tcW w:w="1200" w:type="dxa"/>
            <w:gridSpan w:val="3"/>
            <w:tcBorders>
              <w:top w:val="nil"/>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w:t>
            </w:r>
          </w:p>
        </w:tc>
        <w:tc>
          <w:tcPr>
            <w:tcW w:w="1200" w:type="dxa"/>
            <w:gridSpan w:val="2"/>
            <w:tcBorders>
              <w:top w:val="nil"/>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w:t>
            </w:r>
          </w:p>
        </w:tc>
        <w:tc>
          <w:tcPr>
            <w:tcW w:w="1200" w:type="dxa"/>
            <w:gridSpan w:val="2"/>
            <w:tcBorders>
              <w:top w:val="nil"/>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w:t>
            </w:r>
          </w:p>
        </w:tc>
        <w:tc>
          <w:tcPr>
            <w:tcW w:w="1200" w:type="dxa"/>
            <w:tcBorders>
              <w:top w:val="nil"/>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6</w:t>
            </w:r>
          </w:p>
        </w:tc>
        <w:tc>
          <w:tcPr>
            <w:tcW w:w="1200" w:type="dxa"/>
            <w:tcBorders>
              <w:top w:val="nil"/>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7</w:t>
            </w:r>
          </w:p>
        </w:tc>
      </w:tr>
      <w:tr>
        <w:tblPrEx>
          <w:tblCellMar>
            <w:top w:w="0" w:type="dxa"/>
            <w:left w:w="108" w:type="dxa"/>
            <w:bottom w:w="0" w:type="dxa"/>
            <w:right w:w="108" w:type="dxa"/>
          </w:tblCellMar>
        </w:tblPrEx>
        <w:trPr>
          <w:trHeight w:val="308" w:hRule="atLeast"/>
        </w:trPr>
        <w:tc>
          <w:tcPr>
            <w:tcW w:w="4894" w:type="dxa"/>
            <w:gridSpan w:val="4"/>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合计</w:t>
            </w:r>
          </w:p>
        </w:tc>
        <w:tc>
          <w:tcPr>
            <w:tcW w:w="1575" w:type="dxa"/>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8285.36</w:t>
            </w:r>
          </w:p>
        </w:tc>
        <w:tc>
          <w:tcPr>
            <w:tcW w:w="1200" w:type="dxa"/>
            <w:gridSpan w:val="2"/>
            <w:tcBorders>
              <w:top w:val="nil"/>
              <w:left w:val="nil"/>
              <w:bottom w:val="single" w:color="000000" w:sz="4" w:space="0"/>
              <w:right w:val="single" w:color="000000" w:sz="4" w:space="0"/>
            </w:tcBorders>
            <w:shd w:val="clear" w:color="auto" w:fill="FFFFFF" w:themeFill="background1"/>
            <w:noWrap/>
            <w:vAlign w:val="bottom"/>
          </w:tcPr>
          <w:p>
            <w:pPr>
              <w:rPr>
                <w:rFonts w:ascii="Arial" w:hAnsi="Arial" w:eastAsia="宋体" w:cs="Arial"/>
                <w:color w:val="000000"/>
                <w:sz w:val="20"/>
                <w:szCs w:val="20"/>
              </w:rPr>
            </w:pPr>
            <w:r>
              <w:rPr>
                <w:rFonts w:ascii="Arial" w:hAnsi="Arial" w:cs="Arial"/>
                <w:color w:val="000000"/>
                <w:sz w:val="20"/>
                <w:szCs w:val="20"/>
              </w:rPr>
              <w:t>7029.03</w:t>
            </w:r>
          </w:p>
        </w:tc>
        <w:tc>
          <w:tcPr>
            <w:tcW w:w="1200" w:type="dxa"/>
            <w:gridSpan w:val="3"/>
            <w:tcBorders>
              <w:top w:val="nil"/>
              <w:left w:val="nil"/>
              <w:bottom w:val="single" w:color="000000" w:sz="4" w:space="0"/>
              <w:right w:val="single" w:color="000000" w:sz="4" w:space="0"/>
            </w:tcBorders>
            <w:shd w:val="clear" w:color="auto" w:fill="FFFFFF" w:themeFill="background1"/>
            <w:noWrap/>
            <w:vAlign w:val="bottom"/>
          </w:tcPr>
          <w:p>
            <w:pPr>
              <w:rPr>
                <w:rFonts w:ascii="Arial" w:hAnsi="Arial" w:eastAsia="宋体" w:cs="Arial"/>
                <w:color w:val="000000"/>
                <w:sz w:val="20"/>
                <w:szCs w:val="20"/>
              </w:rPr>
            </w:pPr>
            <w:r>
              <w:rPr>
                <w:rFonts w:ascii="Arial" w:hAnsi="Arial" w:cs="Arial"/>
                <w:color w:val="000000"/>
                <w:sz w:val="20"/>
                <w:szCs w:val="20"/>
              </w:rPr>
              <w:t>1256.33</w:t>
            </w:r>
          </w:p>
        </w:tc>
        <w:tc>
          <w:tcPr>
            <w:tcW w:w="1200" w:type="dxa"/>
            <w:gridSpan w:val="2"/>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c>
          <w:tcPr>
            <w:tcW w:w="1200" w:type="dxa"/>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c>
          <w:tcPr>
            <w:tcW w:w="1200" w:type="dxa"/>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一般公共服务支出</w:t>
            </w:r>
          </w:p>
        </w:tc>
        <w:tc>
          <w:tcPr>
            <w:tcW w:w="1575"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hint="eastAsia" w:ascii="Arial" w:hAnsi="Arial" w:eastAsia="宋体" w:cs="Arial"/>
                <w:color w:val="000000"/>
                <w:sz w:val="20"/>
                <w:szCs w:val="20"/>
                <w:lang w:eastAsia="zh-CN"/>
              </w:rPr>
              <w:t>2267.98</w:t>
            </w:r>
          </w:p>
        </w:tc>
        <w:tc>
          <w:tcPr>
            <w:tcW w:w="1200"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1692.45</w:t>
            </w:r>
          </w:p>
        </w:tc>
        <w:tc>
          <w:tcPr>
            <w:tcW w:w="1200" w:type="dxa"/>
            <w:gridSpan w:val="3"/>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575.53</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20103</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政府办公厅（相关机构事务</w:t>
            </w:r>
          </w:p>
        </w:tc>
        <w:tc>
          <w:tcPr>
            <w:tcW w:w="1575"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hint="eastAsia" w:ascii="Arial" w:hAnsi="Arial" w:eastAsia="宋体" w:cs="Arial"/>
                <w:color w:val="000000"/>
                <w:sz w:val="20"/>
                <w:szCs w:val="20"/>
                <w:lang w:eastAsia="zh-CN"/>
              </w:rPr>
              <w:t>1957.10</w:t>
            </w:r>
          </w:p>
        </w:tc>
        <w:tc>
          <w:tcPr>
            <w:tcW w:w="1200"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1514.09</w:t>
            </w:r>
          </w:p>
        </w:tc>
        <w:tc>
          <w:tcPr>
            <w:tcW w:w="1200" w:type="dxa"/>
            <w:gridSpan w:val="3"/>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443.02</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2010301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1575"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hint="eastAsia" w:ascii="Arial" w:hAnsi="Arial" w:eastAsia="宋体" w:cs="Arial"/>
                <w:color w:val="000000"/>
                <w:sz w:val="20"/>
                <w:szCs w:val="20"/>
                <w:lang w:eastAsia="zh-CN"/>
              </w:rPr>
              <w:t>1957.10</w:t>
            </w:r>
          </w:p>
        </w:tc>
        <w:tc>
          <w:tcPr>
            <w:tcW w:w="1200"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1514.09</w:t>
            </w:r>
          </w:p>
        </w:tc>
        <w:tc>
          <w:tcPr>
            <w:tcW w:w="1200" w:type="dxa"/>
            <w:gridSpan w:val="3"/>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443.02</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20104</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发展与改革事务</w:t>
            </w:r>
          </w:p>
        </w:tc>
        <w:tc>
          <w:tcPr>
            <w:tcW w:w="1575"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hint="eastAsia" w:ascii="Arial" w:hAnsi="Arial" w:eastAsia="宋体" w:cs="Arial"/>
                <w:color w:val="000000"/>
                <w:sz w:val="20"/>
                <w:szCs w:val="20"/>
                <w:lang w:eastAsia="zh-CN"/>
              </w:rPr>
              <w:t>185.44</w:t>
            </w:r>
          </w:p>
        </w:tc>
        <w:tc>
          <w:tcPr>
            <w:tcW w:w="1200"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103.17</w:t>
            </w:r>
          </w:p>
        </w:tc>
        <w:tc>
          <w:tcPr>
            <w:tcW w:w="1200" w:type="dxa"/>
            <w:gridSpan w:val="3"/>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82.28</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2010401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1575"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hint="eastAsia" w:ascii="Arial" w:hAnsi="Arial" w:eastAsia="宋体" w:cs="Arial"/>
                <w:color w:val="000000"/>
                <w:sz w:val="20"/>
                <w:szCs w:val="20"/>
                <w:lang w:eastAsia="zh-CN"/>
              </w:rPr>
              <w:t>185.44</w:t>
            </w:r>
          </w:p>
        </w:tc>
        <w:tc>
          <w:tcPr>
            <w:tcW w:w="1200"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103.17</w:t>
            </w:r>
          </w:p>
        </w:tc>
        <w:tc>
          <w:tcPr>
            <w:tcW w:w="1200" w:type="dxa"/>
            <w:gridSpan w:val="3"/>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82.28</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20106</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财政事务</w:t>
            </w:r>
          </w:p>
        </w:tc>
        <w:tc>
          <w:tcPr>
            <w:tcW w:w="1575"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99.86</w:t>
            </w:r>
          </w:p>
        </w:tc>
        <w:tc>
          <w:tcPr>
            <w:tcW w:w="1200"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59.50</w:t>
            </w:r>
          </w:p>
        </w:tc>
        <w:tc>
          <w:tcPr>
            <w:tcW w:w="1200" w:type="dxa"/>
            <w:gridSpan w:val="3"/>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40.36</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2010601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1575"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99.86</w:t>
            </w:r>
          </w:p>
        </w:tc>
        <w:tc>
          <w:tcPr>
            <w:tcW w:w="1200"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59.50</w:t>
            </w:r>
          </w:p>
        </w:tc>
        <w:tc>
          <w:tcPr>
            <w:tcW w:w="1200" w:type="dxa"/>
            <w:gridSpan w:val="3"/>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40.36</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20199</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其他一般公共服务支出</w:t>
            </w:r>
          </w:p>
        </w:tc>
        <w:tc>
          <w:tcPr>
            <w:tcW w:w="1575"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25.57</w:t>
            </w:r>
          </w:p>
        </w:tc>
        <w:tc>
          <w:tcPr>
            <w:tcW w:w="1200"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15.70</w:t>
            </w:r>
          </w:p>
        </w:tc>
        <w:tc>
          <w:tcPr>
            <w:tcW w:w="1200" w:type="dxa"/>
            <w:gridSpan w:val="3"/>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9.87</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207</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文化旅游体育与传媒支出</w:t>
            </w:r>
          </w:p>
        </w:tc>
        <w:tc>
          <w:tcPr>
            <w:tcW w:w="1575"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25.57</w:t>
            </w:r>
          </w:p>
        </w:tc>
        <w:tc>
          <w:tcPr>
            <w:tcW w:w="1200"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15.70</w:t>
            </w:r>
          </w:p>
        </w:tc>
        <w:tc>
          <w:tcPr>
            <w:tcW w:w="1200" w:type="dxa"/>
            <w:gridSpan w:val="3"/>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9.87</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20701</w:t>
            </w:r>
          </w:p>
        </w:tc>
        <w:tc>
          <w:tcPr>
            <w:tcW w:w="3770" w:type="dxa"/>
            <w:tcBorders>
              <w:top w:val="nil"/>
              <w:left w:val="nil"/>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文化和旅游</w:t>
            </w:r>
          </w:p>
        </w:tc>
        <w:tc>
          <w:tcPr>
            <w:tcW w:w="1575" w:type="dxa"/>
            <w:tcBorders>
              <w:top w:val="nil"/>
              <w:left w:val="nil"/>
              <w:bottom w:val="single" w:color="auto"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48.48</w:t>
            </w:r>
          </w:p>
        </w:tc>
        <w:tc>
          <w:tcPr>
            <w:tcW w:w="1200" w:type="dxa"/>
            <w:gridSpan w:val="2"/>
            <w:tcBorders>
              <w:top w:val="nil"/>
              <w:left w:val="nil"/>
              <w:bottom w:val="single" w:color="auto"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46.47</w:t>
            </w:r>
          </w:p>
        </w:tc>
        <w:tc>
          <w:tcPr>
            <w:tcW w:w="1200" w:type="dxa"/>
            <w:gridSpan w:val="3"/>
            <w:tcBorders>
              <w:top w:val="nil"/>
              <w:left w:val="nil"/>
              <w:bottom w:val="single" w:color="auto"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2.01</w:t>
            </w:r>
          </w:p>
        </w:tc>
        <w:tc>
          <w:tcPr>
            <w:tcW w:w="1200" w:type="dxa"/>
            <w:gridSpan w:val="2"/>
            <w:tcBorders>
              <w:top w:val="nil"/>
              <w:left w:val="nil"/>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2070101</w:t>
            </w:r>
          </w:p>
        </w:tc>
        <w:tc>
          <w:tcPr>
            <w:tcW w:w="377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48.48</w:t>
            </w:r>
          </w:p>
        </w:tc>
        <w:tc>
          <w:tcPr>
            <w:tcW w:w="1200"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46.47</w:t>
            </w:r>
          </w:p>
        </w:tc>
        <w:tc>
          <w:tcPr>
            <w:tcW w:w="1200"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2.01</w:t>
            </w:r>
          </w:p>
        </w:tc>
        <w:tc>
          <w:tcPr>
            <w:tcW w:w="120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w:t>
            </w:r>
          </w:p>
        </w:tc>
        <w:tc>
          <w:tcPr>
            <w:tcW w:w="3770"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社会保障和就业支出</w:t>
            </w:r>
          </w:p>
        </w:tc>
        <w:tc>
          <w:tcPr>
            <w:tcW w:w="1575" w:type="dxa"/>
            <w:tcBorders>
              <w:top w:val="single" w:color="auto" w:sz="4" w:space="0"/>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544.76</w:t>
            </w:r>
          </w:p>
        </w:tc>
        <w:tc>
          <w:tcPr>
            <w:tcW w:w="1200" w:type="dxa"/>
            <w:gridSpan w:val="2"/>
            <w:tcBorders>
              <w:top w:val="single" w:color="auto" w:sz="4" w:space="0"/>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356.97</w:t>
            </w:r>
          </w:p>
        </w:tc>
        <w:tc>
          <w:tcPr>
            <w:tcW w:w="1200" w:type="dxa"/>
            <w:gridSpan w:val="3"/>
            <w:tcBorders>
              <w:top w:val="single" w:color="auto" w:sz="4" w:space="0"/>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187.78</w:t>
            </w:r>
          </w:p>
        </w:tc>
        <w:tc>
          <w:tcPr>
            <w:tcW w:w="1200" w:type="dxa"/>
            <w:gridSpan w:val="2"/>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人力资源和社会保障管理事务</w:t>
            </w:r>
          </w:p>
        </w:tc>
        <w:tc>
          <w:tcPr>
            <w:tcW w:w="1575" w:type="dxa"/>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273.92</w:t>
            </w:r>
          </w:p>
        </w:tc>
        <w:tc>
          <w:tcPr>
            <w:tcW w:w="1200" w:type="dxa"/>
            <w:gridSpan w:val="2"/>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142.91</w:t>
            </w:r>
          </w:p>
        </w:tc>
        <w:tc>
          <w:tcPr>
            <w:tcW w:w="1200" w:type="dxa"/>
            <w:gridSpan w:val="3"/>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131.01</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2080101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1575" w:type="dxa"/>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273.92</w:t>
            </w:r>
          </w:p>
        </w:tc>
        <w:tc>
          <w:tcPr>
            <w:tcW w:w="1200" w:type="dxa"/>
            <w:gridSpan w:val="2"/>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142.91</w:t>
            </w:r>
          </w:p>
        </w:tc>
        <w:tc>
          <w:tcPr>
            <w:tcW w:w="1200" w:type="dxa"/>
            <w:gridSpan w:val="3"/>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131.01</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20805</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行政事业单位养老支出</w:t>
            </w:r>
          </w:p>
        </w:tc>
        <w:tc>
          <w:tcPr>
            <w:tcW w:w="1575" w:type="dxa"/>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128.28</w:t>
            </w:r>
          </w:p>
        </w:tc>
        <w:tc>
          <w:tcPr>
            <w:tcW w:w="1200" w:type="dxa"/>
            <w:gridSpan w:val="2"/>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128.28</w:t>
            </w:r>
          </w:p>
        </w:tc>
        <w:tc>
          <w:tcPr>
            <w:tcW w:w="1200" w:type="dxa"/>
            <w:gridSpan w:val="3"/>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2080505</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机关事业单位基本养老保险缴费支出</w:t>
            </w:r>
          </w:p>
        </w:tc>
        <w:tc>
          <w:tcPr>
            <w:tcW w:w="1575" w:type="dxa"/>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72.43</w:t>
            </w:r>
          </w:p>
        </w:tc>
        <w:tc>
          <w:tcPr>
            <w:tcW w:w="1200" w:type="dxa"/>
            <w:gridSpan w:val="2"/>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72.43</w:t>
            </w:r>
          </w:p>
        </w:tc>
        <w:tc>
          <w:tcPr>
            <w:tcW w:w="1200" w:type="dxa"/>
            <w:gridSpan w:val="3"/>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2080506</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机关事业单位职业年金缴费支出</w:t>
            </w:r>
          </w:p>
        </w:tc>
        <w:tc>
          <w:tcPr>
            <w:tcW w:w="1575" w:type="dxa"/>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55.85</w:t>
            </w:r>
          </w:p>
        </w:tc>
        <w:tc>
          <w:tcPr>
            <w:tcW w:w="1200" w:type="dxa"/>
            <w:gridSpan w:val="2"/>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55.85</w:t>
            </w:r>
          </w:p>
        </w:tc>
        <w:tc>
          <w:tcPr>
            <w:tcW w:w="1200" w:type="dxa"/>
            <w:gridSpan w:val="3"/>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20808</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抚恤</w:t>
            </w:r>
          </w:p>
        </w:tc>
        <w:tc>
          <w:tcPr>
            <w:tcW w:w="1575" w:type="dxa"/>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57.13</w:t>
            </w:r>
          </w:p>
        </w:tc>
        <w:tc>
          <w:tcPr>
            <w:tcW w:w="1200" w:type="dxa"/>
            <w:gridSpan w:val="2"/>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57.13</w:t>
            </w:r>
          </w:p>
        </w:tc>
        <w:tc>
          <w:tcPr>
            <w:tcW w:w="1200" w:type="dxa"/>
            <w:gridSpan w:val="3"/>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2080801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死亡抚恤</w:t>
            </w:r>
          </w:p>
        </w:tc>
        <w:tc>
          <w:tcPr>
            <w:tcW w:w="1575" w:type="dxa"/>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57.13</w:t>
            </w:r>
          </w:p>
        </w:tc>
        <w:tc>
          <w:tcPr>
            <w:tcW w:w="1200" w:type="dxa"/>
            <w:gridSpan w:val="2"/>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57.13</w:t>
            </w:r>
          </w:p>
        </w:tc>
        <w:tc>
          <w:tcPr>
            <w:tcW w:w="1200" w:type="dxa"/>
            <w:gridSpan w:val="3"/>
            <w:tcBorders>
              <w:top w:val="nil"/>
              <w:left w:val="nil"/>
              <w:bottom w:val="single" w:color="000000"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20809</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退役安置</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73．38</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16.60</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56.78</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2080901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退役士兵安置</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73.38</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16.60</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56.78</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20827</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财政对其他社会保险基金的补助</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12.04</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12.04</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hint="default" w:ascii="宋体" w:hAnsi="宋体" w:eastAsia="宋体" w:cs="Arial"/>
                <w:color w:val="000000"/>
                <w:lang w:val="en-US"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2082701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财政对失业保险基金的补助</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5.86</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5.86</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hint="default" w:ascii="宋体" w:hAnsi="宋体" w:eastAsia="宋体" w:cs="Arial"/>
                <w:color w:val="000000"/>
                <w:lang w:val="en-US"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2082702</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财政对工伤保险基金的补助</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6.19</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6.19</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hint="default" w:ascii="宋体" w:hAnsi="宋体" w:eastAsia="宋体" w:cs="Arial"/>
                <w:color w:val="000000"/>
                <w:lang w:val="en-US"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210</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卫生健康支出</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hint="default" w:ascii="宋体" w:hAnsi="宋体" w:eastAsia="宋体" w:cs="Arial"/>
                <w:color w:val="000000"/>
                <w:lang w:val="en-US"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21012</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财政对基本医疗保险基金的补助</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hint="default" w:ascii="宋体" w:hAnsi="宋体" w:eastAsia="宋体" w:cs="Arial"/>
                <w:color w:val="000000"/>
                <w:lang w:val="en-US"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2101201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财政对职工基本医疗保险基金的补助</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hint="default" w:ascii="宋体" w:hAnsi="宋体" w:eastAsia="宋体" w:cs="Arial"/>
                <w:color w:val="000000"/>
                <w:lang w:val="en-US"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节能环保支出</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292.40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208.46</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83.94</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21104</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自然生态保护</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292.40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208.46</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83.94</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2110402</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农村环境保护</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292.40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208.46</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83.94</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212</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城乡社区支出</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89.74</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89.43</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0.31</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21201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城乡社区管理事务</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51.74</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51.43</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0.31</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2120104</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城管执法</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51.74</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51.43</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0.31</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21203</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城乡社区公共设施</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38.00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38．00</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hint="default" w:ascii="宋体" w:hAnsi="宋体" w:eastAsia="宋体" w:cs="Arial"/>
                <w:color w:val="000000"/>
                <w:lang w:val="en-US"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212</w:t>
            </w:r>
            <w:r>
              <w:rPr>
                <w:rFonts w:hint="eastAsia" w:ascii="宋体" w:hAnsi="宋体" w:eastAsia="宋体" w:cs="Arial"/>
                <w:color w:val="000000"/>
                <w:lang w:val="en-US" w:eastAsia="zh-CN" w:bidi="ar-SA"/>
              </w:rPr>
              <w:t>0</w:t>
            </w:r>
            <w:r>
              <w:rPr>
                <w:rFonts w:hint="eastAsia" w:ascii="宋体" w:hAnsi="宋体" w:eastAsia="宋体" w:cs="Arial"/>
                <w:color w:val="000000"/>
                <w:lang w:eastAsia="zh-CN" w:bidi="ar-SA"/>
              </w:rPr>
              <w:t>399</w:t>
            </w:r>
          </w:p>
        </w:tc>
        <w:tc>
          <w:tcPr>
            <w:tcW w:w="3770" w:type="dxa"/>
            <w:tcBorders>
              <w:top w:val="nil"/>
              <w:left w:val="nil"/>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其他城乡社区公共设施支出</w:t>
            </w:r>
          </w:p>
        </w:tc>
        <w:tc>
          <w:tcPr>
            <w:tcW w:w="1575" w:type="dxa"/>
            <w:tcBorders>
              <w:top w:val="nil"/>
              <w:left w:val="nil"/>
              <w:bottom w:val="single" w:color="auto"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38.00</w:t>
            </w:r>
          </w:p>
        </w:tc>
        <w:tc>
          <w:tcPr>
            <w:tcW w:w="1200" w:type="dxa"/>
            <w:gridSpan w:val="2"/>
            <w:tcBorders>
              <w:top w:val="nil"/>
              <w:left w:val="nil"/>
              <w:bottom w:val="single" w:color="auto"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38.00</w:t>
            </w:r>
          </w:p>
        </w:tc>
        <w:tc>
          <w:tcPr>
            <w:tcW w:w="1200" w:type="dxa"/>
            <w:gridSpan w:val="3"/>
            <w:tcBorders>
              <w:top w:val="nil"/>
              <w:left w:val="nil"/>
              <w:bottom w:val="single" w:color="auto" w:sz="4" w:space="0"/>
              <w:right w:val="single" w:color="000000" w:sz="4" w:space="0"/>
            </w:tcBorders>
            <w:shd w:val="clear" w:color="auto" w:fill="auto"/>
            <w:noWrap/>
            <w:vAlign w:val="center"/>
          </w:tcPr>
          <w:p>
            <w:pPr>
              <w:spacing w:after="0" w:line="240" w:lineRule="auto"/>
              <w:jc w:val="both"/>
              <w:rPr>
                <w:rFonts w:hint="default" w:ascii="宋体" w:hAnsi="宋体" w:eastAsia="宋体" w:cs="Arial"/>
                <w:color w:val="000000"/>
                <w:lang w:val="en-US"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auto"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auto"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auto"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auto"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w:t>
            </w:r>
          </w:p>
        </w:tc>
        <w:tc>
          <w:tcPr>
            <w:tcW w:w="377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农林水支出</w:t>
            </w: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1264.52</w:t>
            </w:r>
          </w:p>
        </w:tc>
        <w:tc>
          <w:tcPr>
            <w:tcW w:w="120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1026.59</w:t>
            </w:r>
          </w:p>
        </w:tc>
        <w:tc>
          <w:tcPr>
            <w:tcW w:w="12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237.93</w:t>
            </w:r>
          </w:p>
        </w:tc>
        <w:tc>
          <w:tcPr>
            <w:tcW w:w="120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21301</w:t>
            </w:r>
          </w:p>
        </w:tc>
        <w:tc>
          <w:tcPr>
            <w:tcW w:w="3770"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农业农村</w:t>
            </w:r>
          </w:p>
        </w:tc>
        <w:tc>
          <w:tcPr>
            <w:tcW w:w="1575"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373.08</w:t>
            </w:r>
          </w:p>
        </w:tc>
        <w:tc>
          <w:tcPr>
            <w:tcW w:w="1200" w:type="dxa"/>
            <w:gridSpan w:val="2"/>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135.15</w:t>
            </w:r>
          </w:p>
        </w:tc>
        <w:tc>
          <w:tcPr>
            <w:tcW w:w="1200" w:type="dxa"/>
            <w:gridSpan w:val="3"/>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237.93</w:t>
            </w:r>
          </w:p>
        </w:tc>
        <w:tc>
          <w:tcPr>
            <w:tcW w:w="1200" w:type="dxa"/>
            <w:gridSpan w:val="2"/>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2130101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373.08</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135.15</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237.93</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21307</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农村综合改革</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891.44</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891.44</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2130705</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对村民委员会和村党支部的补助</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552.44</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552.44</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2130799</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其他农村综合改革支出</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339</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339</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215</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资源勘探工业信息等支出</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21508</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支持中小企业发展和管理支出</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2150899</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其他支持中小企业发展和管理支出</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住房保障支出</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22102</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住房改革支出</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2210201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住房公积金</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224</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灾害防治及应急管理支出</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323.62</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154.78</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163.83</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22401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应急管理事务</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323.62</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154.78</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163.83</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2240101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323.62</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154.78</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163.83</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229</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其他支出</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22960</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彩票公益金安排的支出</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124"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2296099</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用于其它社会公益的彩票公益金支出</w:t>
            </w:r>
          </w:p>
        </w:tc>
        <w:tc>
          <w:tcPr>
            <w:tcW w:w="1575"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200" w:type="dxa"/>
            <w:gridSpan w:val="3"/>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200" w:type="dxa"/>
            <w:tcBorders>
              <w:top w:val="nil"/>
              <w:left w:val="nil"/>
              <w:bottom w:val="single" w:color="000000" w:sz="4" w:space="0"/>
              <w:right w:val="single" w:color="000000" w:sz="4" w:space="0"/>
            </w:tcBorders>
            <w:shd w:val="clear" w:color="auto" w:fill="auto"/>
            <w:noWrap/>
            <w:vAlign w:val="center"/>
          </w:tcPr>
          <w:p>
            <w:pPr>
              <w:spacing w:after="0" w:line="240" w:lineRule="auto"/>
              <w:jc w:val="both"/>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8" w:hRule="atLeast"/>
        </w:trPr>
        <w:tc>
          <w:tcPr>
            <w:tcW w:w="13669" w:type="dxa"/>
            <w:gridSpan w:val="16"/>
            <w:tcBorders>
              <w:top w:val="nil"/>
              <w:left w:val="nil"/>
              <w:bottom w:val="nil"/>
              <w:right w:val="nil"/>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注：本表反映部门本年度取得的各项收入情况。</w:t>
            </w:r>
          </w:p>
        </w:tc>
      </w:tr>
    </w:tbl>
    <w:p>
      <w:pPr>
        <w:rPr>
          <w:lang w:eastAsia="zh-CN"/>
        </w:rPr>
      </w:pPr>
    </w:p>
    <w:p>
      <w:pPr>
        <w:shd w:val="clear" w:color="auto" w:fill="FFFFFF"/>
        <w:ind w:firstLine="560" w:firstLineChars="200"/>
        <w:rPr>
          <w:rFonts w:ascii="黑体" w:hAnsi="黑体" w:eastAsia="黑体" w:cstheme="minorEastAsia"/>
          <w:color w:val="000000" w:themeColor="text1"/>
          <w:sz w:val="28"/>
          <w:szCs w:val="28"/>
          <w:lang w:eastAsia="zh-CN"/>
          <w14:textFill>
            <w14:solidFill>
              <w14:schemeClr w14:val="tx1"/>
            </w14:solidFill>
          </w14:textFill>
        </w:rPr>
      </w:pPr>
    </w:p>
    <w:p>
      <w:pPr>
        <w:shd w:val="clear" w:color="auto" w:fill="FFFFFF"/>
        <w:ind w:firstLine="560" w:firstLineChars="200"/>
        <w:rPr>
          <w:rFonts w:ascii="黑体" w:hAnsi="黑体" w:eastAsia="黑体" w:cstheme="minorEastAsia"/>
          <w:color w:val="000000" w:themeColor="text1"/>
          <w:sz w:val="28"/>
          <w:szCs w:val="28"/>
          <w:lang w:eastAsia="zh-CN"/>
          <w14:textFill>
            <w14:solidFill>
              <w14:schemeClr w14:val="tx1"/>
            </w14:solidFill>
          </w14:textFill>
        </w:rPr>
      </w:pPr>
    </w:p>
    <w:p>
      <w:pPr>
        <w:shd w:val="clear" w:color="auto" w:fill="FFFFFF"/>
        <w:ind w:firstLine="560" w:firstLineChars="200"/>
        <w:rPr>
          <w:rFonts w:ascii="黑体" w:hAnsi="黑体" w:eastAsia="黑体" w:cstheme="minorEastAsia"/>
          <w:color w:val="000000" w:themeColor="text1"/>
          <w:sz w:val="28"/>
          <w:szCs w:val="28"/>
          <w:lang w:eastAsia="zh-CN"/>
          <w14:textFill>
            <w14:solidFill>
              <w14:schemeClr w14:val="tx1"/>
            </w14:solidFill>
          </w14:textFill>
        </w:rPr>
      </w:pPr>
    </w:p>
    <w:p>
      <w:pPr>
        <w:shd w:val="clear" w:color="auto" w:fill="FFFFFF"/>
        <w:ind w:firstLine="560" w:firstLineChars="200"/>
        <w:rPr>
          <w:rFonts w:ascii="黑体" w:hAnsi="黑体" w:eastAsia="黑体" w:cstheme="minorEastAsia"/>
          <w:color w:val="000000" w:themeColor="text1"/>
          <w:sz w:val="28"/>
          <w:szCs w:val="28"/>
          <w:lang w:eastAsia="zh-CN"/>
          <w14:textFill>
            <w14:solidFill>
              <w14:schemeClr w14:val="tx1"/>
            </w14:solidFill>
          </w14:textFill>
        </w:rPr>
      </w:pPr>
    </w:p>
    <w:tbl>
      <w:tblPr>
        <w:tblStyle w:val="18"/>
        <w:tblW w:w="17616" w:type="dxa"/>
        <w:tblInd w:w="93" w:type="dxa"/>
        <w:tblLayout w:type="autofit"/>
        <w:tblCellMar>
          <w:top w:w="0" w:type="dxa"/>
          <w:left w:w="108" w:type="dxa"/>
          <w:bottom w:w="0" w:type="dxa"/>
          <w:right w:w="108" w:type="dxa"/>
        </w:tblCellMar>
      </w:tblPr>
      <w:tblGrid>
        <w:gridCol w:w="340"/>
        <w:gridCol w:w="340"/>
        <w:gridCol w:w="340"/>
        <w:gridCol w:w="3770"/>
        <w:gridCol w:w="1612"/>
        <w:gridCol w:w="1444"/>
        <w:gridCol w:w="1096"/>
        <w:gridCol w:w="660"/>
        <w:gridCol w:w="700"/>
        <w:gridCol w:w="3833"/>
        <w:gridCol w:w="3481"/>
      </w:tblGrid>
      <w:tr>
        <w:tblPrEx>
          <w:tblCellMar>
            <w:top w:w="0" w:type="dxa"/>
            <w:left w:w="108" w:type="dxa"/>
            <w:bottom w:w="0" w:type="dxa"/>
            <w:right w:w="108" w:type="dxa"/>
          </w:tblCellMar>
        </w:tblPrEx>
        <w:trPr>
          <w:gridAfter w:val="1"/>
          <w:wAfter w:w="3481" w:type="dxa"/>
          <w:trHeight w:val="390" w:hRule="atLeast"/>
        </w:trPr>
        <w:tc>
          <w:tcPr>
            <w:tcW w:w="34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34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34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3115" w:type="dxa"/>
            <w:gridSpan w:val="7"/>
            <w:tcBorders>
              <w:top w:val="nil"/>
              <w:left w:val="nil"/>
              <w:bottom w:val="nil"/>
              <w:right w:val="nil"/>
            </w:tcBorders>
            <w:shd w:val="clear" w:color="auto" w:fill="auto"/>
            <w:noWrap/>
            <w:vAlign w:val="bottom"/>
          </w:tcPr>
          <w:p>
            <w:pPr>
              <w:spacing w:after="0" w:line="240" w:lineRule="auto"/>
              <w:jc w:val="center"/>
              <w:rPr>
                <w:rFonts w:ascii="宋体" w:hAnsi="宋体" w:eastAsia="宋体" w:cs="Arial"/>
                <w:color w:val="000000"/>
                <w:sz w:val="30"/>
                <w:szCs w:val="30"/>
                <w:lang w:eastAsia="zh-CN" w:bidi="ar-SA"/>
              </w:rPr>
            </w:pPr>
            <w:r>
              <w:rPr>
                <w:rFonts w:hint="eastAsia" w:ascii="宋体" w:hAnsi="宋体" w:eastAsia="宋体" w:cs="Arial"/>
                <w:color w:val="000000"/>
                <w:sz w:val="30"/>
                <w:szCs w:val="30"/>
                <w:lang w:eastAsia="zh-CN" w:bidi="ar-SA"/>
              </w:rPr>
              <w:t>支出决算表</w:t>
            </w:r>
          </w:p>
        </w:tc>
      </w:tr>
      <w:tr>
        <w:tblPrEx>
          <w:tblCellMar>
            <w:top w:w="0" w:type="dxa"/>
            <w:left w:w="108" w:type="dxa"/>
            <w:bottom w:w="0" w:type="dxa"/>
            <w:right w:w="108" w:type="dxa"/>
          </w:tblCellMar>
        </w:tblPrEx>
        <w:trPr>
          <w:gridAfter w:val="1"/>
          <w:wAfter w:w="3481" w:type="dxa"/>
          <w:trHeight w:val="255" w:hRule="atLeast"/>
        </w:trPr>
        <w:tc>
          <w:tcPr>
            <w:tcW w:w="34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34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34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377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612"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444"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096"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66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70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3833" w:type="dxa"/>
            <w:tcBorders>
              <w:top w:val="nil"/>
              <w:left w:val="nil"/>
              <w:bottom w:val="nil"/>
              <w:right w:val="nil"/>
            </w:tcBorders>
            <w:shd w:val="clear" w:color="auto" w:fill="auto"/>
            <w:noWrap/>
            <w:vAlign w:val="bottom"/>
          </w:tcPr>
          <w:p>
            <w:pPr>
              <w:spacing w:after="0" w:line="240" w:lineRule="auto"/>
              <w:jc w:val="right"/>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公开03表</w:t>
            </w:r>
          </w:p>
        </w:tc>
      </w:tr>
      <w:tr>
        <w:tblPrEx>
          <w:tblCellMar>
            <w:top w:w="0" w:type="dxa"/>
            <w:left w:w="108" w:type="dxa"/>
            <w:bottom w:w="0" w:type="dxa"/>
            <w:right w:w="108" w:type="dxa"/>
          </w:tblCellMar>
        </w:tblPrEx>
        <w:trPr>
          <w:gridAfter w:val="1"/>
          <w:wAfter w:w="3481" w:type="dxa"/>
          <w:trHeight w:val="255" w:hRule="atLeast"/>
        </w:trPr>
        <w:tc>
          <w:tcPr>
            <w:tcW w:w="4790" w:type="dxa"/>
            <w:gridSpan w:val="4"/>
            <w:tcBorders>
              <w:top w:val="nil"/>
              <w:left w:val="nil"/>
              <w:bottom w:val="nil"/>
              <w:right w:val="nil"/>
            </w:tcBorders>
            <w:shd w:val="clear" w:color="auto" w:fill="auto"/>
            <w:noWrap/>
            <w:vAlign w:val="bottom"/>
          </w:tcPr>
          <w:p>
            <w:pPr>
              <w:spacing w:after="0" w:line="240" w:lineRule="auto"/>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部门：湘潭县云湖桥镇人民政府</w:t>
            </w:r>
          </w:p>
        </w:tc>
        <w:tc>
          <w:tcPr>
            <w:tcW w:w="1612"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444"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096"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66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70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3833" w:type="dxa"/>
            <w:tcBorders>
              <w:top w:val="nil"/>
              <w:left w:val="nil"/>
              <w:bottom w:val="nil"/>
              <w:right w:val="nil"/>
            </w:tcBorders>
            <w:shd w:val="clear" w:color="auto" w:fill="auto"/>
            <w:noWrap/>
            <w:vAlign w:val="bottom"/>
          </w:tcPr>
          <w:p>
            <w:pPr>
              <w:spacing w:after="0" w:line="240" w:lineRule="auto"/>
              <w:jc w:val="right"/>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金额单位：万元</w:t>
            </w:r>
          </w:p>
        </w:tc>
      </w:tr>
      <w:tr>
        <w:tblPrEx>
          <w:tblCellMar>
            <w:top w:w="0" w:type="dxa"/>
            <w:left w:w="108" w:type="dxa"/>
            <w:bottom w:w="0" w:type="dxa"/>
            <w:right w:w="108" w:type="dxa"/>
          </w:tblCellMar>
        </w:tblPrEx>
        <w:trPr>
          <w:gridAfter w:val="1"/>
          <w:wAfter w:w="3481" w:type="dxa"/>
          <w:trHeight w:val="308" w:hRule="atLeast"/>
        </w:trPr>
        <w:tc>
          <w:tcPr>
            <w:tcW w:w="4790"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项目</w:t>
            </w:r>
          </w:p>
        </w:tc>
        <w:tc>
          <w:tcPr>
            <w:tcW w:w="1612"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本年支出合计</w:t>
            </w:r>
          </w:p>
        </w:tc>
        <w:tc>
          <w:tcPr>
            <w:tcW w:w="1444"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基本支出</w:t>
            </w:r>
          </w:p>
        </w:tc>
        <w:tc>
          <w:tcPr>
            <w:tcW w:w="1096"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项目支出</w:t>
            </w:r>
          </w:p>
        </w:tc>
        <w:tc>
          <w:tcPr>
            <w:tcW w:w="660"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上缴上级支出</w:t>
            </w:r>
          </w:p>
        </w:tc>
        <w:tc>
          <w:tcPr>
            <w:tcW w:w="700"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经营支出</w:t>
            </w:r>
          </w:p>
        </w:tc>
        <w:tc>
          <w:tcPr>
            <w:tcW w:w="3833"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对附属单位补助支出</w:t>
            </w:r>
          </w:p>
        </w:tc>
      </w:tr>
      <w:tr>
        <w:tblPrEx>
          <w:tblCellMar>
            <w:top w:w="0" w:type="dxa"/>
            <w:left w:w="108" w:type="dxa"/>
            <w:bottom w:w="0" w:type="dxa"/>
            <w:right w:w="108" w:type="dxa"/>
          </w:tblCellMar>
        </w:tblPrEx>
        <w:trPr>
          <w:gridAfter w:val="1"/>
          <w:wAfter w:w="3481" w:type="dxa"/>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功能分类科目编码</w:t>
            </w:r>
          </w:p>
        </w:tc>
        <w:tc>
          <w:tcPr>
            <w:tcW w:w="3770" w:type="dxa"/>
            <w:vMerge w:val="restart"/>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科目名称</w:t>
            </w:r>
          </w:p>
        </w:tc>
        <w:tc>
          <w:tcPr>
            <w:tcW w:w="1612"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444"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09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66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70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3833"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r>
      <w:tr>
        <w:tblPrEx>
          <w:tblCellMar>
            <w:top w:w="0" w:type="dxa"/>
            <w:left w:w="108" w:type="dxa"/>
            <w:bottom w:w="0" w:type="dxa"/>
            <w:right w:w="108" w:type="dxa"/>
          </w:tblCellMar>
        </w:tblPrEx>
        <w:trPr>
          <w:gridAfter w:val="1"/>
          <w:wAfter w:w="3481" w:type="dxa"/>
          <w:trHeight w:val="312" w:hRule="atLeast"/>
        </w:trPr>
        <w:tc>
          <w:tcPr>
            <w:tcW w:w="1020" w:type="dxa"/>
            <w:gridSpan w:val="3"/>
            <w:vMerge w:val="continue"/>
            <w:tcBorders>
              <w:top w:val="nil"/>
              <w:left w:val="single" w:color="000000" w:sz="4" w:space="0"/>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3770" w:type="dxa"/>
            <w:vMerge w:val="continue"/>
            <w:tcBorders>
              <w:top w:val="nil"/>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612"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444"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09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66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70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3833"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r>
      <w:tr>
        <w:tblPrEx>
          <w:tblCellMar>
            <w:top w:w="0" w:type="dxa"/>
            <w:left w:w="108" w:type="dxa"/>
            <w:bottom w:w="0" w:type="dxa"/>
            <w:right w:w="108" w:type="dxa"/>
          </w:tblCellMar>
        </w:tblPrEx>
        <w:trPr>
          <w:gridAfter w:val="1"/>
          <w:wAfter w:w="3481" w:type="dxa"/>
          <w:trHeight w:val="312" w:hRule="atLeast"/>
        </w:trPr>
        <w:tc>
          <w:tcPr>
            <w:tcW w:w="1020" w:type="dxa"/>
            <w:gridSpan w:val="3"/>
            <w:vMerge w:val="continue"/>
            <w:tcBorders>
              <w:top w:val="nil"/>
              <w:left w:val="single" w:color="000000" w:sz="4" w:space="0"/>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3770" w:type="dxa"/>
            <w:vMerge w:val="continue"/>
            <w:tcBorders>
              <w:top w:val="nil"/>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612"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444"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109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66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70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c>
          <w:tcPr>
            <w:tcW w:w="3833"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spacing w:after="0" w:line="240" w:lineRule="auto"/>
              <w:rPr>
                <w:rFonts w:ascii="宋体" w:hAnsi="宋体" w:eastAsia="宋体" w:cs="Arial"/>
                <w:color w:val="000000"/>
                <w:lang w:eastAsia="zh-CN" w:bidi="ar-SA"/>
              </w:rPr>
            </w:pPr>
          </w:p>
        </w:tc>
      </w:tr>
      <w:tr>
        <w:tblPrEx>
          <w:tblCellMar>
            <w:top w:w="0" w:type="dxa"/>
            <w:left w:w="108" w:type="dxa"/>
            <w:bottom w:w="0" w:type="dxa"/>
            <w:right w:w="108" w:type="dxa"/>
          </w:tblCellMar>
        </w:tblPrEx>
        <w:trPr>
          <w:gridAfter w:val="1"/>
          <w:wAfter w:w="3481" w:type="dxa"/>
          <w:trHeight w:val="308" w:hRule="atLeast"/>
        </w:trPr>
        <w:tc>
          <w:tcPr>
            <w:tcW w:w="4790" w:type="dxa"/>
            <w:gridSpan w:val="4"/>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栏次</w:t>
            </w:r>
          </w:p>
        </w:tc>
        <w:tc>
          <w:tcPr>
            <w:tcW w:w="1612" w:type="dxa"/>
            <w:tcBorders>
              <w:top w:val="nil"/>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w:t>
            </w:r>
          </w:p>
        </w:tc>
        <w:tc>
          <w:tcPr>
            <w:tcW w:w="1444" w:type="dxa"/>
            <w:tcBorders>
              <w:top w:val="nil"/>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w:t>
            </w:r>
          </w:p>
        </w:tc>
        <w:tc>
          <w:tcPr>
            <w:tcW w:w="1096" w:type="dxa"/>
            <w:tcBorders>
              <w:top w:val="nil"/>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w:t>
            </w:r>
          </w:p>
        </w:tc>
        <w:tc>
          <w:tcPr>
            <w:tcW w:w="660" w:type="dxa"/>
            <w:tcBorders>
              <w:top w:val="nil"/>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w:t>
            </w:r>
          </w:p>
        </w:tc>
        <w:tc>
          <w:tcPr>
            <w:tcW w:w="700" w:type="dxa"/>
            <w:tcBorders>
              <w:top w:val="nil"/>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w:t>
            </w:r>
          </w:p>
        </w:tc>
        <w:tc>
          <w:tcPr>
            <w:tcW w:w="3833" w:type="dxa"/>
            <w:tcBorders>
              <w:top w:val="nil"/>
              <w:left w:val="nil"/>
              <w:bottom w:val="single" w:color="000000" w:sz="4" w:space="0"/>
              <w:right w:val="single" w:color="000000" w:sz="4" w:space="0"/>
            </w:tcBorders>
            <w:shd w:val="clear" w:color="auto"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6</w:t>
            </w:r>
          </w:p>
        </w:tc>
      </w:tr>
      <w:tr>
        <w:tblPrEx>
          <w:tblCellMar>
            <w:top w:w="0" w:type="dxa"/>
            <w:left w:w="108" w:type="dxa"/>
            <w:bottom w:w="0" w:type="dxa"/>
            <w:right w:w="108" w:type="dxa"/>
          </w:tblCellMar>
        </w:tblPrEx>
        <w:trPr>
          <w:gridAfter w:val="1"/>
          <w:wAfter w:w="3481" w:type="dxa"/>
          <w:trHeight w:val="308" w:hRule="atLeast"/>
        </w:trPr>
        <w:tc>
          <w:tcPr>
            <w:tcW w:w="4790" w:type="dxa"/>
            <w:gridSpan w:val="4"/>
            <w:tcBorders>
              <w:top w:val="nil"/>
              <w:left w:val="single" w:color="000000" w:sz="4" w:space="0"/>
              <w:bottom w:val="single" w:color="000000" w:sz="4" w:space="0"/>
              <w:right w:val="single" w:color="000000" w:sz="4" w:space="0"/>
            </w:tcBorders>
            <w:shd w:val="clear" w:color="auto"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合计</w:t>
            </w:r>
          </w:p>
        </w:tc>
        <w:tc>
          <w:tcPr>
            <w:tcW w:w="1612" w:type="dxa"/>
            <w:tcBorders>
              <w:top w:val="nil"/>
              <w:left w:val="nil"/>
              <w:bottom w:val="single" w:color="auto" w:sz="4" w:space="0"/>
              <w:right w:val="single" w:color="000000" w:sz="4" w:space="0"/>
            </w:tcBorders>
            <w:shd w:val="clear" w:color="auto" w:fill="FFFFFF" w:themeFill="background1"/>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8285.36</w:t>
            </w:r>
          </w:p>
        </w:tc>
        <w:tc>
          <w:tcPr>
            <w:tcW w:w="1444" w:type="dxa"/>
            <w:tcBorders>
              <w:top w:val="nil"/>
              <w:left w:val="nil"/>
              <w:bottom w:val="single" w:color="auto" w:sz="4" w:space="0"/>
              <w:right w:val="single" w:color="000000" w:sz="4" w:space="0"/>
            </w:tcBorders>
            <w:shd w:val="clear" w:color="auto" w:fill="FFFFFF" w:themeFill="background1"/>
            <w:noWrap/>
            <w:vAlign w:val="center"/>
          </w:tcPr>
          <w:p>
            <w:pPr>
              <w:spacing w:after="0" w:line="240" w:lineRule="auto"/>
              <w:ind w:right="440"/>
              <w:rPr>
                <w:rFonts w:ascii="宋体" w:hAnsi="宋体" w:eastAsia="宋体" w:cs="Arial"/>
                <w:b/>
                <w:bCs/>
                <w:color w:val="000000"/>
                <w:lang w:eastAsia="zh-CN" w:bidi="ar-SA"/>
              </w:rPr>
            </w:pPr>
            <w:r>
              <w:rPr>
                <w:rFonts w:hint="eastAsia" w:ascii="宋体" w:hAnsi="宋体" w:eastAsia="宋体" w:cs="Arial"/>
                <w:b/>
                <w:bCs/>
                <w:color w:val="000000"/>
                <w:lang w:eastAsia="zh-CN" w:bidi="ar-SA"/>
              </w:rPr>
              <w:t>8285.36</w:t>
            </w:r>
          </w:p>
        </w:tc>
        <w:tc>
          <w:tcPr>
            <w:tcW w:w="1096" w:type="dxa"/>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c>
          <w:tcPr>
            <w:tcW w:w="660" w:type="dxa"/>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c>
          <w:tcPr>
            <w:tcW w:w="700" w:type="dxa"/>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c>
          <w:tcPr>
            <w:tcW w:w="3833" w:type="dxa"/>
            <w:tcBorders>
              <w:top w:val="nil"/>
              <w:left w:val="nil"/>
              <w:bottom w:val="single" w:color="000000" w:sz="4" w:space="0"/>
              <w:right w:val="single" w:color="000000" w:sz="4" w:space="0"/>
            </w:tcBorders>
            <w:shd w:val="clear" w:color="auto" w:fill="FFFFFF" w:themeFill="background1"/>
            <w:noWrap/>
            <w:vAlign w:val="center"/>
          </w:tcPr>
          <w:p>
            <w:pPr>
              <w:spacing w:after="0" w:line="240" w:lineRule="auto"/>
              <w:jc w:val="right"/>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w:t>
            </w:r>
          </w:p>
        </w:tc>
        <w:tc>
          <w:tcPr>
            <w:tcW w:w="3770" w:type="dxa"/>
            <w:tcBorders>
              <w:top w:val="nil"/>
              <w:left w:val="nil"/>
              <w:bottom w:val="single" w:color="000000"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一般公共服务支出</w:t>
            </w:r>
          </w:p>
        </w:tc>
        <w:tc>
          <w:tcPr>
            <w:tcW w:w="1612"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hint="eastAsia" w:ascii="Arial" w:hAnsi="Arial" w:eastAsia="宋体" w:cs="Arial"/>
                <w:color w:val="000000"/>
                <w:sz w:val="20"/>
                <w:szCs w:val="20"/>
                <w:lang w:eastAsia="zh-CN"/>
              </w:rPr>
              <w:t>2267.98</w:t>
            </w:r>
          </w:p>
        </w:tc>
        <w:tc>
          <w:tcPr>
            <w:tcW w:w="144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hint="eastAsia" w:ascii="Arial" w:hAnsi="Arial" w:eastAsia="宋体" w:cs="Arial"/>
                <w:color w:val="000000"/>
                <w:sz w:val="20"/>
                <w:szCs w:val="20"/>
                <w:lang w:eastAsia="zh-CN"/>
              </w:rPr>
              <w:t>2267.98</w:t>
            </w:r>
          </w:p>
        </w:tc>
        <w:tc>
          <w:tcPr>
            <w:tcW w:w="1096" w:type="dxa"/>
            <w:tcBorders>
              <w:top w:val="nil"/>
              <w:left w:val="single" w:color="auto" w:sz="4" w:space="0"/>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481" w:type="dxa"/>
            <w:vAlign w:val="center"/>
          </w:tcPr>
          <w:p>
            <w:pPr>
              <w:spacing w:after="0" w:line="240" w:lineRule="auto"/>
              <w:jc w:val="right"/>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6" w:hRule="exac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20103</w:t>
            </w:r>
          </w:p>
        </w:tc>
        <w:tc>
          <w:tcPr>
            <w:tcW w:w="3770" w:type="dxa"/>
            <w:tcBorders>
              <w:top w:val="nil"/>
              <w:left w:val="nil"/>
              <w:bottom w:val="single" w:color="000000"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政府办公厅（相关机构事务</w:t>
            </w:r>
          </w:p>
        </w:tc>
        <w:tc>
          <w:tcPr>
            <w:tcW w:w="1612"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hint="eastAsia" w:ascii="Arial" w:hAnsi="Arial" w:eastAsia="宋体" w:cs="Arial"/>
                <w:color w:val="000000"/>
                <w:sz w:val="20"/>
                <w:szCs w:val="20"/>
                <w:lang w:eastAsia="zh-CN"/>
              </w:rPr>
              <w:t>1957.10</w:t>
            </w:r>
          </w:p>
        </w:tc>
        <w:tc>
          <w:tcPr>
            <w:tcW w:w="144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hint="eastAsia" w:ascii="Arial" w:hAnsi="Arial" w:eastAsia="宋体" w:cs="Arial"/>
                <w:color w:val="000000"/>
                <w:sz w:val="20"/>
                <w:szCs w:val="20"/>
                <w:lang w:eastAsia="zh-CN"/>
              </w:rPr>
              <w:t>1957.10</w:t>
            </w:r>
          </w:p>
        </w:tc>
        <w:tc>
          <w:tcPr>
            <w:tcW w:w="1096" w:type="dxa"/>
            <w:tcBorders>
              <w:top w:val="nil"/>
              <w:left w:val="single" w:color="auto" w:sz="4" w:space="0"/>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481" w:type="dxa"/>
            <w:vAlign w:val="center"/>
          </w:tcPr>
          <w:p>
            <w:pPr>
              <w:spacing w:after="0" w:line="240" w:lineRule="auto"/>
              <w:jc w:val="right"/>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6" w:hRule="exac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2010301</w:t>
            </w:r>
          </w:p>
        </w:tc>
        <w:tc>
          <w:tcPr>
            <w:tcW w:w="3770" w:type="dxa"/>
            <w:tcBorders>
              <w:top w:val="nil"/>
              <w:left w:val="nil"/>
              <w:bottom w:val="single" w:color="000000"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1612"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hint="eastAsia" w:ascii="Arial" w:hAnsi="Arial" w:eastAsia="宋体" w:cs="Arial"/>
                <w:color w:val="000000"/>
                <w:sz w:val="20"/>
                <w:szCs w:val="20"/>
                <w:lang w:eastAsia="zh-CN"/>
              </w:rPr>
              <w:t>1957.10</w:t>
            </w:r>
          </w:p>
        </w:tc>
        <w:tc>
          <w:tcPr>
            <w:tcW w:w="144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hint="eastAsia" w:ascii="Arial" w:hAnsi="Arial" w:eastAsia="宋体" w:cs="Arial"/>
                <w:color w:val="000000"/>
                <w:sz w:val="20"/>
                <w:szCs w:val="20"/>
                <w:lang w:eastAsia="zh-CN"/>
              </w:rPr>
              <w:t>1957.10</w:t>
            </w:r>
          </w:p>
        </w:tc>
        <w:tc>
          <w:tcPr>
            <w:tcW w:w="1096" w:type="dxa"/>
            <w:tcBorders>
              <w:top w:val="nil"/>
              <w:left w:val="single" w:color="auto" w:sz="4" w:space="0"/>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481" w:type="dxa"/>
            <w:vAlign w:val="center"/>
          </w:tcPr>
          <w:p>
            <w:pPr>
              <w:spacing w:after="0" w:line="240" w:lineRule="auto"/>
              <w:jc w:val="right"/>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6" w:hRule="exac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20104</w:t>
            </w:r>
          </w:p>
        </w:tc>
        <w:tc>
          <w:tcPr>
            <w:tcW w:w="3770" w:type="dxa"/>
            <w:tcBorders>
              <w:top w:val="nil"/>
              <w:left w:val="nil"/>
              <w:bottom w:val="single" w:color="000000"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发展与改革事务</w:t>
            </w:r>
          </w:p>
        </w:tc>
        <w:tc>
          <w:tcPr>
            <w:tcW w:w="1612"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hint="eastAsia" w:ascii="Arial" w:hAnsi="Arial" w:eastAsia="宋体" w:cs="Arial"/>
                <w:color w:val="000000"/>
                <w:sz w:val="20"/>
                <w:szCs w:val="20"/>
                <w:lang w:eastAsia="zh-CN"/>
              </w:rPr>
              <w:t>185.44</w:t>
            </w:r>
          </w:p>
        </w:tc>
        <w:tc>
          <w:tcPr>
            <w:tcW w:w="144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hint="eastAsia" w:ascii="Arial" w:hAnsi="Arial" w:eastAsia="宋体" w:cs="Arial"/>
                <w:color w:val="000000"/>
                <w:sz w:val="20"/>
                <w:szCs w:val="20"/>
                <w:lang w:eastAsia="zh-CN"/>
              </w:rPr>
              <w:t>185.44</w:t>
            </w:r>
          </w:p>
        </w:tc>
        <w:tc>
          <w:tcPr>
            <w:tcW w:w="1096" w:type="dxa"/>
            <w:tcBorders>
              <w:top w:val="nil"/>
              <w:left w:val="single" w:color="auto" w:sz="4" w:space="0"/>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481" w:type="dxa"/>
            <w:vAlign w:val="center"/>
          </w:tcPr>
          <w:p>
            <w:pPr>
              <w:spacing w:after="0" w:line="240" w:lineRule="auto"/>
              <w:jc w:val="right"/>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6" w:hRule="exac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2010401</w:t>
            </w:r>
          </w:p>
        </w:tc>
        <w:tc>
          <w:tcPr>
            <w:tcW w:w="3770" w:type="dxa"/>
            <w:tcBorders>
              <w:top w:val="nil"/>
              <w:left w:val="nil"/>
              <w:bottom w:val="single" w:color="000000"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1612"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hint="eastAsia" w:ascii="Arial" w:hAnsi="Arial" w:eastAsia="宋体" w:cs="Arial"/>
                <w:color w:val="000000"/>
                <w:sz w:val="20"/>
                <w:szCs w:val="20"/>
                <w:lang w:eastAsia="zh-CN"/>
              </w:rPr>
              <w:t>185.44</w:t>
            </w:r>
          </w:p>
        </w:tc>
        <w:tc>
          <w:tcPr>
            <w:tcW w:w="144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hint="eastAsia" w:ascii="Arial" w:hAnsi="Arial" w:eastAsia="宋体" w:cs="Arial"/>
                <w:color w:val="000000"/>
                <w:sz w:val="20"/>
                <w:szCs w:val="20"/>
                <w:lang w:eastAsia="zh-CN"/>
              </w:rPr>
              <w:t>185.44</w:t>
            </w:r>
          </w:p>
        </w:tc>
        <w:tc>
          <w:tcPr>
            <w:tcW w:w="1096" w:type="dxa"/>
            <w:tcBorders>
              <w:top w:val="nil"/>
              <w:left w:val="single" w:color="auto" w:sz="4" w:space="0"/>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481" w:type="dxa"/>
            <w:vAlign w:val="center"/>
          </w:tcPr>
          <w:p>
            <w:pPr>
              <w:spacing w:after="0" w:line="240" w:lineRule="auto"/>
              <w:jc w:val="right"/>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6" w:hRule="exact"/>
        </w:trPr>
        <w:tc>
          <w:tcPr>
            <w:tcW w:w="1020" w:type="dxa"/>
            <w:gridSpan w:val="3"/>
            <w:tcBorders>
              <w:top w:val="nil"/>
              <w:left w:val="single" w:color="000000" w:sz="4" w:space="0"/>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20106</w:t>
            </w:r>
          </w:p>
        </w:tc>
        <w:tc>
          <w:tcPr>
            <w:tcW w:w="3770" w:type="dxa"/>
            <w:tcBorders>
              <w:top w:val="nil"/>
              <w:left w:val="nil"/>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财政事务</w:t>
            </w:r>
          </w:p>
        </w:tc>
        <w:tc>
          <w:tcPr>
            <w:tcW w:w="1612"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99.86</w:t>
            </w:r>
          </w:p>
        </w:tc>
        <w:tc>
          <w:tcPr>
            <w:tcW w:w="144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99.86</w:t>
            </w:r>
          </w:p>
        </w:tc>
        <w:tc>
          <w:tcPr>
            <w:tcW w:w="1096" w:type="dxa"/>
            <w:tcBorders>
              <w:top w:val="nil"/>
              <w:left w:val="single" w:color="auto" w:sz="4" w:space="0"/>
              <w:bottom w:val="single" w:color="auto"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auto"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auto"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auto"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481" w:type="dxa"/>
            <w:vAlign w:val="center"/>
          </w:tcPr>
          <w:p>
            <w:pPr>
              <w:spacing w:after="0" w:line="240" w:lineRule="auto"/>
              <w:jc w:val="right"/>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6" w:hRule="exact"/>
        </w:trPr>
        <w:tc>
          <w:tcPr>
            <w:tcW w:w="102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2010601</w:t>
            </w:r>
          </w:p>
        </w:tc>
        <w:tc>
          <w:tcPr>
            <w:tcW w:w="377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1612"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99.86</w:t>
            </w:r>
          </w:p>
        </w:tc>
        <w:tc>
          <w:tcPr>
            <w:tcW w:w="144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99.86</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481" w:type="dxa"/>
            <w:tcBorders>
              <w:left w:val="single" w:color="auto" w:sz="4" w:space="0"/>
            </w:tcBorders>
            <w:vAlign w:val="center"/>
          </w:tcPr>
          <w:p>
            <w:pPr>
              <w:spacing w:after="0" w:line="240" w:lineRule="auto"/>
              <w:jc w:val="right"/>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6" w:hRule="exact"/>
        </w:trPr>
        <w:tc>
          <w:tcPr>
            <w:tcW w:w="102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20199</w:t>
            </w:r>
          </w:p>
        </w:tc>
        <w:tc>
          <w:tcPr>
            <w:tcW w:w="377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其他一般公共服务支出</w:t>
            </w:r>
          </w:p>
        </w:tc>
        <w:tc>
          <w:tcPr>
            <w:tcW w:w="1612"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25.57</w:t>
            </w:r>
          </w:p>
        </w:tc>
        <w:tc>
          <w:tcPr>
            <w:tcW w:w="144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25.57</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481" w:type="dxa"/>
            <w:tcBorders>
              <w:left w:val="single" w:color="auto" w:sz="4" w:space="0"/>
            </w:tcBorders>
            <w:vAlign w:val="center"/>
          </w:tcPr>
          <w:p>
            <w:pPr>
              <w:spacing w:after="0" w:line="240" w:lineRule="auto"/>
              <w:jc w:val="right"/>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73" w:hRule="exact"/>
        </w:trPr>
        <w:tc>
          <w:tcPr>
            <w:tcW w:w="102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2019999</w:t>
            </w:r>
          </w:p>
        </w:tc>
        <w:tc>
          <w:tcPr>
            <w:tcW w:w="377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eastAsia" w:ascii="宋体" w:hAnsi="宋体" w:eastAsia="宋体" w:cs="Arial"/>
                <w:color w:val="000000"/>
                <w:lang w:eastAsia="zh-CN" w:bidi="ar-SA"/>
              </w:rPr>
            </w:pPr>
            <w:r>
              <w:rPr>
                <w:rFonts w:hint="eastAsia" w:ascii="宋体" w:hAnsi="宋体" w:eastAsia="宋体" w:cs="Arial"/>
                <w:color w:val="000000"/>
                <w:lang w:eastAsia="zh-CN" w:bidi="ar-SA"/>
              </w:rPr>
              <w:t>其他一般公共服务支出</w:t>
            </w:r>
          </w:p>
        </w:tc>
        <w:tc>
          <w:tcPr>
            <w:tcW w:w="1612"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Arial" w:hAnsi="Arial" w:cs="Arial" w:eastAsiaTheme="minorEastAsia"/>
                <w:color w:val="000000"/>
                <w:sz w:val="20"/>
                <w:szCs w:val="20"/>
                <w:lang w:val="en-US" w:eastAsia="zh-CN"/>
              </w:rPr>
            </w:pPr>
            <w:r>
              <w:rPr>
                <w:rFonts w:hint="eastAsia" w:ascii="Arial" w:hAnsi="Arial" w:cs="Arial"/>
                <w:color w:val="000000"/>
                <w:sz w:val="20"/>
                <w:szCs w:val="20"/>
                <w:lang w:val="en-US" w:eastAsia="zh-CN"/>
              </w:rPr>
              <w:t>25.57</w:t>
            </w:r>
          </w:p>
        </w:tc>
        <w:tc>
          <w:tcPr>
            <w:tcW w:w="144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Arial" w:hAnsi="Arial" w:cs="Arial" w:eastAsiaTheme="minorEastAsia"/>
                <w:color w:val="000000"/>
                <w:sz w:val="20"/>
                <w:szCs w:val="20"/>
                <w:lang w:val="en-US" w:eastAsia="zh-CN"/>
              </w:rPr>
            </w:pPr>
            <w:r>
              <w:rPr>
                <w:rFonts w:hint="eastAsia" w:ascii="Arial" w:hAnsi="Arial" w:cs="Arial"/>
                <w:color w:val="000000"/>
                <w:sz w:val="20"/>
                <w:szCs w:val="20"/>
                <w:lang w:val="en-US" w:eastAsia="zh-CN"/>
              </w:rPr>
              <w:t>25.57</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ind w:right="440" w:rightChars="0"/>
              <w:rPr>
                <w:rFonts w:hint="eastAsia" w:ascii="宋体" w:hAnsi="宋体" w:eastAsia="宋体" w:cs="Arial"/>
                <w:color w:val="000000"/>
                <w:sz w:val="22"/>
                <w:szCs w:val="22"/>
                <w:lang w:val="en-US" w:eastAsia="zh-CN" w:bidi="ar-SA"/>
              </w:rPr>
            </w:pPr>
            <w:r>
              <w:rPr>
                <w:rFonts w:hint="eastAsia" w:ascii="宋体" w:hAnsi="宋体" w:eastAsia="宋体" w:cs="Arial"/>
                <w:color w:val="000000"/>
                <w:lang w:eastAsia="zh-CN" w:bidi="ar-SA"/>
              </w:rPr>
              <w:t>0.00</w:t>
            </w:r>
          </w:p>
        </w:tc>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hint="eastAsia" w:ascii="宋体" w:hAnsi="宋体" w:eastAsia="宋体" w:cs="Arial"/>
                <w:color w:val="000000"/>
                <w:sz w:val="22"/>
                <w:szCs w:val="22"/>
                <w:lang w:val="en-US" w:eastAsia="zh-CN" w:bidi="ar-SA"/>
              </w:rPr>
            </w:pPr>
            <w:r>
              <w:rPr>
                <w:rFonts w:hint="eastAsia" w:ascii="宋体" w:hAnsi="宋体" w:eastAsia="宋体" w:cs="Arial"/>
                <w:color w:val="000000"/>
                <w:lang w:eastAsia="zh-CN" w:bidi="ar-SA"/>
              </w:rPr>
              <w:t>0.00</w:t>
            </w:r>
          </w:p>
        </w:tc>
        <w:tc>
          <w:tcPr>
            <w:tcW w:w="70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hint="eastAsia" w:ascii="宋体" w:hAnsi="宋体" w:eastAsia="宋体" w:cs="Arial"/>
                <w:color w:val="000000"/>
                <w:sz w:val="22"/>
                <w:szCs w:val="22"/>
                <w:lang w:val="en-US" w:eastAsia="zh-CN" w:bidi="ar-SA"/>
              </w:rPr>
            </w:pPr>
            <w:r>
              <w:rPr>
                <w:rFonts w:hint="eastAsia" w:ascii="宋体" w:hAnsi="宋体" w:eastAsia="宋体" w:cs="Arial"/>
                <w:color w:val="000000"/>
                <w:lang w:eastAsia="zh-CN" w:bidi="ar-SA"/>
              </w:rPr>
              <w:t>0.00</w:t>
            </w:r>
          </w:p>
        </w:tc>
        <w:tc>
          <w:tcPr>
            <w:tcW w:w="3833"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hint="eastAsia" w:ascii="宋体" w:hAnsi="宋体" w:eastAsia="宋体" w:cs="Arial"/>
                <w:color w:val="000000"/>
                <w:sz w:val="22"/>
                <w:szCs w:val="22"/>
                <w:lang w:val="en-US" w:eastAsia="zh-CN" w:bidi="ar-SA"/>
              </w:rPr>
            </w:pPr>
            <w:r>
              <w:rPr>
                <w:rFonts w:hint="eastAsia" w:ascii="宋体" w:hAnsi="宋体" w:eastAsia="宋体" w:cs="Arial"/>
                <w:color w:val="000000"/>
                <w:lang w:eastAsia="zh-CN" w:bidi="ar-SA"/>
              </w:rPr>
              <w:t>0.00</w:t>
            </w:r>
          </w:p>
        </w:tc>
        <w:tc>
          <w:tcPr>
            <w:tcW w:w="3481" w:type="dxa"/>
            <w:tcBorders>
              <w:left w:val="single" w:color="auto" w:sz="4" w:space="0"/>
            </w:tcBorders>
            <w:vAlign w:val="center"/>
          </w:tcPr>
          <w:p>
            <w:pPr>
              <w:spacing w:after="0" w:line="240" w:lineRule="auto"/>
              <w:jc w:val="right"/>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6" w:hRule="exact"/>
        </w:trPr>
        <w:tc>
          <w:tcPr>
            <w:tcW w:w="102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207</w:t>
            </w:r>
          </w:p>
        </w:tc>
        <w:tc>
          <w:tcPr>
            <w:tcW w:w="377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文化旅游体育与传媒支出</w:t>
            </w:r>
          </w:p>
        </w:tc>
        <w:tc>
          <w:tcPr>
            <w:tcW w:w="1612"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Arial" w:hAnsi="Arial" w:eastAsia="宋体" w:cs="Arial"/>
                <w:color w:val="000000"/>
                <w:sz w:val="20"/>
                <w:szCs w:val="20"/>
                <w:lang w:val="en-US" w:eastAsia="zh-CN"/>
              </w:rPr>
            </w:pPr>
            <w:r>
              <w:rPr>
                <w:rFonts w:hint="eastAsia" w:ascii="Arial" w:hAnsi="Arial" w:eastAsia="宋体" w:cs="Arial"/>
                <w:color w:val="000000"/>
                <w:sz w:val="20"/>
                <w:szCs w:val="20"/>
                <w:lang w:val="en-US" w:eastAsia="zh-CN"/>
              </w:rPr>
              <w:t>48.48</w:t>
            </w:r>
          </w:p>
        </w:tc>
        <w:tc>
          <w:tcPr>
            <w:tcW w:w="144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Arial" w:hAnsi="Arial" w:eastAsia="宋体" w:cs="Arial"/>
                <w:color w:val="000000"/>
                <w:sz w:val="20"/>
                <w:szCs w:val="20"/>
                <w:lang w:val="en-US" w:eastAsia="zh-CN"/>
              </w:rPr>
            </w:pPr>
            <w:r>
              <w:rPr>
                <w:rFonts w:hint="eastAsia" w:ascii="Arial" w:hAnsi="Arial" w:eastAsia="宋体" w:cs="Arial"/>
                <w:color w:val="000000"/>
                <w:sz w:val="20"/>
                <w:szCs w:val="20"/>
                <w:lang w:val="en-US" w:eastAsia="zh-CN"/>
              </w:rPr>
              <w:t>48.48</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481" w:type="dxa"/>
            <w:tcBorders>
              <w:left w:val="single" w:color="auto" w:sz="4" w:space="0"/>
            </w:tcBorders>
            <w:vAlign w:val="center"/>
          </w:tcPr>
          <w:p>
            <w:pPr>
              <w:spacing w:after="0" w:line="240" w:lineRule="auto"/>
              <w:jc w:val="right"/>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6" w:hRule="exact"/>
        </w:trPr>
        <w:tc>
          <w:tcPr>
            <w:tcW w:w="102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20701</w:t>
            </w:r>
          </w:p>
        </w:tc>
        <w:tc>
          <w:tcPr>
            <w:tcW w:w="377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文化和旅游</w:t>
            </w:r>
          </w:p>
        </w:tc>
        <w:tc>
          <w:tcPr>
            <w:tcW w:w="1612"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48.48</w:t>
            </w:r>
          </w:p>
        </w:tc>
        <w:tc>
          <w:tcPr>
            <w:tcW w:w="144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48.48</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481" w:type="dxa"/>
            <w:tcBorders>
              <w:left w:val="single" w:color="auto" w:sz="4" w:space="0"/>
            </w:tcBorders>
            <w:vAlign w:val="center"/>
          </w:tcPr>
          <w:p>
            <w:pPr>
              <w:spacing w:after="0" w:line="240" w:lineRule="auto"/>
              <w:jc w:val="right"/>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6" w:hRule="exact"/>
        </w:trPr>
        <w:tc>
          <w:tcPr>
            <w:tcW w:w="1020" w:type="dxa"/>
            <w:gridSpan w:val="3"/>
            <w:tcBorders>
              <w:top w:val="single" w:color="auto" w:sz="4" w:space="0"/>
              <w:left w:val="single" w:color="000000" w:sz="4" w:space="0"/>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2070101</w:t>
            </w:r>
          </w:p>
        </w:tc>
        <w:tc>
          <w:tcPr>
            <w:tcW w:w="3770" w:type="dxa"/>
            <w:tcBorders>
              <w:top w:val="single" w:color="auto" w:sz="4" w:space="0"/>
              <w:left w:val="nil"/>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1612"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48.48</w:t>
            </w:r>
          </w:p>
        </w:tc>
        <w:tc>
          <w:tcPr>
            <w:tcW w:w="144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48.48</w:t>
            </w:r>
          </w:p>
        </w:tc>
        <w:tc>
          <w:tcPr>
            <w:tcW w:w="1096" w:type="dxa"/>
            <w:tcBorders>
              <w:top w:val="single" w:color="auto" w:sz="4" w:space="0"/>
              <w:left w:val="single" w:color="auto" w:sz="4" w:space="0"/>
              <w:bottom w:val="single" w:color="auto"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single" w:color="auto" w:sz="4" w:space="0"/>
              <w:left w:val="nil"/>
              <w:bottom w:val="single" w:color="auto"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single" w:color="auto" w:sz="4" w:space="0"/>
              <w:left w:val="nil"/>
              <w:bottom w:val="single" w:color="auto"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single" w:color="auto" w:sz="4" w:space="0"/>
              <w:left w:val="nil"/>
              <w:bottom w:val="single" w:color="auto"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481" w:type="dxa"/>
            <w:vAlign w:val="center"/>
          </w:tcPr>
          <w:p>
            <w:pPr>
              <w:spacing w:after="0" w:line="240" w:lineRule="auto"/>
              <w:jc w:val="right"/>
              <w:rPr>
                <w:rFonts w:ascii="宋体" w:hAnsi="宋体" w:eastAsia="宋体" w:cs="Arial"/>
                <w:color w:val="000000"/>
                <w:lang w:eastAsia="zh-CN" w:bidi="ar-SA"/>
              </w:rPr>
            </w:pPr>
          </w:p>
        </w:tc>
      </w:tr>
      <w:tr>
        <w:tblPrEx>
          <w:tblCellMar>
            <w:top w:w="0" w:type="dxa"/>
            <w:left w:w="108" w:type="dxa"/>
            <w:bottom w:w="0" w:type="dxa"/>
            <w:right w:w="108" w:type="dxa"/>
          </w:tblCellMar>
        </w:tblPrEx>
        <w:trPr>
          <w:gridAfter w:val="1"/>
          <w:wAfter w:w="3481" w:type="dxa"/>
          <w:trHeight w:val="306" w:hRule="exact"/>
        </w:trPr>
        <w:tc>
          <w:tcPr>
            <w:tcW w:w="102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w:t>
            </w:r>
          </w:p>
        </w:tc>
        <w:tc>
          <w:tcPr>
            <w:tcW w:w="377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社会保障和就业支出</w:t>
            </w:r>
          </w:p>
        </w:tc>
        <w:tc>
          <w:tcPr>
            <w:tcW w:w="1612"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544.76</w:t>
            </w:r>
          </w:p>
        </w:tc>
        <w:tc>
          <w:tcPr>
            <w:tcW w:w="144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544.76</w:t>
            </w:r>
          </w:p>
        </w:tc>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6" w:hRule="exact"/>
        </w:trPr>
        <w:tc>
          <w:tcPr>
            <w:tcW w:w="1020"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20801</w:t>
            </w:r>
          </w:p>
        </w:tc>
        <w:tc>
          <w:tcPr>
            <w:tcW w:w="3770"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人力资源和社会保障管理事务</w:t>
            </w:r>
          </w:p>
        </w:tc>
        <w:tc>
          <w:tcPr>
            <w:tcW w:w="1612" w:type="dxa"/>
            <w:tcBorders>
              <w:top w:val="single" w:color="auto" w:sz="4" w:space="0"/>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273.92</w:t>
            </w:r>
          </w:p>
        </w:tc>
        <w:tc>
          <w:tcPr>
            <w:tcW w:w="1444" w:type="dxa"/>
            <w:tcBorders>
              <w:top w:val="single" w:color="auto" w:sz="4" w:space="0"/>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273.92</w:t>
            </w:r>
          </w:p>
        </w:tc>
        <w:tc>
          <w:tcPr>
            <w:tcW w:w="1096"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6" w:hRule="exac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2080101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1612"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273.92</w:t>
            </w:r>
          </w:p>
        </w:tc>
        <w:tc>
          <w:tcPr>
            <w:tcW w:w="1444"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273.92</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6" w:hRule="exac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20805</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行政事业单位养老支出</w:t>
            </w:r>
          </w:p>
        </w:tc>
        <w:tc>
          <w:tcPr>
            <w:tcW w:w="1612"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128.28</w:t>
            </w:r>
          </w:p>
        </w:tc>
        <w:tc>
          <w:tcPr>
            <w:tcW w:w="1444"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128.28</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6" w:hRule="exac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2080505</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机关事业单位基本养老保险缴费支出</w:t>
            </w:r>
          </w:p>
        </w:tc>
        <w:tc>
          <w:tcPr>
            <w:tcW w:w="1612"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72.43</w:t>
            </w:r>
          </w:p>
        </w:tc>
        <w:tc>
          <w:tcPr>
            <w:tcW w:w="1444"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72.43</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6" w:hRule="exac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2080506</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机关事业单位职业年金缴费支出</w:t>
            </w:r>
          </w:p>
        </w:tc>
        <w:tc>
          <w:tcPr>
            <w:tcW w:w="1612"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55.85</w:t>
            </w:r>
          </w:p>
        </w:tc>
        <w:tc>
          <w:tcPr>
            <w:tcW w:w="1444"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55.85</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6" w:hRule="exac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20808</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抚恤</w:t>
            </w:r>
          </w:p>
        </w:tc>
        <w:tc>
          <w:tcPr>
            <w:tcW w:w="1612"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57.13</w:t>
            </w:r>
          </w:p>
        </w:tc>
        <w:tc>
          <w:tcPr>
            <w:tcW w:w="1444"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57.13</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6" w:hRule="exac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2080801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死亡抚恤</w:t>
            </w:r>
          </w:p>
        </w:tc>
        <w:tc>
          <w:tcPr>
            <w:tcW w:w="1612"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57.13</w:t>
            </w:r>
          </w:p>
        </w:tc>
        <w:tc>
          <w:tcPr>
            <w:tcW w:w="1444" w:type="dxa"/>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57.13</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20809</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退役安置</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73.38</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73.38</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2080901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退役士兵安置</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73.38</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73.38</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20827</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财政对其他社会保险基金的补助</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12.0</w:t>
            </w:r>
            <w:r>
              <w:rPr>
                <w:rFonts w:hint="eastAsia" w:ascii="宋体" w:hAnsi="宋体" w:eastAsia="宋体" w:cs="Arial"/>
                <w:color w:val="000000"/>
                <w:lang w:val="en-US" w:eastAsia="zh-CN" w:bidi="ar-SA"/>
              </w:rPr>
              <w:t>5</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12.0</w:t>
            </w:r>
            <w:r>
              <w:rPr>
                <w:rFonts w:hint="eastAsia" w:ascii="宋体" w:hAnsi="宋体" w:eastAsia="宋体" w:cs="Arial"/>
                <w:color w:val="000000"/>
                <w:lang w:val="en-US" w:eastAsia="zh-CN" w:bidi="ar-SA"/>
              </w:rPr>
              <w:t>5</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2082701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财政对失业保险基金的补助</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5.86</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5.86</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2082702</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财政对工伤保险基金的补助</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6.1</w:t>
            </w:r>
            <w:r>
              <w:rPr>
                <w:rFonts w:hint="eastAsia" w:ascii="宋体" w:hAnsi="宋体" w:eastAsia="宋体" w:cs="Arial"/>
                <w:color w:val="000000"/>
                <w:lang w:val="en-US" w:eastAsia="zh-CN" w:bidi="ar-SA"/>
              </w:rPr>
              <w:t>9</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6.1</w:t>
            </w:r>
            <w:r>
              <w:rPr>
                <w:rFonts w:hint="eastAsia" w:ascii="宋体" w:hAnsi="宋体" w:eastAsia="宋体" w:cs="Arial"/>
                <w:color w:val="000000"/>
                <w:lang w:val="en-US" w:eastAsia="zh-CN" w:bidi="ar-SA"/>
              </w:rPr>
              <w:t>9</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210</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卫生健康支出</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21012</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财政对基本医疗保险基金的补助</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2101201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 xml:space="preserve">  财政对职工基本医疗保险基金的补助</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ind w:right="330"/>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ind w:right="330"/>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节能环保支出</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292.40</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292.40</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21104</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自然生态保护</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292.40</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292.40</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2110402</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农村环境保护</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292.40</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292.40</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212</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城乡社区支出</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89.74</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89.74</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21201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城乡社区管理事务</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51.74</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51.74</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2120104</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城管执法</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51.74</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51.74</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21203</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城乡社区公共设施</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38.00</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38.00</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212399</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其他城乡社区公共设施支出</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38.00</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38.00</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农林水支出</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1264.52</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1264.52</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农业农村</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373.08</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373.08</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2130101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373.08</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373.08</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21307</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农村综合改革</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891.44</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891.44</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2130705</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对村民委员会和村党支部的补助</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552.44</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552.44</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2130799</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其他农村综合改革支出</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339</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339</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215</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资源勘探工业信息等支出</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21508</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支持中小企业发展和管理支出</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2150899</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其他支持中小企业发展和管理支出</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住房保障支出</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22102</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住房改革支出</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2210201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住房公积金</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224</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灾害防治及应急管理支出</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323.62</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323.62</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22401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应急管理事务</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323.62</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323.62</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2240101</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323.62</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323.62</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229</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其他支出</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22960</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彩票公益金安排的支出</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2296002</w:t>
            </w:r>
          </w:p>
        </w:tc>
        <w:tc>
          <w:tcPr>
            <w:tcW w:w="3770"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用于其它社会公益的彩票公益金支出</w:t>
            </w:r>
          </w:p>
        </w:tc>
        <w:tc>
          <w:tcPr>
            <w:tcW w:w="161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444"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096"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66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700"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8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gridAfter w:val="1"/>
          <w:wAfter w:w="3481" w:type="dxa"/>
          <w:trHeight w:val="308" w:hRule="atLeast"/>
        </w:trPr>
        <w:tc>
          <w:tcPr>
            <w:tcW w:w="14135" w:type="dxa"/>
            <w:gridSpan w:val="10"/>
            <w:tcBorders>
              <w:top w:val="nil"/>
              <w:left w:val="nil"/>
              <w:bottom w:val="nil"/>
              <w:right w:val="nil"/>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注：本表反映部门本年度各项支出情况。</w:t>
            </w:r>
          </w:p>
        </w:tc>
      </w:tr>
    </w:tbl>
    <w:p>
      <w:pPr>
        <w:rPr>
          <w:rFonts w:ascii="黑体" w:hAnsi="黑体" w:eastAsia="黑体" w:cstheme="minorEastAsia"/>
          <w:color w:val="000000" w:themeColor="text1"/>
          <w:sz w:val="28"/>
          <w:szCs w:val="28"/>
          <w:lang w:eastAsia="zh-CN"/>
          <w14:textFill>
            <w14:solidFill>
              <w14:schemeClr w14:val="tx1"/>
            </w14:solidFill>
          </w14:textFill>
        </w:rPr>
      </w:pPr>
      <w:r>
        <w:rPr>
          <w:rFonts w:ascii="黑体" w:hAnsi="黑体" w:eastAsia="黑体" w:cstheme="minorEastAsia"/>
          <w:color w:val="000000" w:themeColor="text1"/>
          <w:sz w:val="28"/>
          <w:szCs w:val="28"/>
          <w:lang w:eastAsia="zh-CN"/>
          <w14:textFill>
            <w14:solidFill>
              <w14:schemeClr w14:val="tx1"/>
            </w14:solidFill>
          </w14:textFill>
        </w:rPr>
        <w:br w:type="page"/>
      </w:r>
    </w:p>
    <w:tbl>
      <w:tblPr>
        <w:tblStyle w:val="18"/>
        <w:tblW w:w="4844" w:type="pct"/>
        <w:tblInd w:w="0" w:type="dxa"/>
        <w:tblLayout w:type="autofit"/>
        <w:tblCellMar>
          <w:top w:w="0" w:type="dxa"/>
          <w:left w:w="108" w:type="dxa"/>
          <w:bottom w:w="0" w:type="dxa"/>
          <w:right w:w="108" w:type="dxa"/>
        </w:tblCellMar>
      </w:tblPr>
      <w:tblGrid>
        <w:gridCol w:w="14174"/>
      </w:tblGrid>
      <w:tr>
        <w:tblPrEx>
          <w:tblCellMar>
            <w:top w:w="0" w:type="dxa"/>
            <w:left w:w="108" w:type="dxa"/>
            <w:bottom w:w="0" w:type="dxa"/>
            <w:right w:w="108" w:type="dxa"/>
          </w:tblCellMar>
        </w:tblPrEx>
        <w:trPr>
          <w:trHeight w:val="255" w:hRule="atLeast"/>
        </w:trPr>
        <w:tc>
          <w:tcPr>
            <w:tcW w:w="5000" w:type="pct"/>
            <w:tcBorders>
              <w:left w:val="nil"/>
              <w:bottom w:val="nil"/>
              <w:right w:val="nil"/>
            </w:tcBorders>
            <w:shd w:val="clear" w:color="auto" w:fill="FFFFFF" w:themeFill="background1"/>
            <w:noWrap/>
            <w:vAlign w:val="bottom"/>
          </w:tcPr>
          <w:tbl>
            <w:tblPr>
              <w:tblStyle w:val="18"/>
              <w:tblW w:w="13958" w:type="dxa"/>
              <w:tblInd w:w="0" w:type="dxa"/>
              <w:tblLayout w:type="autofit"/>
              <w:tblCellMar>
                <w:top w:w="0" w:type="dxa"/>
                <w:left w:w="108" w:type="dxa"/>
                <w:bottom w:w="0" w:type="dxa"/>
                <w:right w:w="108" w:type="dxa"/>
              </w:tblCellMar>
            </w:tblPr>
            <w:tblGrid>
              <w:gridCol w:w="2813"/>
              <w:gridCol w:w="524"/>
              <w:gridCol w:w="1457"/>
              <w:gridCol w:w="3135"/>
              <w:gridCol w:w="524"/>
              <w:gridCol w:w="1457"/>
              <w:gridCol w:w="1457"/>
              <w:gridCol w:w="1033"/>
              <w:gridCol w:w="1558"/>
            </w:tblGrid>
            <w:tr>
              <w:tblPrEx>
                <w:tblCellMar>
                  <w:top w:w="0" w:type="dxa"/>
                  <w:left w:w="108" w:type="dxa"/>
                  <w:bottom w:w="0" w:type="dxa"/>
                  <w:right w:w="108" w:type="dxa"/>
                </w:tblCellMar>
              </w:tblPrEx>
              <w:trPr>
                <w:trHeight w:val="390" w:hRule="atLeast"/>
              </w:trPr>
              <w:tc>
                <w:tcPr>
                  <w:tcW w:w="13958" w:type="dxa"/>
                  <w:gridSpan w:val="9"/>
                  <w:tcBorders>
                    <w:top w:val="nil"/>
                    <w:left w:val="nil"/>
                    <w:bottom w:val="nil"/>
                    <w:right w:val="nil"/>
                  </w:tcBorders>
                  <w:shd w:val="clear" w:color="auto" w:fill="auto"/>
                  <w:noWrap/>
                  <w:vAlign w:val="bottom"/>
                </w:tcPr>
                <w:p>
                  <w:pPr>
                    <w:spacing w:after="0" w:line="240" w:lineRule="auto"/>
                    <w:jc w:val="center"/>
                    <w:rPr>
                      <w:rFonts w:ascii="Arial" w:hAnsi="Arial" w:eastAsia="宋体" w:cs="Arial"/>
                      <w:color w:val="000000"/>
                      <w:sz w:val="20"/>
                      <w:szCs w:val="20"/>
                      <w:lang w:eastAsia="zh-CN" w:bidi="ar-SA"/>
                    </w:rPr>
                  </w:pPr>
                  <w:r>
                    <w:rPr>
                      <w:rFonts w:hint="eastAsia" w:ascii="宋体" w:hAnsi="宋体" w:eastAsia="宋体" w:cs="Arial"/>
                      <w:color w:val="000000"/>
                      <w:sz w:val="30"/>
                      <w:szCs w:val="30"/>
                      <w:lang w:eastAsia="zh-CN" w:bidi="ar-SA"/>
                    </w:rPr>
                    <w:t>财政拨款收入支出决算总表</w:t>
                  </w:r>
                </w:p>
              </w:tc>
            </w:tr>
            <w:tr>
              <w:tblPrEx>
                <w:tblCellMar>
                  <w:top w:w="0" w:type="dxa"/>
                  <w:left w:w="108" w:type="dxa"/>
                  <w:bottom w:w="0" w:type="dxa"/>
                  <w:right w:w="108" w:type="dxa"/>
                </w:tblCellMar>
              </w:tblPrEx>
              <w:trPr>
                <w:trHeight w:val="255" w:hRule="atLeast"/>
              </w:trPr>
              <w:tc>
                <w:tcPr>
                  <w:tcW w:w="2813"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524"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457"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3135"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524"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457"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457"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033"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558" w:type="dxa"/>
                  <w:tcBorders>
                    <w:top w:val="nil"/>
                    <w:left w:val="nil"/>
                    <w:bottom w:val="nil"/>
                    <w:right w:val="nil"/>
                  </w:tcBorders>
                  <w:shd w:val="clear" w:color="auto" w:fill="auto"/>
                  <w:noWrap/>
                  <w:vAlign w:val="bottom"/>
                </w:tcPr>
                <w:p>
                  <w:pPr>
                    <w:spacing w:after="0" w:line="240" w:lineRule="auto"/>
                    <w:jc w:val="right"/>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公开04表</w:t>
                  </w:r>
                </w:p>
              </w:tc>
            </w:tr>
            <w:tr>
              <w:tblPrEx>
                <w:tblCellMar>
                  <w:top w:w="0" w:type="dxa"/>
                  <w:left w:w="108" w:type="dxa"/>
                  <w:bottom w:w="0" w:type="dxa"/>
                  <w:right w:w="108" w:type="dxa"/>
                </w:tblCellMar>
              </w:tblPrEx>
              <w:trPr>
                <w:trHeight w:val="255" w:hRule="atLeast"/>
              </w:trPr>
              <w:tc>
                <w:tcPr>
                  <w:tcW w:w="4794" w:type="dxa"/>
                  <w:gridSpan w:val="3"/>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r>
                    <w:rPr>
                      <w:rFonts w:hint="eastAsia" w:ascii="宋体" w:hAnsi="宋体" w:eastAsia="宋体" w:cs="Arial"/>
                      <w:color w:val="000000"/>
                      <w:sz w:val="20"/>
                      <w:szCs w:val="20"/>
                      <w:lang w:eastAsia="zh-CN" w:bidi="ar-SA"/>
                    </w:rPr>
                    <w:t>部门：湘潭县云湖桥镇人民政府</w:t>
                  </w:r>
                </w:p>
              </w:tc>
              <w:tc>
                <w:tcPr>
                  <w:tcW w:w="3135"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524"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457"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457"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033"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558" w:type="dxa"/>
                  <w:tcBorders>
                    <w:top w:val="nil"/>
                    <w:left w:val="nil"/>
                    <w:bottom w:val="nil"/>
                    <w:right w:val="nil"/>
                  </w:tcBorders>
                  <w:shd w:val="clear" w:color="auto" w:fill="auto"/>
                  <w:noWrap/>
                  <w:vAlign w:val="bottom"/>
                </w:tcPr>
                <w:p>
                  <w:pPr>
                    <w:spacing w:after="0" w:line="240" w:lineRule="auto"/>
                    <w:jc w:val="right"/>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金额单位：万元</w:t>
                  </w:r>
                </w:p>
              </w:tc>
            </w:tr>
            <w:tr>
              <w:tblPrEx>
                <w:tblCellMar>
                  <w:top w:w="0" w:type="dxa"/>
                  <w:left w:w="108" w:type="dxa"/>
                  <w:bottom w:w="0" w:type="dxa"/>
                  <w:right w:w="108" w:type="dxa"/>
                </w:tblCellMar>
              </w:tblPrEx>
              <w:trPr>
                <w:trHeight w:val="308" w:hRule="atLeast"/>
              </w:trPr>
              <w:tc>
                <w:tcPr>
                  <w:tcW w:w="4794" w:type="dxa"/>
                  <w:gridSpan w:val="3"/>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收     入</w:t>
                  </w:r>
                </w:p>
              </w:tc>
              <w:tc>
                <w:tcPr>
                  <w:tcW w:w="9164" w:type="dxa"/>
                  <w:gridSpan w:val="6"/>
                  <w:tcBorders>
                    <w:top w:val="single" w:color="000000" w:sz="4" w:space="0"/>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支     出</w:t>
                  </w:r>
                </w:p>
              </w:tc>
            </w:tr>
            <w:tr>
              <w:tblPrEx>
                <w:tblCellMar>
                  <w:top w:w="0" w:type="dxa"/>
                  <w:left w:w="108" w:type="dxa"/>
                  <w:bottom w:w="0" w:type="dxa"/>
                  <w:right w:w="108" w:type="dxa"/>
                </w:tblCellMar>
              </w:tblPrEx>
              <w:trPr>
                <w:trHeight w:val="312" w:hRule="atLeast"/>
              </w:trPr>
              <w:tc>
                <w:tcPr>
                  <w:tcW w:w="2813" w:type="dxa"/>
                  <w:vMerge w:val="restart"/>
                  <w:tcBorders>
                    <w:top w:val="nil"/>
                    <w:left w:val="single" w:color="000000" w:sz="4" w:space="0"/>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项目</w:t>
                  </w:r>
                </w:p>
              </w:tc>
              <w:tc>
                <w:tcPr>
                  <w:tcW w:w="524" w:type="dxa"/>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行次</w:t>
                  </w:r>
                </w:p>
              </w:tc>
              <w:tc>
                <w:tcPr>
                  <w:tcW w:w="1457" w:type="dxa"/>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金额</w:t>
                  </w:r>
                </w:p>
              </w:tc>
              <w:tc>
                <w:tcPr>
                  <w:tcW w:w="3135" w:type="dxa"/>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项目</w:t>
                  </w:r>
                </w:p>
              </w:tc>
              <w:tc>
                <w:tcPr>
                  <w:tcW w:w="524" w:type="dxa"/>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行次</w:t>
                  </w:r>
                </w:p>
              </w:tc>
              <w:tc>
                <w:tcPr>
                  <w:tcW w:w="1457" w:type="dxa"/>
                  <w:vMerge w:val="restar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合计</w:t>
                  </w:r>
                </w:p>
              </w:tc>
              <w:tc>
                <w:tcPr>
                  <w:tcW w:w="1457" w:type="dxa"/>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一般公共预算财政拨款</w:t>
                  </w:r>
                </w:p>
              </w:tc>
              <w:tc>
                <w:tcPr>
                  <w:tcW w:w="1033" w:type="dxa"/>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政府性基金预算财政拨款</w:t>
                  </w:r>
                </w:p>
              </w:tc>
              <w:tc>
                <w:tcPr>
                  <w:tcW w:w="1558" w:type="dxa"/>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国有资本经营预算财政拨款</w:t>
                  </w:r>
                </w:p>
              </w:tc>
            </w:tr>
            <w:tr>
              <w:tblPrEx>
                <w:tblCellMar>
                  <w:top w:w="0" w:type="dxa"/>
                  <w:left w:w="108" w:type="dxa"/>
                  <w:bottom w:w="0" w:type="dxa"/>
                  <w:right w:w="108" w:type="dxa"/>
                </w:tblCellMar>
              </w:tblPrEx>
              <w:trPr>
                <w:trHeight w:val="615" w:hRule="atLeast"/>
              </w:trPr>
              <w:tc>
                <w:tcPr>
                  <w:tcW w:w="2813" w:type="dxa"/>
                  <w:vMerge w:val="continue"/>
                  <w:tcBorders>
                    <w:top w:val="nil"/>
                    <w:left w:val="single" w:color="000000" w:sz="4" w:space="0"/>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524" w:type="dxa"/>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1457" w:type="dxa"/>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3135" w:type="dxa"/>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524" w:type="dxa"/>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1457" w:type="dxa"/>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1457" w:type="dxa"/>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1033" w:type="dxa"/>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1558" w:type="dxa"/>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栏次</w:t>
                  </w:r>
                </w:p>
              </w:tc>
              <w:tc>
                <w:tcPr>
                  <w:tcW w:w="524"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457"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w:t>
                  </w:r>
                </w:p>
              </w:tc>
              <w:tc>
                <w:tcPr>
                  <w:tcW w:w="3135"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栏次</w:t>
                  </w:r>
                </w:p>
              </w:tc>
              <w:tc>
                <w:tcPr>
                  <w:tcW w:w="524"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457"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w:t>
                  </w:r>
                </w:p>
              </w:tc>
              <w:tc>
                <w:tcPr>
                  <w:tcW w:w="1457"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w:t>
                  </w:r>
                </w:p>
              </w:tc>
              <w:tc>
                <w:tcPr>
                  <w:tcW w:w="1033"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w:t>
                  </w:r>
                </w:p>
              </w:tc>
              <w:tc>
                <w:tcPr>
                  <w:tcW w:w="1558"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一、一般公共预算财政拨款</w:t>
                  </w:r>
                </w:p>
              </w:tc>
              <w:tc>
                <w:tcPr>
                  <w:tcW w:w="524"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w:t>
                  </w:r>
                </w:p>
              </w:tc>
              <w:tc>
                <w:tcPr>
                  <w:tcW w:w="1457"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jc w:val="center"/>
                    <w:rPr>
                      <w:rFonts w:ascii="宋体" w:hAnsi="宋体" w:eastAsia="宋体" w:cs="Arial"/>
                      <w:color w:val="000000"/>
                      <w:lang w:eastAsia="zh-CN" w:bidi="ar-SA"/>
                    </w:rPr>
                  </w:pPr>
                  <w:r>
                    <w:rPr>
                      <w:rFonts w:hint="eastAsia" w:ascii="宋体" w:hAnsi="宋体" w:eastAsia="宋体" w:cs="Arial"/>
                      <w:color w:val="000000"/>
                      <w:lang w:eastAsia="zh-CN" w:bidi="ar-SA"/>
                    </w:rPr>
                    <w:t>7021.03</w:t>
                  </w:r>
                </w:p>
              </w:tc>
              <w:tc>
                <w:tcPr>
                  <w:tcW w:w="3135"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一、一般公共服务支出</w:t>
                  </w:r>
                </w:p>
              </w:tc>
              <w:tc>
                <w:tcPr>
                  <w:tcW w:w="524"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33</w:t>
                  </w:r>
                </w:p>
              </w:tc>
              <w:tc>
                <w:tcPr>
                  <w:tcW w:w="1457"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1692.45</w:t>
                  </w:r>
                </w:p>
              </w:tc>
              <w:tc>
                <w:tcPr>
                  <w:tcW w:w="1457"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1692.45</w:t>
                  </w:r>
                </w:p>
              </w:tc>
              <w:tc>
                <w:tcPr>
                  <w:tcW w:w="1033"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二、政府性基金预算财政拨款</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二、外交支出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34</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三、国有资本经营财政拨款</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三、国防支出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35</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四、公共安全支出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36</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五、教育支出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37</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6</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六、科学技术支出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38</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7</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七、文化旅游体育与传媒支出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39</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48.48</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330"/>
                    <w:jc w:val="right"/>
                    <w:rPr>
                      <w:rFonts w:ascii="宋体" w:hAnsi="宋体" w:eastAsia="宋体" w:cs="Arial"/>
                      <w:color w:val="000000"/>
                      <w:lang w:eastAsia="zh-CN" w:bidi="ar-SA"/>
                    </w:rPr>
                  </w:pPr>
                  <w:r>
                    <w:rPr>
                      <w:rFonts w:hint="eastAsia" w:ascii="宋体" w:hAnsi="宋体" w:eastAsia="宋体" w:cs="Arial"/>
                      <w:color w:val="000000"/>
                      <w:lang w:eastAsia="zh-CN" w:bidi="ar-SA"/>
                    </w:rPr>
                    <w:t>48.48</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8</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八、社会保障和就业支出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jc w:val="right"/>
                    <w:rPr>
                      <w:rFonts w:ascii="宋体" w:hAnsi="宋体" w:eastAsia="宋体" w:cs="Arial"/>
                      <w:color w:val="000000"/>
                      <w:lang w:eastAsia="zh-CN" w:bidi="ar-SA"/>
                    </w:rPr>
                  </w:pPr>
                  <w:r>
                    <w:rPr>
                      <w:rFonts w:hint="eastAsia" w:ascii="宋体" w:hAnsi="宋体" w:eastAsia="宋体" w:cs="Arial"/>
                      <w:color w:val="000000"/>
                      <w:lang w:eastAsia="zh-CN" w:bidi="ar-SA"/>
                    </w:rPr>
                    <w:t>356.97</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jc w:val="right"/>
                    <w:rPr>
                      <w:rFonts w:ascii="宋体" w:hAnsi="宋体" w:eastAsia="宋体" w:cs="Arial"/>
                      <w:color w:val="000000"/>
                      <w:lang w:eastAsia="zh-CN" w:bidi="ar-SA"/>
                    </w:rPr>
                  </w:pPr>
                  <w:r>
                    <w:rPr>
                      <w:rFonts w:hint="eastAsia" w:ascii="宋体" w:hAnsi="宋体" w:eastAsia="宋体" w:cs="Arial"/>
                      <w:color w:val="000000"/>
                      <w:lang w:eastAsia="zh-CN" w:bidi="ar-SA"/>
                    </w:rPr>
                    <w:t>356.97</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9</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九、卫生健康支出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41</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十、节能环保支出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42</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208.46</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208.46</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11</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十一、城乡社区支出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43</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89.43</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89.43</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12</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十二、农林水支出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44</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1026.59</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1026.59</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13</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十三、交通运输支出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45</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14</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十四、资源勘探工业信息等支出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46</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3030.00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3030.00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15</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十五、商业服务业等支出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47</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16</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十六、金融支出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48</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17</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十七、援助其他地区支出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49</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18</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十八、自然资源海洋气象等支出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19</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十九、住房保障支出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51</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jc w:val="center"/>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jc w:val="center"/>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二十、粮油物资储备支出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52</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21</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二十一、国有资本经营预算支出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53</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22</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二十二、灾害防治及应急管理支出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54</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154.78</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154.78</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23</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二十三、其他支出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55</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b/>
                      <w:bCs/>
                      <w:color w:val="000000"/>
                      <w:sz w:val="20"/>
                      <w:szCs w:val="20"/>
                      <w:lang w:eastAsia="zh-CN" w:bidi="ar-SA"/>
                    </w:rPr>
                  </w:pPr>
                  <w:r>
                    <w:rPr>
                      <w:rFonts w:hint="eastAsia" w:ascii="宋体" w:hAnsi="宋体" w:eastAsia="宋体" w:cs="Arial"/>
                      <w:b/>
                      <w:bCs/>
                      <w:color w:val="000000"/>
                      <w:sz w:val="20"/>
                      <w:szCs w:val="2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24</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二十四、债务还本支出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56</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25</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二十五、债务付息支出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57</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26</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二十六、抗疫特别国债安排的支出</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58</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b/>
                      <w:bCs/>
                      <w:color w:val="000000"/>
                      <w:lang w:eastAsia="zh-CN" w:bidi="ar-SA"/>
                    </w:rPr>
                  </w:pPr>
                  <w:r>
                    <w:rPr>
                      <w:rFonts w:hint="eastAsia" w:ascii="宋体" w:hAnsi="宋体" w:eastAsia="宋体" w:cs="Arial"/>
                      <w:b/>
                      <w:bCs/>
                      <w:color w:val="000000"/>
                      <w:lang w:eastAsia="zh-CN" w:bidi="ar-SA"/>
                    </w:rPr>
                    <w:t>本年收入合计</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27</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7029.03</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b/>
                      <w:bCs/>
                      <w:color w:val="000000"/>
                      <w:lang w:eastAsia="zh-CN" w:bidi="ar-SA"/>
                    </w:rPr>
                  </w:pPr>
                  <w:r>
                    <w:rPr>
                      <w:rFonts w:hint="eastAsia" w:ascii="宋体" w:hAnsi="宋体" w:eastAsia="宋体" w:cs="Arial"/>
                      <w:b/>
                      <w:bCs/>
                      <w:color w:val="000000"/>
                      <w:lang w:eastAsia="zh-CN" w:bidi="ar-SA"/>
                    </w:rPr>
                    <w:t>本年支出合计</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59</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7029.03</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7021.03</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年初财政拨款结转和结余</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28</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年末财政拨款结转和结余</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60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一般公共预算财政拨款</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29</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61</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政府性基金预算财政拨款</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30</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62</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国有资本经营预算财政拨款</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31</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63</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r>
            <w:tr>
              <w:tblPrEx>
                <w:tblCellMar>
                  <w:top w:w="0" w:type="dxa"/>
                  <w:left w:w="108" w:type="dxa"/>
                  <w:bottom w:w="0" w:type="dxa"/>
                  <w:right w:w="108" w:type="dxa"/>
                </w:tblCellMar>
              </w:tblPrEx>
              <w:trPr>
                <w:trHeight w:val="308" w:hRule="atLeast"/>
              </w:trPr>
              <w:tc>
                <w:tcPr>
                  <w:tcW w:w="2813" w:type="dxa"/>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b/>
                      <w:bCs/>
                      <w:color w:val="000000"/>
                      <w:lang w:eastAsia="zh-CN" w:bidi="ar-SA"/>
                    </w:rPr>
                  </w:pPr>
                  <w:r>
                    <w:rPr>
                      <w:rFonts w:hint="eastAsia" w:ascii="宋体" w:hAnsi="宋体" w:eastAsia="宋体" w:cs="Arial"/>
                      <w:b/>
                      <w:bCs/>
                      <w:color w:val="000000"/>
                      <w:lang w:eastAsia="zh-CN" w:bidi="ar-SA"/>
                    </w:rPr>
                    <w:t>总计</w:t>
                  </w:r>
                </w:p>
              </w:tc>
              <w:tc>
                <w:tcPr>
                  <w:tcW w:w="524" w:type="dxa"/>
                  <w:tcBorders>
                    <w:top w:val="nil"/>
                    <w:left w:val="nil"/>
                    <w:bottom w:val="single" w:color="000000" w:sz="8"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32</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7029.03</w:t>
                  </w:r>
                </w:p>
              </w:tc>
              <w:tc>
                <w:tcPr>
                  <w:tcW w:w="3135"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b/>
                      <w:bCs/>
                      <w:color w:val="000000"/>
                      <w:lang w:eastAsia="zh-CN" w:bidi="ar-SA"/>
                    </w:rPr>
                  </w:pPr>
                  <w:r>
                    <w:rPr>
                      <w:rFonts w:hint="eastAsia" w:ascii="宋体" w:hAnsi="宋体" w:eastAsia="宋体" w:cs="Arial"/>
                      <w:b/>
                      <w:bCs/>
                      <w:color w:val="000000"/>
                      <w:lang w:eastAsia="zh-CN" w:bidi="ar-SA"/>
                    </w:rPr>
                    <w:t>总计</w:t>
                  </w:r>
                </w:p>
              </w:tc>
              <w:tc>
                <w:tcPr>
                  <w:tcW w:w="524" w:type="dxa"/>
                  <w:tcBorders>
                    <w:top w:val="nil"/>
                    <w:left w:val="nil"/>
                    <w:bottom w:val="single" w:color="000000" w:sz="4" w:space="0"/>
                    <w:right w:val="single" w:color="000000" w:sz="4" w:space="0"/>
                  </w:tcBorders>
                  <w:shd w:val="clear" w:color="auto" w:fill="auto"/>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64</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7029.03</w:t>
                  </w:r>
                </w:p>
              </w:tc>
              <w:tc>
                <w:tcPr>
                  <w:tcW w:w="1457"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7021.03</w:t>
                  </w:r>
                </w:p>
              </w:tc>
              <w:tc>
                <w:tcPr>
                  <w:tcW w:w="1033"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8.00</w:t>
                  </w:r>
                </w:p>
              </w:tc>
              <w:tc>
                <w:tcPr>
                  <w:tcW w:w="1558"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958" w:type="dxa"/>
                  <w:gridSpan w:val="9"/>
                  <w:tcBorders>
                    <w:top w:val="nil"/>
                    <w:left w:val="nil"/>
                    <w:bottom w:val="nil"/>
                    <w:right w:val="nil"/>
                  </w:tcBorders>
                  <w:shd w:val="clear" w:color="auto" w:fill="auto"/>
                  <w:noWrap/>
                  <w:vAlign w:val="center"/>
                </w:tcPr>
                <w:p>
                  <w:pPr>
                    <w:spacing w:after="0" w:line="240" w:lineRule="auto"/>
                    <w:rPr>
                      <w:rFonts w:ascii="宋体" w:hAnsi="宋体" w:eastAsia="宋体" w:cs="Arial"/>
                      <w:color w:val="000000"/>
                      <w:sz w:val="20"/>
                      <w:szCs w:val="20"/>
                      <w:lang w:eastAsia="zh-CN" w:bidi="ar-SA"/>
                    </w:rPr>
                  </w:pPr>
                  <w:r>
                    <w:rPr>
                      <w:rFonts w:hint="eastAsia" w:ascii="宋体" w:hAnsi="宋体" w:eastAsia="宋体" w:cs="Arial"/>
                      <w:color w:val="000000"/>
                      <w:lang w:eastAsia="zh-CN" w:bidi="ar-SA"/>
                    </w:rPr>
                    <w:t>注：本表反映部门本年度一般公共预算财政拨款、政府性基金预算财政拨款和国有资本经营预算财政拨款的总收支和年末结转结余情况。</w:t>
                  </w:r>
                </w:p>
              </w:tc>
            </w:tr>
          </w:tbl>
          <w:p>
            <w:pPr>
              <w:spacing w:after="0" w:line="240" w:lineRule="auto"/>
              <w:rPr>
                <w:rFonts w:ascii="Arial" w:hAnsi="Arial" w:eastAsia="宋体" w:cs="Arial"/>
                <w:color w:val="000000"/>
                <w:sz w:val="20"/>
                <w:szCs w:val="20"/>
                <w:lang w:eastAsia="zh-CN" w:bidi="ar-SA"/>
              </w:rPr>
            </w:pPr>
          </w:p>
        </w:tc>
      </w:tr>
    </w:tbl>
    <w:p>
      <w:pPr>
        <w:shd w:val="clear" w:color="auto" w:fill="FFFFFF"/>
        <w:rPr>
          <w:rFonts w:ascii="黑体" w:hAnsi="黑体" w:eastAsia="黑体" w:cstheme="minorEastAsia"/>
          <w:color w:val="000000" w:themeColor="text1"/>
          <w:sz w:val="28"/>
          <w:szCs w:val="28"/>
          <w:lang w:eastAsia="zh-CN"/>
          <w14:textFill>
            <w14:solidFill>
              <w14:schemeClr w14:val="tx1"/>
            </w14:solidFill>
          </w14:textFill>
        </w:rPr>
      </w:pPr>
    </w:p>
    <w:tbl>
      <w:tblPr>
        <w:tblStyle w:val="18"/>
        <w:tblW w:w="13603" w:type="dxa"/>
        <w:tblInd w:w="93" w:type="dxa"/>
        <w:tblLayout w:type="fixed"/>
        <w:tblCellMar>
          <w:top w:w="0" w:type="dxa"/>
          <w:left w:w="108" w:type="dxa"/>
          <w:bottom w:w="0" w:type="dxa"/>
          <w:right w:w="108" w:type="dxa"/>
        </w:tblCellMar>
      </w:tblPr>
      <w:tblGrid>
        <w:gridCol w:w="340"/>
        <w:gridCol w:w="340"/>
        <w:gridCol w:w="458"/>
        <w:gridCol w:w="3822"/>
        <w:gridCol w:w="2000"/>
        <w:gridCol w:w="881"/>
        <w:gridCol w:w="1379"/>
        <w:gridCol w:w="1502"/>
        <w:gridCol w:w="2881"/>
      </w:tblGrid>
      <w:tr>
        <w:tblPrEx>
          <w:tblCellMar>
            <w:top w:w="0" w:type="dxa"/>
            <w:left w:w="108" w:type="dxa"/>
            <w:bottom w:w="0" w:type="dxa"/>
            <w:right w:w="108" w:type="dxa"/>
          </w:tblCellMar>
        </w:tblPrEx>
        <w:trPr>
          <w:trHeight w:val="390" w:hRule="atLeast"/>
        </w:trPr>
        <w:tc>
          <w:tcPr>
            <w:tcW w:w="13603" w:type="dxa"/>
            <w:gridSpan w:val="9"/>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r>
              <w:rPr>
                <w:rFonts w:hint="eastAsia" w:ascii="宋体" w:hAnsi="宋体" w:eastAsia="宋体" w:cs="Arial"/>
                <w:color w:val="000000"/>
                <w:sz w:val="30"/>
                <w:szCs w:val="30"/>
                <w:lang w:eastAsia="zh-CN" w:bidi="ar-SA"/>
              </w:rPr>
              <w:t xml:space="preserve">          一般公共预算财政拨款支出决算表</w:t>
            </w:r>
          </w:p>
        </w:tc>
      </w:tr>
      <w:tr>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34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458"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3822"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200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2260" w:type="dxa"/>
            <w:gridSpan w:val="2"/>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4383" w:type="dxa"/>
            <w:gridSpan w:val="2"/>
            <w:tcBorders>
              <w:top w:val="nil"/>
              <w:left w:val="nil"/>
              <w:bottom w:val="nil"/>
              <w:right w:val="nil"/>
            </w:tcBorders>
            <w:shd w:val="clear" w:color="auto" w:fill="auto"/>
            <w:noWrap/>
            <w:vAlign w:val="bottom"/>
          </w:tcPr>
          <w:p>
            <w:pPr>
              <w:spacing w:after="0" w:line="240" w:lineRule="auto"/>
              <w:jc w:val="right"/>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公开05表</w:t>
            </w:r>
          </w:p>
        </w:tc>
      </w:tr>
      <w:tr>
        <w:tblPrEx>
          <w:tblCellMar>
            <w:top w:w="0" w:type="dxa"/>
            <w:left w:w="108" w:type="dxa"/>
            <w:bottom w:w="0" w:type="dxa"/>
            <w:right w:w="108" w:type="dxa"/>
          </w:tblCellMar>
        </w:tblPrEx>
        <w:trPr>
          <w:trHeight w:val="255" w:hRule="atLeast"/>
        </w:trPr>
        <w:tc>
          <w:tcPr>
            <w:tcW w:w="4960" w:type="dxa"/>
            <w:gridSpan w:val="4"/>
            <w:tcBorders>
              <w:top w:val="nil"/>
              <w:left w:val="nil"/>
              <w:bottom w:val="nil"/>
              <w:right w:val="nil"/>
            </w:tcBorders>
            <w:shd w:val="clear" w:color="auto" w:fill="auto"/>
            <w:noWrap/>
            <w:vAlign w:val="bottom"/>
          </w:tcPr>
          <w:p>
            <w:pPr>
              <w:spacing w:after="0" w:line="240" w:lineRule="auto"/>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部门：湘潭县云湖桥镇人民政府</w:t>
            </w:r>
          </w:p>
        </w:tc>
        <w:tc>
          <w:tcPr>
            <w:tcW w:w="2000" w:type="dxa"/>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2260" w:type="dxa"/>
            <w:gridSpan w:val="2"/>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4383" w:type="dxa"/>
            <w:gridSpan w:val="2"/>
            <w:tcBorders>
              <w:top w:val="nil"/>
              <w:left w:val="nil"/>
              <w:bottom w:val="nil"/>
              <w:right w:val="nil"/>
            </w:tcBorders>
            <w:shd w:val="clear" w:color="auto" w:fill="auto"/>
            <w:noWrap/>
            <w:vAlign w:val="bottom"/>
          </w:tcPr>
          <w:p>
            <w:pPr>
              <w:spacing w:after="0" w:line="240" w:lineRule="auto"/>
              <w:jc w:val="right"/>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金额单位：万元</w:t>
            </w:r>
          </w:p>
        </w:tc>
      </w:tr>
      <w:tr>
        <w:tblPrEx>
          <w:tblCellMar>
            <w:top w:w="0" w:type="dxa"/>
            <w:left w:w="108" w:type="dxa"/>
            <w:bottom w:w="0" w:type="dxa"/>
            <w:right w:w="108" w:type="dxa"/>
          </w:tblCellMar>
        </w:tblPrEx>
        <w:trPr>
          <w:trHeight w:val="308" w:hRule="atLeast"/>
        </w:trPr>
        <w:tc>
          <w:tcPr>
            <w:tcW w:w="4960" w:type="dxa"/>
            <w:gridSpan w:val="4"/>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项目</w:t>
            </w:r>
          </w:p>
        </w:tc>
        <w:tc>
          <w:tcPr>
            <w:tcW w:w="8643" w:type="dxa"/>
            <w:gridSpan w:val="5"/>
            <w:tcBorders>
              <w:top w:val="single" w:color="000000" w:sz="4" w:space="0"/>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本年支出</w:t>
            </w:r>
          </w:p>
        </w:tc>
      </w:tr>
      <w:tr>
        <w:tblPrEx>
          <w:tblCellMar>
            <w:top w:w="0" w:type="dxa"/>
            <w:left w:w="108" w:type="dxa"/>
            <w:bottom w:w="0" w:type="dxa"/>
            <w:right w:w="108" w:type="dxa"/>
          </w:tblCellMar>
        </w:tblPrEx>
        <w:trPr>
          <w:trHeight w:val="312" w:hRule="atLeast"/>
        </w:trPr>
        <w:tc>
          <w:tcPr>
            <w:tcW w:w="1138" w:type="dxa"/>
            <w:gridSpan w:val="3"/>
            <w:vMerge w:val="restart"/>
            <w:tcBorders>
              <w:top w:val="nil"/>
              <w:left w:val="single" w:color="000000" w:sz="4" w:space="0"/>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功能分类科目编码</w:t>
            </w:r>
          </w:p>
        </w:tc>
        <w:tc>
          <w:tcPr>
            <w:tcW w:w="3822" w:type="dxa"/>
            <w:vMerge w:val="restar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科目名称</w:t>
            </w:r>
          </w:p>
        </w:tc>
        <w:tc>
          <w:tcPr>
            <w:tcW w:w="2881" w:type="dxa"/>
            <w:gridSpan w:val="2"/>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小计</w:t>
            </w:r>
          </w:p>
        </w:tc>
        <w:tc>
          <w:tcPr>
            <w:tcW w:w="2881" w:type="dxa"/>
            <w:gridSpan w:val="2"/>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基本支出</w:t>
            </w:r>
          </w:p>
        </w:tc>
        <w:tc>
          <w:tcPr>
            <w:tcW w:w="2881" w:type="dxa"/>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项目支出</w:t>
            </w:r>
          </w:p>
        </w:tc>
      </w:tr>
      <w:tr>
        <w:tblPrEx>
          <w:tblCellMar>
            <w:top w:w="0" w:type="dxa"/>
            <w:left w:w="108" w:type="dxa"/>
            <w:bottom w:w="0" w:type="dxa"/>
            <w:right w:w="108" w:type="dxa"/>
          </w:tblCellMar>
        </w:tblPrEx>
        <w:trPr>
          <w:trHeight w:val="312" w:hRule="atLeast"/>
        </w:trPr>
        <w:tc>
          <w:tcPr>
            <w:tcW w:w="1138" w:type="dxa"/>
            <w:gridSpan w:val="3"/>
            <w:vMerge w:val="continue"/>
            <w:tcBorders>
              <w:top w:val="nil"/>
              <w:left w:val="single" w:color="000000" w:sz="4" w:space="0"/>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3822" w:type="dxa"/>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2881" w:type="dxa"/>
            <w:gridSpan w:val="2"/>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2881" w:type="dxa"/>
            <w:gridSpan w:val="2"/>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2881" w:type="dxa"/>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12" w:hRule="atLeast"/>
        </w:trPr>
        <w:tc>
          <w:tcPr>
            <w:tcW w:w="1138" w:type="dxa"/>
            <w:gridSpan w:val="3"/>
            <w:vMerge w:val="continue"/>
            <w:tcBorders>
              <w:top w:val="nil"/>
              <w:left w:val="single" w:color="000000" w:sz="4" w:space="0"/>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3822" w:type="dxa"/>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2881" w:type="dxa"/>
            <w:gridSpan w:val="2"/>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2881" w:type="dxa"/>
            <w:gridSpan w:val="2"/>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2881" w:type="dxa"/>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8" w:hRule="atLeast"/>
        </w:trPr>
        <w:tc>
          <w:tcPr>
            <w:tcW w:w="4960" w:type="dxa"/>
            <w:gridSpan w:val="4"/>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栏次</w:t>
            </w:r>
          </w:p>
        </w:tc>
        <w:tc>
          <w:tcPr>
            <w:tcW w:w="2881" w:type="dxa"/>
            <w:gridSpan w:val="2"/>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1</w:t>
            </w:r>
          </w:p>
        </w:tc>
        <w:tc>
          <w:tcPr>
            <w:tcW w:w="2881" w:type="dxa"/>
            <w:gridSpan w:val="2"/>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2</w:t>
            </w:r>
          </w:p>
        </w:tc>
        <w:tc>
          <w:tcPr>
            <w:tcW w:w="2881"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3</w:t>
            </w:r>
          </w:p>
        </w:tc>
      </w:tr>
      <w:tr>
        <w:tblPrEx>
          <w:tblCellMar>
            <w:top w:w="0" w:type="dxa"/>
            <w:left w:w="108" w:type="dxa"/>
            <w:bottom w:w="0" w:type="dxa"/>
            <w:right w:w="108" w:type="dxa"/>
          </w:tblCellMar>
        </w:tblPrEx>
        <w:trPr>
          <w:trHeight w:val="308" w:hRule="atLeast"/>
        </w:trPr>
        <w:tc>
          <w:tcPr>
            <w:tcW w:w="4960" w:type="dxa"/>
            <w:gridSpan w:val="4"/>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合计</w:t>
            </w:r>
          </w:p>
        </w:tc>
        <w:tc>
          <w:tcPr>
            <w:tcW w:w="2881" w:type="dxa"/>
            <w:gridSpan w:val="2"/>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7021.03</w:t>
            </w:r>
          </w:p>
        </w:tc>
        <w:tc>
          <w:tcPr>
            <w:tcW w:w="2881" w:type="dxa"/>
            <w:gridSpan w:val="2"/>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b/>
                <w:bCs/>
                <w:color w:val="000000"/>
                <w:lang w:eastAsia="zh-CN" w:bidi="ar-SA"/>
              </w:rPr>
            </w:pPr>
            <w:r>
              <w:rPr>
                <w:rFonts w:hint="eastAsia" w:ascii="宋体" w:hAnsi="宋体" w:eastAsia="宋体" w:cs="Arial"/>
                <w:b/>
                <w:bCs/>
                <w:color w:val="000000"/>
                <w:lang w:eastAsia="zh-CN" w:bidi="ar-SA"/>
              </w:rPr>
              <w:t>7021.03</w:t>
            </w:r>
          </w:p>
        </w:tc>
        <w:tc>
          <w:tcPr>
            <w:tcW w:w="2881" w:type="dxa"/>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b/>
                <w:bCs/>
                <w:color w:val="000000"/>
                <w:lang w:eastAsia="zh-CN" w:bidi="ar-SA"/>
              </w:rPr>
            </w:pPr>
            <w:r>
              <w:rPr>
                <w:rFonts w:hint="eastAsia" w:ascii="宋体" w:hAnsi="宋体" w:eastAsia="宋体" w:cs="Arial"/>
                <w:b/>
                <w:bCs/>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一般公共服务支出</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lang w:eastAsia="zh-CN"/>
              </w:rPr>
            </w:pPr>
            <w:r>
              <w:rPr>
                <w:rFonts w:hint="eastAsia" w:ascii="Arial" w:hAnsi="Arial" w:eastAsia="宋体" w:cs="Arial"/>
                <w:color w:val="000000"/>
                <w:sz w:val="20"/>
                <w:szCs w:val="20"/>
                <w:lang w:eastAsia="zh-CN"/>
              </w:rPr>
              <w:t>1692.45</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lang w:eastAsia="zh-CN"/>
              </w:rPr>
            </w:pPr>
            <w:r>
              <w:rPr>
                <w:rFonts w:hint="eastAsia" w:ascii="Arial" w:hAnsi="Arial" w:eastAsia="宋体" w:cs="Arial"/>
                <w:color w:val="000000"/>
                <w:sz w:val="20"/>
                <w:szCs w:val="20"/>
                <w:lang w:eastAsia="zh-CN"/>
              </w:rPr>
              <w:t>1692.45</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20103</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政府办公厅（室）及相关机构事务</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lang w:eastAsia="zh-CN"/>
              </w:rPr>
            </w:pPr>
            <w:r>
              <w:rPr>
                <w:rFonts w:hint="eastAsia" w:ascii="Arial" w:hAnsi="Arial" w:eastAsia="宋体" w:cs="Arial"/>
                <w:color w:val="000000"/>
                <w:sz w:val="20"/>
                <w:szCs w:val="20"/>
                <w:lang w:eastAsia="zh-CN"/>
              </w:rPr>
              <w:t>1514.09</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lang w:eastAsia="zh-CN"/>
              </w:rPr>
            </w:pPr>
            <w:r>
              <w:rPr>
                <w:rFonts w:hint="eastAsia" w:ascii="Arial" w:hAnsi="Arial" w:eastAsia="宋体" w:cs="Arial"/>
                <w:color w:val="000000"/>
                <w:sz w:val="20"/>
                <w:szCs w:val="20"/>
                <w:lang w:eastAsia="zh-CN"/>
              </w:rPr>
              <w:t>1514.09</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2010301</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lang w:eastAsia="zh-CN"/>
              </w:rPr>
            </w:pPr>
            <w:r>
              <w:rPr>
                <w:rFonts w:hint="eastAsia" w:ascii="Arial" w:hAnsi="Arial" w:eastAsia="宋体" w:cs="Arial"/>
                <w:color w:val="000000"/>
                <w:sz w:val="20"/>
                <w:szCs w:val="20"/>
                <w:lang w:eastAsia="zh-CN"/>
              </w:rPr>
              <w:t>1514.09</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lang w:eastAsia="zh-CN"/>
              </w:rPr>
            </w:pPr>
            <w:r>
              <w:rPr>
                <w:rFonts w:hint="eastAsia" w:ascii="Arial" w:hAnsi="Arial" w:eastAsia="宋体" w:cs="Arial"/>
                <w:color w:val="000000"/>
                <w:sz w:val="20"/>
                <w:szCs w:val="20"/>
                <w:lang w:eastAsia="zh-CN"/>
              </w:rPr>
              <w:t>1514.09</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20104</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发展与改革事务</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lang w:eastAsia="zh-CN"/>
              </w:rPr>
            </w:pPr>
            <w:r>
              <w:rPr>
                <w:rFonts w:hint="eastAsia" w:ascii="Arial" w:hAnsi="Arial" w:eastAsia="宋体" w:cs="Arial"/>
                <w:color w:val="000000"/>
                <w:sz w:val="20"/>
                <w:szCs w:val="20"/>
                <w:lang w:eastAsia="zh-CN"/>
              </w:rPr>
              <w:t>103.17</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lang w:eastAsia="zh-CN"/>
              </w:rPr>
            </w:pPr>
            <w:r>
              <w:rPr>
                <w:rFonts w:hint="eastAsia" w:ascii="Arial" w:hAnsi="Arial" w:eastAsia="宋体" w:cs="Arial"/>
                <w:color w:val="000000"/>
                <w:sz w:val="20"/>
                <w:szCs w:val="20"/>
                <w:lang w:eastAsia="zh-CN"/>
              </w:rPr>
              <w:t>103.17</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2010401</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lang w:eastAsia="zh-CN"/>
              </w:rPr>
            </w:pPr>
            <w:r>
              <w:rPr>
                <w:rFonts w:hint="eastAsia" w:ascii="Arial" w:hAnsi="Arial" w:eastAsia="宋体" w:cs="Arial"/>
                <w:color w:val="000000"/>
                <w:sz w:val="20"/>
                <w:szCs w:val="20"/>
                <w:lang w:eastAsia="zh-CN"/>
              </w:rPr>
              <w:t>103.17</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lang w:eastAsia="zh-CN"/>
              </w:rPr>
            </w:pPr>
            <w:r>
              <w:rPr>
                <w:rFonts w:hint="eastAsia" w:ascii="Arial" w:hAnsi="Arial" w:eastAsia="宋体" w:cs="Arial"/>
                <w:color w:val="000000"/>
                <w:sz w:val="20"/>
                <w:szCs w:val="20"/>
                <w:lang w:eastAsia="zh-CN"/>
              </w:rPr>
              <w:t>103.17</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20106</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财政事务</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59.50</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59.50</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2010601</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59.50</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59.50</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20199</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eastAsia="zh-CN" w:bidi="ar-SA"/>
              </w:rPr>
              <w:t>其他一般公共服务支出</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hint="default" w:ascii="Arial" w:hAnsi="Arial" w:cs="Arial" w:eastAsiaTheme="minorEastAsia"/>
                <w:color w:val="000000"/>
                <w:sz w:val="20"/>
                <w:szCs w:val="20"/>
                <w:lang w:val="en-US" w:eastAsia="zh-CN"/>
              </w:rPr>
            </w:pPr>
            <w:r>
              <w:rPr>
                <w:rFonts w:hint="eastAsia" w:ascii="Arial" w:hAnsi="Arial" w:cs="Arial"/>
                <w:color w:val="000000"/>
                <w:sz w:val="20"/>
                <w:szCs w:val="20"/>
                <w:lang w:val="en-US" w:eastAsia="zh-CN"/>
              </w:rPr>
              <w:t>15.7</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hint="default" w:ascii="Arial" w:hAnsi="Arial" w:cs="Arial" w:eastAsiaTheme="minorEastAsia"/>
                <w:color w:val="000000"/>
                <w:sz w:val="20"/>
                <w:szCs w:val="20"/>
                <w:lang w:val="en-US" w:eastAsia="zh-CN"/>
              </w:rPr>
            </w:pPr>
            <w:r>
              <w:rPr>
                <w:rFonts w:hint="eastAsia" w:ascii="Arial" w:hAnsi="Arial" w:cs="Arial"/>
                <w:color w:val="000000"/>
                <w:sz w:val="20"/>
                <w:szCs w:val="20"/>
                <w:lang w:val="en-US" w:eastAsia="zh-CN"/>
              </w:rPr>
              <w:t>15.7</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2019999</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ind w:firstLine="220" w:firstLineChars="100"/>
              <w:rPr>
                <w:rFonts w:hint="eastAsia" w:ascii="宋体" w:hAnsi="宋体" w:eastAsia="宋体" w:cs="Arial"/>
                <w:color w:val="000000"/>
                <w:lang w:eastAsia="zh-CN" w:bidi="ar-SA"/>
              </w:rPr>
            </w:pPr>
            <w:r>
              <w:rPr>
                <w:rFonts w:hint="eastAsia" w:ascii="宋体" w:hAnsi="宋体" w:eastAsia="宋体" w:cs="Arial"/>
                <w:color w:val="000000"/>
                <w:lang w:eastAsia="zh-CN" w:bidi="ar-SA"/>
              </w:rPr>
              <w:t>其他一般公共服务支出</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hint="default" w:ascii="Arial" w:hAnsi="Arial" w:cs="Arial" w:eastAsiaTheme="minorEastAsia"/>
                <w:color w:val="000000"/>
                <w:sz w:val="20"/>
                <w:szCs w:val="20"/>
                <w:lang w:val="en-US" w:eastAsia="zh-CN"/>
              </w:rPr>
            </w:pPr>
            <w:r>
              <w:rPr>
                <w:rFonts w:hint="eastAsia" w:ascii="Arial" w:hAnsi="Arial" w:cs="Arial"/>
                <w:color w:val="000000"/>
                <w:sz w:val="20"/>
                <w:szCs w:val="20"/>
                <w:lang w:val="en-US" w:eastAsia="zh-CN"/>
              </w:rPr>
              <w:t>15.7</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hint="default" w:ascii="Arial" w:hAnsi="Arial" w:cs="Arial" w:eastAsiaTheme="minorEastAsia"/>
                <w:color w:val="000000"/>
                <w:sz w:val="20"/>
                <w:szCs w:val="20"/>
                <w:lang w:val="en-US" w:eastAsia="zh-CN"/>
              </w:rPr>
            </w:pPr>
            <w:r>
              <w:rPr>
                <w:rFonts w:hint="eastAsia" w:ascii="Arial" w:hAnsi="Arial" w:cs="Arial"/>
                <w:color w:val="000000"/>
                <w:sz w:val="20"/>
                <w:szCs w:val="20"/>
                <w:lang w:val="en-US" w:eastAsia="zh-CN"/>
              </w:rPr>
              <w:t>15.7</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207</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文化旅游体育与传媒支出</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46.4</w:t>
            </w:r>
            <w:r>
              <w:rPr>
                <w:rFonts w:hint="eastAsia" w:ascii="Arial" w:hAnsi="Arial" w:cs="Arial"/>
                <w:color w:val="000000"/>
                <w:sz w:val="20"/>
                <w:szCs w:val="20"/>
                <w:lang w:val="en-US" w:eastAsia="zh-CN"/>
              </w:rPr>
              <w:t>8</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46.4</w:t>
            </w:r>
            <w:r>
              <w:rPr>
                <w:rFonts w:hint="eastAsia" w:ascii="Arial" w:hAnsi="Arial" w:cs="Arial"/>
                <w:color w:val="000000"/>
                <w:sz w:val="20"/>
                <w:szCs w:val="20"/>
                <w:lang w:val="en-US" w:eastAsia="zh-CN"/>
              </w:rPr>
              <w:t>8</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20701</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文化和旅游</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46.4</w:t>
            </w:r>
            <w:r>
              <w:rPr>
                <w:rFonts w:hint="eastAsia" w:ascii="Arial" w:hAnsi="Arial" w:cs="Arial"/>
                <w:color w:val="000000"/>
                <w:sz w:val="20"/>
                <w:szCs w:val="20"/>
                <w:lang w:val="en-US" w:eastAsia="zh-CN"/>
              </w:rPr>
              <w:t>8</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ascii="Arial" w:hAnsi="Arial" w:eastAsia="宋体" w:cs="Arial"/>
                <w:color w:val="000000"/>
                <w:sz w:val="20"/>
                <w:szCs w:val="20"/>
              </w:rPr>
            </w:pPr>
            <w:r>
              <w:rPr>
                <w:rFonts w:ascii="Arial" w:hAnsi="Arial" w:cs="Arial"/>
                <w:color w:val="000000"/>
                <w:sz w:val="20"/>
                <w:szCs w:val="20"/>
              </w:rPr>
              <w:t>46.4</w:t>
            </w:r>
            <w:r>
              <w:rPr>
                <w:rFonts w:hint="eastAsia" w:ascii="Arial" w:hAnsi="Arial" w:cs="Arial"/>
                <w:color w:val="000000"/>
                <w:sz w:val="20"/>
                <w:szCs w:val="20"/>
                <w:lang w:val="en-US" w:eastAsia="zh-CN"/>
              </w:rPr>
              <w:t>8</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2070101</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hint="eastAsia" w:ascii="Arial" w:hAnsi="Arial" w:cs="Arial" w:eastAsiaTheme="minorEastAsia"/>
                <w:color w:val="000000"/>
                <w:sz w:val="20"/>
                <w:szCs w:val="20"/>
                <w:lang w:eastAsia="zh-CN"/>
              </w:rPr>
            </w:pPr>
            <w:r>
              <w:rPr>
                <w:rFonts w:ascii="Arial" w:hAnsi="Arial" w:cs="Arial"/>
                <w:color w:val="000000"/>
                <w:sz w:val="20"/>
                <w:szCs w:val="20"/>
              </w:rPr>
              <w:t>46.4</w:t>
            </w:r>
            <w:r>
              <w:rPr>
                <w:rFonts w:hint="eastAsia" w:ascii="Arial" w:hAnsi="Arial" w:cs="Arial"/>
                <w:color w:val="000000"/>
                <w:sz w:val="20"/>
                <w:szCs w:val="20"/>
                <w:lang w:val="en-US" w:eastAsia="zh-CN"/>
              </w:rPr>
              <w:t>8</w:t>
            </w:r>
          </w:p>
        </w:tc>
        <w:tc>
          <w:tcPr>
            <w:tcW w:w="2881" w:type="dxa"/>
            <w:gridSpan w:val="2"/>
            <w:tcBorders>
              <w:top w:val="nil"/>
              <w:left w:val="nil"/>
              <w:bottom w:val="single" w:color="000000" w:sz="4" w:space="0"/>
              <w:right w:val="single" w:color="000000" w:sz="4" w:space="0"/>
            </w:tcBorders>
            <w:shd w:val="clear" w:color="auto" w:fill="auto"/>
            <w:noWrap/>
            <w:vAlign w:val="bottom"/>
          </w:tcPr>
          <w:p>
            <w:pPr>
              <w:rPr>
                <w:rFonts w:hint="eastAsia" w:ascii="Arial" w:hAnsi="Arial" w:cs="Arial" w:eastAsiaTheme="minorEastAsia"/>
                <w:color w:val="000000"/>
                <w:sz w:val="20"/>
                <w:szCs w:val="20"/>
                <w:lang w:eastAsia="zh-CN"/>
              </w:rPr>
            </w:pPr>
            <w:r>
              <w:rPr>
                <w:rFonts w:ascii="Arial" w:hAnsi="Arial" w:cs="Arial"/>
                <w:color w:val="000000"/>
                <w:sz w:val="20"/>
                <w:szCs w:val="20"/>
              </w:rPr>
              <w:t>46.4</w:t>
            </w:r>
            <w:r>
              <w:rPr>
                <w:rFonts w:hint="eastAsia" w:ascii="Arial" w:hAnsi="Arial" w:cs="Arial"/>
                <w:color w:val="000000"/>
                <w:sz w:val="20"/>
                <w:szCs w:val="20"/>
                <w:lang w:val="en-US" w:eastAsia="zh-CN"/>
              </w:rPr>
              <w:t>8</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社会保障和就业支出</w:t>
            </w:r>
          </w:p>
        </w:tc>
        <w:tc>
          <w:tcPr>
            <w:tcW w:w="2881" w:type="dxa"/>
            <w:gridSpan w:val="2"/>
            <w:tcBorders>
              <w:top w:val="nil"/>
              <w:left w:val="nil"/>
              <w:bottom w:val="single" w:color="000000" w:sz="4" w:space="0"/>
              <w:right w:val="single" w:color="000000" w:sz="4" w:space="0"/>
            </w:tcBorders>
            <w:shd w:val="clear" w:color="auto" w:fill="auto"/>
            <w:noWrap/>
            <w:vAlign w:val="bottom"/>
          </w:tcPr>
          <w:p>
            <w:pPr>
              <w:jc w:val="both"/>
              <w:rPr>
                <w:rFonts w:hint="default" w:ascii="Arial" w:hAnsi="Arial" w:eastAsia="宋体" w:cs="Arial"/>
                <w:color w:val="000000"/>
                <w:sz w:val="20"/>
                <w:szCs w:val="20"/>
                <w:lang w:val="en-US" w:eastAsia="zh-CN"/>
              </w:rPr>
            </w:pPr>
            <w:r>
              <w:rPr>
                <w:rFonts w:hint="eastAsia" w:ascii="Arial" w:hAnsi="Arial" w:eastAsia="宋体" w:cs="Arial"/>
                <w:color w:val="000000"/>
                <w:sz w:val="20"/>
                <w:szCs w:val="20"/>
                <w:lang w:val="en-US" w:eastAsia="zh-CN"/>
              </w:rPr>
              <w:t>356.97</w:t>
            </w:r>
          </w:p>
        </w:tc>
        <w:tc>
          <w:tcPr>
            <w:tcW w:w="2881" w:type="dxa"/>
            <w:gridSpan w:val="2"/>
            <w:tcBorders>
              <w:top w:val="nil"/>
              <w:left w:val="nil"/>
              <w:bottom w:val="single" w:color="000000" w:sz="4" w:space="0"/>
              <w:right w:val="single" w:color="000000" w:sz="4" w:space="0"/>
            </w:tcBorders>
            <w:shd w:val="clear" w:color="auto" w:fill="auto"/>
            <w:noWrap/>
            <w:vAlign w:val="bottom"/>
          </w:tcPr>
          <w:p>
            <w:pPr>
              <w:jc w:val="both"/>
              <w:rPr>
                <w:rFonts w:hint="default" w:ascii="Arial" w:hAnsi="Arial" w:eastAsia="宋体" w:cs="Arial"/>
                <w:color w:val="000000"/>
                <w:sz w:val="20"/>
                <w:szCs w:val="20"/>
                <w:lang w:val="en-US" w:eastAsia="zh-CN"/>
              </w:rPr>
            </w:pPr>
            <w:r>
              <w:rPr>
                <w:rFonts w:hint="eastAsia" w:ascii="Arial" w:hAnsi="Arial" w:eastAsia="宋体" w:cs="Arial"/>
                <w:color w:val="000000"/>
                <w:sz w:val="20"/>
                <w:szCs w:val="20"/>
                <w:lang w:val="en-US" w:eastAsia="zh-CN"/>
              </w:rPr>
              <w:t>356.97</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20801</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人力资源和社会保障管理事务</w:t>
            </w:r>
          </w:p>
        </w:tc>
        <w:tc>
          <w:tcPr>
            <w:tcW w:w="2881" w:type="dxa"/>
            <w:gridSpan w:val="2"/>
            <w:tcBorders>
              <w:top w:val="nil"/>
              <w:left w:val="nil"/>
              <w:bottom w:val="single" w:color="000000" w:sz="4" w:space="0"/>
              <w:right w:val="single" w:color="000000" w:sz="4" w:space="0"/>
            </w:tcBorders>
            <w:shd w:val="clear" w:color="auto" w:fill="auto"/>
            <w:noWrap/>
            <w:vAlign w:val="bottom"/>
          </w:tcPr>
          <w:p>
            <w:pPr>
              <w:jc w:val="both"/>
              <w:rPr>
                <w:rFonts w:hint="default" w:ascii="Arial" w:hAnsi="Arial" w:eastAsia="宋体" w:cs="Arial"/>
                <w:color w:val="000000"/>
                <w:sz w:val="20"/>
                <w:szCs w:val="20"/>
                <w:lang w:val="en-US" w:eastAsia="zh-CN"/>
              </w:rPr>
            </w:pPr>
            <w:r>
              <w:rPr>
                <w:rFonts w:hint="eastAsia" w:ascii="Arial" w:hAnsi="Arial" w:eastAsia="宋体" w:cs="Arial"/>
                <w:color w:val="000000"/>
                <w:sz w:val="20"/>
                <w:szCs w:val="20"/>
                <w:lang w:val="en-US" w:eastAsia="zh-CN"/>
              </w:rPr>
              <w:t>142.91</w:t>
            </w:r>
          </w:p>
        </w:tc>
        <w:tc>
          <w:tcPr>
            <w:tcW w:w="2881" w:type="dxa"/>
            <w:gridSpan w:val="2"/>
            <w:tcBorders>
              <w:top w:val="nil"/>
              <w:left w:val="nil"/>
              <w:bottom w:val="single" w:color="000000" w:sz="4" w:space="0"/>
              <w:right w:val="single" w:color="000000" w:sz="4" w:space="0"/>
            </w:tcBorders>
            <w:shd w:val="clear" w:color="auto" w:fill="auto"/>
            <w:noWrap/>
            <w:vAlign w:val="bottom"/>
          </w:tcPr>
          <w:p>
            <w:pPr>
              <w:jc w:val="both"/>
              <w:rPr>
                <w:rFonts w:hint="default" w:ascii="Arial" w:hAnsi="Arial" w:eastAsia="宋体" w:cs="Arial"/>
                <w:color w:val="000000"/>
                <w:sz w:val="20"/>
                <w:szCs w:val="20"/>
                <w:lang w:val="en-US" w:eastAsia="zh-CN"/>
              </w:rPr>
            </w:pPr>
            <w:r>
              <w:rPr>
                <w:rFonts w:hint="eastAsia" w:ascii="Arial" w:hAnsi="Arial" w:eastAsia="宋体" w:cs="Arial"/>
                <w:color w:val="000000"/>
                <w:sz w:val="20"/>
                <w:szCs w:val="20"/>
                <w:lang w:val="en-US" w:eastAsia="zh-CN"/>
              </w:rPr>
              <w:t>142.91</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nil"/>
              <w:left w:val="single" w:color="000000" w:sz="4" w:space="0"/>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2080101</w:t>
            </w:r>
          </w:p>
        </w:tc>
        <w:tc>
          <w:tcPr>
            <w:tcW w:w="3822" w:type="dxa"/>
            <w:tcBorders>
              <w:top w:val="nil"/>
              <w:left w:val="nil"/>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2881" w:type="dxa"/>
            <w:gridSpan w:val="2"/>
            <w:tcBorders>
              <w:top w:val="nil"/>
              <w:left w:val="nil"/>
              <w:bottom w:val="single" w:color="auto"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142.91</w:t>
            </w:r>
          </w:p>
        </w:tc>
        <w:tc>
          <w:tcPr>
            <w:tcW w:w="2881" w:type="dxa"/>
            <w:gridSpan w:val="2"/>
            <w:tcBorders>
              <w:top w:val="nil"/>
              <w:left w:val="nil"/>
              <w:bottom w:val="single" w:color="auto" w:sz="4" w:space="0"/>
              <w:right w:val="single" w:color="000000"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142.91</w:t>
            </w:r>
          </w:p>
        </w:tc>
        <w:tc>
          <w:tcPr>
            <w:tcW w:w="2881" w:type="dxa"/>
            <w:tcBorders>
              <w:top w:val="nil"/>
              <w:left w:val="nil"/>
              <w:bottom w:val="single" w:color="auto"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20805</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行政事业单位养老支出</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128.28</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128.28</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2080505</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机关事业单位基本养老保险缴费支出</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72.43</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72.43</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2080506</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机关事业单位职业年金缴费支出</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55.85</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jc w:val="both"/>
              <w:rPr>
                <w:rFonts w:ascii="Arial" w:hAnsi="Arial" w:eastAsia="宋体" w:cs="Arial"/>
                <w:color w:val="000000"/>
                <w:sz w:val="20"/>
                <w:szCs w:val="20"/>
              </w:rPr>
            </w:pPr>
            <w:r>
              <w:rPr>
                <w:rFonts w:ascii="Arial" w:hAnsi="Arial" w:cs="Arial"/>
                <w:color w:val="000000"/>
                <w:sz w:val="20"/>
                <w:szCs w:val="20"/>
              </w:rPr>
              <w:t>55.85</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20808</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抚恤</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jc w:val="both"/>
              <w:rPr>
                <w:rFonts w:ascii="Arial" w:hAnsi="Arial" w:eastAsia="宋体" w:cs="Arial"/>
                <w:color w:val="000000"/>
                <w:sz w:val="20"/>
                <w:szCs w:val="20"/>
                <w:lang w:val="en-US" w:eastAsia="en-US" w:bidi="en-US"/>
              </w:rPr>
            </w:pPr>
            <w:r>
              <w:rPr>
                <w:rFonts w:ascii="Arial" w:hAnsi="Arial" w:cs="Arial"/>
                <w:color w:val="000000"/>
                <w:sz w:val="20"/>
                <w:szCs w:val="20"/>
              </w:rPr>
              <w:t>57.13</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jc w:val="both"/>
              <w:rPr>
                <w:rFonts w:ascii="Arial" w:hAnsi="Arial" w:eastAsia="宋体" w:cs="Arial"/>
                <w:color w:val="000000"/>
                <w:sz w:val="20"/>
                <w:szCs w:val="20"/>
                <w:lang w:val="en-US" w:eastAsia="en-US" w:bidi="en-US"/>
              </w:rPr>
            </w:pPr>
            <w:r>
              <w:rPr>
                <w:rFonts w:ascii="Arial" w:hAnsi="Arial" w:cs="Arial"/>
                <w:color w:val="000000"/>
                <w:sz w:val="20"/>
                <w:szCs w:val="20"/>
              </w:rPr>
              <w:t>57.13</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2080801</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死亡抚恤</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jc w:val="both"/>
              <w:rPr>
                <w:rFonts w:ascii="Arial" w:hAnsi="Arial" w:eastAsia="宋体" w:cs="Arial"/>
                <w:color w:val="000000"/>
                <w:sz w:val="20"/>
                <w:szCs w:val="20"/>
                <w:lang w:val="en-US" w:eastAsia="en-US" w:bidi="en-US"/>
              </w:rPr>
            </w:pPr>
            <w:r>
              <w:rPr>
                <w:rFonts w:ascii="Arial" w:hAnsi="Arial" w:cs="Arial"/>
                <w:color w:val="000000"/>
                <w:sz w:val="20"/>
                <w:szCs w:val="20"/>
              </w:rPr>
              <w:t>57.13</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jc w:val="both"/>
              <w:rPr>
                <w:rFonts w:ascii="Arial" w:hAnsi="Arial" w:eastAsia="宋体" w:cs="Arial"/>
                <w:color w:val="000000"/>
                <w:sz w:val="20"/>
                <w:szCs w:val="20"/>
                <w:lang w:val="en-US" w:eastAsia="en-US" w:bidi="en-US"/>
              </w:rPr>
            </w:pPr>
            <w:r>
              <w:rPr>
                <w:rFonts w:ascii="Arial" w:hAnsi="Arial" w:cs="Arial"/>
                <w:color w:val="000000"/>
                <w:sz w:val="20"/>
                <w:szCs w:val="20"/>
              </w:rPr>
              <w:t>57.13</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0.00</w:t>
            </w:r>
          </w:p>
        </w:tc>
      </w:tr>
      <w:tr>
        <w:tblPrEx>
          <w:tblCellMar>
            <w:top w:w="0" w:type="dxa"/>
            <w:left w:w="108" w:type="dxa"/>
            <w:bottom w:w="0" w:type="dxa"/>
            <w:right w:w="108" w:type="dxa"/>
          </w:tblCellMar>
        </w:tblPrEx>
        <w:trPr>
          <w:trHeight w:val="306" w:hRule="exac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20809</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退役安置</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jc w:val="both"/>
              <w:rPr>
                <w:rFonts w:hint="default" w:ascii="Arial" w:hAnsi="Arial" w:eastAsia="宋体" w:cs="Arial"/>
                <w:color w:val="000000"/>
                <w:sz w:val="20"/>
                <w:szCs w:val="20"/>
                <w:lang w:val="en-US" w:eastAsia="zh-CN"/>
              </w:rPr>
            </w:pPr>
            <w:r>
              <w:rPr>
                <w:rFonts w:hint="eastAsia" w:ascii="Arial" w:hAnsi="Arial" w:eastAsia="宋体" w:cs="Arial"/>
                <w:color w:val="000000"/>
                <w:sz w:val="20"/>
                <w:szCs w:val="20"/>
                <w:lang w:val="en-US" w:eastAsia="zh-CN"/>
              </w:rPr>
              <w:t>16.6</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jc w:val="both"/>
              <w:rPr>
                <w:rFonts w:hint="default" w:ascii="Arial" w:hAnsi="Arial" w:eastAsia="宋体" w:cs="Arial"/>
                <w:color w:val="000000"/>
                <w:sz w:val="20"/>
                <w:szCs w:val="20"/>
                <w:lang w:val="en-US" w:eastAsia="zh-CN"/>
              </w:rPr>
            </w:pPr>
            <w:r>
              <w:rPr>
                <w:rFonts w:hint="eastAsia" w:ascii="Arial" w:hAnsi="Arial" w:eastAsia="宋体" w:cs="Arial"/>
                <w:color w:val="000000"/>
                <w:sz w:val="20"/>
                <w:szCs w:val="20"/>
                <w:lang w:val="en-US" w:eastAsia="zh-CN"/>
              </w:rPr>
              <w:t>16.6</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2080901</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退役士兵安置</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16.60</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16.60</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20827</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eastAsia" w:ascii="宋体" w:hAnsi="宋体" w:eastAsia="宋体" w:cs="Arial"/>
                <w:color w:val="000000"/>
                <w:lang w:eastAsia="zh-CN" w:bidi="ar-SA"/>
              </w:rPr>
            </w:pPr>
            <w:r>
              <w:rPr>
                <w:rFonts w:hint="eastAsia" w:ascii="宋体" w:hAnsi="宋体" w:eastAsia="宋体" w:cs="Arial"/>
                <w:color w:val="000000"/>
                <w:lang w:eastAsia="zh-CN" w:bidi="ar-SA"/>
              </w:rPr>
              <w:t>财政对其他社会保险基金的补助</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12.05</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eastAsia" w:ascii="宋体" w:hAnsi="宋体" w:eastAsia="宋体" w:cs="Arial"/>
                <w:color w:val="000000"/>
                <w:sz w:val="22"/>
                <w:szCs w:val="22"/>
                <w:lang w:val="en-US" w:eastAsia="zh-CN" w:bidi="ar-SA"/>
              </w:rPr>
            </w:pPr>
            <w:r>
              <w:rPr>
                <w:rFonts w:hint="eastAsia" w:ascii="宋体" w:hAnsi="宋体" w:eastAsia="宋体" w:cs="Arial"/>
                <w:color w:val="000000"/>
                <w:lang w:val="en-US" w:eastAsia="zh-CN" w:bidi="ar-SA"/>
              </w:rPr>
              <w:t>12.05</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0.00</w:t>
            </w:r>
          </w:p>
        </w:tc>
      </w:tr>
      <w:tr>
        <w:tblPrEx>
          <w:tblCellMar>
            <w:top w:w="0" w:type="dxa"/>
            <w:left w:w="108" w:type="dxa"/>
            <w:bottom w:w="0" w:type="dxa"/>
            <w:right w:w="108" w:type="dxa"/>
          </w:tblCellMar>
        </w:tblPrEx>
        <w:trPr>
          <w:trHeight w:val="336" w:hRule="atLeas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2082701</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eastAsia" w:ascii="宋体" w:hAnsi="宋体" w:eastAsia="宋体" w:cs="Arial"/>
                <w:color w:val="000000"/>
                <w:lang w:eastAsia="zh-CN" w:bidi="ar-SA"/>
              </w:rPr>
            </w:pPr>
            <w:r>
              <w:rPr>
                <w:rFonts w:hint="eastAsia" w:ascii="宋体" w:hAnsi="宋体" w:eastAsia="宋体" w:cs="Arial"/>
                <w:color w:val="000000"/>
                <w:lang w:eastAsia="zh-CN" w:bidi="ar-SA"/>
              </w:rPr>
              <w:t xml:space="preserve"> </w:t>
            </w:r>
            <w:r>
              <w:rPr>
                <w:rFonts w:hint="eastAsia" w:ascii="宋体" w:hAnsi="宋体" w:eastAsia="宋体" w:cs="Arial"/>
                <w:color w:val="000000"/>
                <w:lang w:val="en-US" w:eastAsia="zh-CN" w:bidi="ar-SA"/>
              </w:rPr>
              <w:t xml:space="preserve"> </w:t>
            </w:r>
            <w:r>
              <w:rPr>
                <w:rFonts w:hint="eastAsia" w:ascii="宋体" w:hAnsi="宋体" w:eastAsia="宋体" w:cs="Arial"/>
                <w:color w:val="000000"/>
                <w:lang w:eastAsia="zh-CN" w:bidi="ar-SA"/>
              </w:rPr>
              <w:t>财政对失业保险基金的补助</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5.86</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eastAsia" w:ascii="宋体" w:hAnsi="宋体" w:eastAsia="宋体" w:cs="Arial"/>
                <w:color w:val="000000"/>
                <w:sz w:val="22"/>
                <w:szCs w:val="22"/>
                <w:lang w:val="en-US" w:eastAsia="zh-CN" w:bidi="ar-SA"/>
              </w:rPr>
            </w:pPr>
            <w:r>
              <w:rPr>
                <w:rFonts w:hint="eastAsia" w:ascii="宋体" w:hAnsi="宋体" w:eastAsia="宋体" w:cs="Arial"/>
                <w:color w:val="000000"/>
                <w:lang w:val="en-US" w:eastAsia="zh-CN" w:bidi="ar-SA"/>
              </w:rPr>
              <w:t>5.86</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2082702</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eastAsia" w:ascii="宋体" w:hAnsi="宋体" w:eastAsia="宋体" w:cs="Arial"/>
                <w:color w:val="000000"/>
                <w:lang w:eastAsia="zh-CN" w:bidi="ar-SA"/>
              </w:rPr>
            </w:pPr>
            <w:r>
              <w:rPr>
                <w:rFonts w:hint="eastAsia" w:ascii="宋体" w:hAnsi="宋体" w:eastAsia="宋体" w:cs="Arial"/>
                <w:color w:val="000000"/>
                <w:lang w:eastAsia="zh-CN" w:bidi="ar-SA"/>
              </w:rPr>
              <w:t xml:space="preserve"> </w:t>
            </w:r>
            <w:r>
              <w:rPr>
                <w:rFonts w:hint="eastAsia" w:ascii="宋体" w:hAnsi="宋体" w:eastAsia="宋体" w:cs="Arial"/>
                <w:color w:val="000000"/>
                <w:lang w:val="en-US" w:eastAsia="zh-CN" w:bidi="ar-SA"/>
              </w:rPr>
              <w:t xml:space="preserve"> </w:t>
            </w:r>
            <w:r>
              <w:rPr>
                <w:rFonts w:hint="eastAsia" w:ascii="宋体" w:hAnsi="宋体" w:eastAsia="宋体" w:cs="Arial"/>
                <w:color w:val="000000"/>
                <w:lang w:eastAsia="zh-CN" w:bidi="ar-SA"/>
              </w:rPr>
              <w:t>财政对工伤保险基金的补助</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6.19</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eastAsia" w:ascii="宋体" w:hAnsi="宋体" w:eastAsia="宋体" w:cs="Arial"/>
                <w:color w:val="000000"/>
                <w:sz w:val="22"/>
                <w:szCs w:val="22"/>
                <w:lang w:val="en-US" w:eastAsia="zh-CN" w:bidi="ar-SA"/>
              </w:rPr>
            </w:pPr>
            <w:r>
              <w:rPr>
                <w:rFonts w:hint="eastAsia" w:ascii="宋体" w:hAnsi="宋体" w:eastAsia="宋体" w:cs="Arial"/>
                <w:color w:val="000000"/>
                <w:lang w:val="en-US" w:eastAsia="zh-CN" w:bidi="ar-SA"/>
              </w:rPr>
              <w:t>6.19</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210</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卫生健康支出</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21012</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财政对基本医疗保险基金的补助</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2101201</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 xml:space="preserve">  财政对职工基本医疗保险基金的补助</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134.52</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211</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节能环保支出</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208.4</w:t>
            </w:r>
            <w:r>
              <w:rPr>
                <w:rFonts w:hint="eastAsia" w:ascii="宋体" w:hAnsi="宋体" w:eastAsia="宋体" w:cs="Arial"/>
                <w:color w:val="000000"/>
                <w:lang w:val="en-US" w:eastAsia="zh-CN" w:bidi="ar-SA"/>
              </w:rPr>
              <w:t>6</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208.4</w:t>
            </w:r>
            <w:r>
              <w:rPr>
                <w:rFonts w:hint="eastAsia" w:ascii="宋体" w:hAnsi="宋体" w:eastAsia="宋体" w:cs="Arial"/>
                <w:color w:val="000000"/>
                <w:lang w:val="en-US" w:eastAsia="zh-CN" w:bidi="ar-SA"/>
              </w:rPr>
              <w:t>6</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21104</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自然生态保护</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208.4</w:t>
            </w:r>
            <w:r>
              <w:rPr>
                <w:rFonts w:hint="eastAsia" w:ascii="宋体" w:hAnsi="宋体" w:eastAsia="宋体" w:cs="Arial"/>
                <w:color w:val="000000"/>
                <w:lang w:val="en-US" w:eastAsia="zh-CN" w:bidi="ar-SA"/>
              </w:rPr>
              <w:t>6</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208.4</w:t>
            </w:r>
            <w:r>
              <w:rPr>
                <w:rFonts w:hint="eastAsia" w:ascii="宋体" w:hAnsi="宋体" w:eastAsia="宋体" w:cs="Arial"/>
                <w:color w:val="000000"/>
                <w:lang w:val="en-US" w:eastAsia="zh-CN" w:bidi="ar-SA"/>
              </w:rPr>
              <w:t>6</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2110402</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农村环境保护</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208.4</w:t>
            </w:r>
            <w:r>
              <w:rPr>
                <w:rFonts w:hint="eastAsia" w:ascii="宋体" w:hAnsi="宋体" w:eastAsia="宋体" w:cs="Arial"/>
                <w:color w:val="000000"/>
                <w:lang w:val="en-US" w:eastAsia="zh-CN" w:bidi="ar-SA"/>
              </w:rPr>
              <w:t>6</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208.4</w:t>
            </w:r>
            <w:r>
              <w:rPr>
                <w:rFonts w:hint="eastAsia" w:ascii="宋体" w:hAnsi="宋体" w:eastAsia="宋体" w:cs="Arial"/>
                <w:color w:val="000000"/>
                <w:lang w:val="en-US" w:eastAsia="zh-CN" w:bidi="ar-SA"/>
              </w:rPr>
              <w:t>6</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212</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城乡社区支出</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eastAsia="zh-CN" w:bidi="ar-SA"/>
              </w:rPr>
              <w:t>89.</w:t>
            </w:r>
            <w:r>
              <w:rPr>
                <w:rFonts w:hint="eastAsia" w:ascii="宋体" w:hAnsi="宋体" w:eastAsia="宋体" w:cs="Arial"/>
                <w:color w:val="000000"/>
                <w:lang w:val="en-US" w:eastAsia="zh-CN" w:bidi="ar-SA"/>
              </w:rPr>
              <w:t>43</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eastAsia="zh-CN" w:bidi="ar-SA"/>
              </w:rPr>
              <w:t>89.</w:t>
            </w:r>
            <w:r>
              <w:rPr>
                <w:rFonts w:hint="eastAsia" w:ascii="宋体" w:hAnsi="宋体" w:eastAsia="宋体" w:cs="Arial"/>
                <w:color w:val="000000"/>
                <w:lang w:val="en-US" w:eastAsia="zh-CN" w:bidi="ar-SA"/>
              </w:rPr>
              <w:t>43</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21201</w:t>
            </w:r>
          </w:p>
        </w:tc>
        <w:tc>
          <w:tcPr>
            <w:tcW w:w="3822"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城乡社区管理事务</w:t>
            </w:r>
          </w:p>
        </w:tc>
        <w:tc>
          <w:tcPr>
            <w:tcW w:w="2881" w:type="dxa"/>
            <w:gridSpan w:val="2"/>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eastAsia="zh-CN" w:bidi="ar-SA"/>
              </w:rPr>
              <w:t>51.</w:t>
            </w:r>
            <w:r>
              <w:rPr>
                <w:rFonts w:hint="eastAsia" w:ascii="宋体" w:hAnsi="宋体" w:eastAsia="宋体" w:cs="Arial"/>
                <w:color w:val="000000"/>
                <w:lang w:val="en-US" w:eastAsia="zh-CN" w:bidi="ar-SA"/>
              </w:rPr>
              <w:t>43</w:t>
            </w:r>
          </w:p>
        </w:tc>
        <w:tc>
          <w:tcPr>
            <w:tcW w:w="2881" w:type="dxa"/>
            <w:gridSpan w:val="2"/>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eastAsia="zh-CN" w:bidi="ar-SA"/>
              </w:rPr>
              <w:t>51.</w:t>
            </w:r>
            <w:r>
              <w:rPr>
                <w:rFonts w:hint="eastAsia" w:ascii="宋体" w:hAnsi="宋体" w:eastAsia="宋体" w:cs="Arial"/>
                <w:color w:val="000000"/>
                <w:lang w:val="en-US" w:eastAsia="zh-CN" w:bidi="ar-SA"/>
              </w:rPr>
              <w:t>43</w:t>
            </w:r>
          </w:p>
        </w:tc>
        <w:tc>
          <w:tcPr>
            <w:tcW w:w="2881"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2120104</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城管执法</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eastAsia="zh-CN" w:bidi="ar-SA"/>
              </w:rPr>
              <w:t>51.</w:t>
            </w:r>
            <w:r>
              <w:rPr>
                <w:rFonts w:hint="eastAsia" w:ascii="宋体" w:hAnsi="宋体" w:eastAsia="宋体" w:cs="Arial"/>
                <w:color w:val="000000"/>
                <w:lang w:val="en-US" w:eastAsia="zh-CN" w:bidi="ar-SA"/>
              </w:rPr>
              <w:t>43</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hint="default" w:ascii="宋体" w:hAnsi="宋体" w:eastAsia="宋体" w:cs="Arial"/>
                <w:color w:val="000000"/>
                <w:lang w:val="en-US" w:eastAsia="zh-CN" w:bidi="ar-SA"/>
              </w:rPr>
            </w:pPr>
            <w:r>
              <w:rPr>
                <w:rFonts w:hint="eastAsia" w:ascii="宋体" w:hAnsi="宋体" w:eastAsia="宋体" w:cs="Arial"/>
                <w:color w:val="000000"/>
                <w:lang w:eastAsia="zh-CN" w:bidi="ar-SA"/>
              </w:rPr>
              <w:t>51.</w:t>
            </w:r>
            <w:r>
              <w:rPr>
                <w:rFonts w:hint="eastAsia" w:ascii="宋体" w:hAnsi="宋体" w:eastAsia="宋体" w:cs="Arial"/>
                <w:color w:val="000000"/>
                <w:lang w:val="en-US" w:eastAsia="zh-CN" w:bidi="ar-SA"/>
              </w:rPr>
              <w:t>43</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21203</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城乡社区公共设施</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38.00</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38.00</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212399</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其他城乡社区公共设施支出</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38.00</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38.00</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农林水支出</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1026.59</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1026.59</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21301</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农业农村</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135.15</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135.15</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600" w:hRule="atLeas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2130101</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135.15</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135.15</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21307</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农村综合改革</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891.44</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891.44</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2130705</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对村民委员会和村党支部的补助</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552.44</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552.44</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2130799</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其他农村综合改革支出</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339</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339</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215</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资源勘探工业信息等支出</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nil"/>
              <w:left w:val="single" w:color="000000" w:sz="4" w:space="0"/>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21508</w:t>
            </w:r>
          </w:p>
        </w:tc>
        <w:tc>
          <w:tcPr>
            <w:tcW w:w="3822" w:type="dxa"/>
            <w:tcBorders>
              <w:top w:val="nil"/>
              <w:left w:val="nil"/>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支持中小企业发展和管理支出</w:t>
            </w:r>
          </w:p>
        </w:tc>
        <w:tc>
          <w:tcPr>
            <w:tcW w:w="2881" w:type="dxa"/>
            <w:gridSpan w:val="2"/>
            <w:tcBorders>
              <w:top w:val="nil"/>
              <w:left w:val="nil"/>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2881" w:type="dxa"/>
            <w:gridSpan w:val="2"/>
            <w:tcBorders>
              <w:top w:val="nil"/>
              <w:left w:val="nil"/>
              <w:bottom w:val="single" w:color="auto"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2881" w:type="dxa"/>
            <w:tcBorders>
              <w:top w:val="nil"/>
              <w:left w:val="nil"/>
              <w:bottom w:val="single" w:color="auto"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2150899</w:t>
            </w:r>
          </w:p>
        </w:tc>
        <w:tc>
          <w:tcPr>
            <w:tcW w:w="3822"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其他支持中小企业发展和管理支出</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288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288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221</w:t>
            </w:r>
          </w:p>
        </w:tc>
        <w:tc>
          <w:tcPr>
            <w:tcW w:w="3822"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住房保障支出</w:t>
            </w:r>
          </w:p>
        </w:tc>
        <w:tc>
          <w:tcPr>
            <w:tcW w:w="2881" w:type="dxa"/>
            <w:gridSpan w:val="2"/>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2881" w:type="dxa"/>
            <w:gridSpan w:val="2"/>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2881" w:type="dxa"/>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22102</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住房改革支出</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2210201</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住房公积金</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281.35</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224</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灾害防治及应急管理支出</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154.78</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154.78</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22401</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应急管理事务</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154.78</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154.78</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138" w:type="dxa"/>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2240101</w:t>
            </w:r>
          </w:p>
        </w:tc>
        <w:tc>
          <w:tcPr>
            <w:tcW w:w="3822" w:type="dxa"/>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行政运行</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154.78</w:t>
            </w:r>
          </w:p>
        </w:tc>
        <w:tc>
          <w:tcPr>
            <w:tcW w:w="2881" w:type="dxa"/>
            <w:gridSpan w:val="2"/>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154.78</w:t>
            </w:r>
          </w:p>
        </w:tc>
        <w:tc>
          <w:tcPr>
            <w:tcW w:w="2881" w:type="dxa"/>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13603" w:type="dxa"/>
            <w:gridSpan w:val="9"/>
            <w:tcBorders>
              <w:top w:val="nil"/>
              <w:left w:val="nil"/>
              <w:bottom w:val="nil"/>
              <w:right w:val="nil"/>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注：本表反映部门本年度一般公共预算财政拨款支出情况。</w:t>
            </w:r>
          </w:p>
        </w:tc>
      </w:tr>
    </w:tbl>
    <w:p>
      <w:pPr>
        <w:shd w:val="clear" w:color="auto" w:fill="FFFFFF"/>
        <w:ind w:firstLine="560" w:firstLineChars="200"/>
        <w:rPr>
          <w:rFonts w:ascii="黑体" w:hAnsi="黑体" w:eastAsia="黑体" w:cstheme="minorEastAsia"/>
          <w:color w:val="000000" w:themeColor="text1"/>
          <w:sz w:val="28"/>
          <w:szCs w:val="28"/>
          <w:lang w:eastAsia="zh-CN"/>
          <w14:textFill>
            <w14:solidFill>
              <w14:schemeClr w14:val="tx1"/>
            </w14:solidFill>
          </w14:textFill>
        </w:rPr>
      </w:pPr>
    </w:p>
    <w:tbl>
      <w:tblPr>
        <w:tblStyle w:val="18"/>
        <w:tblW w:w="4968" w:type="pct"/>
        <w:tblInd w:w="0" w:type="dxa"/>
        <w:tblLayout w:type="fixed"/>
        <w:tblCellMar>
          <w:top w:w="0" w:type="dxa"/>
          <w:left w:w="108" w:type="dxa"/>
          <w:bottom w:w="0" w:type="dxa"/>
          <w:right w:w="108" w:type="dxa"/>
        </w:tblCellMar>
      </w:tblPr>
      <w:tblGrid>
        <w:gridCol w:w="14083"/>
      </w:tblGrid>
      <w:tr>
        <w:tblPrEx>
          <w:tblCellMar>
            <w:top w:w="0" w:type="dxa"/>
            <w:left w:w="108" w:type="dxa"/>
            <w:bottom w:w="0" w:type="dxa"/>
            <w:right w:w="108" w:type="dxa"/>
          </w:tblCellMar>
        </w:tblPrEx>
        <w:trPr>
          <w:trHeight w:val="6382" w:hRule="atLeast"/>
        </w:trPr>
        <w:tc>
          <w:tcPr>
            <w:tcW w:w="5000" w:type="pct"/>
            <w:tcBorders>
              <w:top w:val="nil"/>
              <w:left w:val="nil"/>
              <w:bottom w:val="nil"/>
              <w:right w:val="nil"/>
            </w:tcBorders>
            <w:shd w:val="clear" w:color="auto" w:fill="auto"/>
            <w:noWrap/>
            <w:vAlign w:val="bottom"/>
          </w:tcPr>
          <w:tbl>
            <w:tblPr>
              <w:tblStyle w:val="18"/>
              <w:tblW w:w="5000" w:type="pct"/>
              <w:tblInd w:w="0" w:type="dxa"/>
              <w:tblLayout w:type="fixed"/>
              <w:tblCellMar>
                <w:top w:w="0" w:type="dxa"/>
                <w:left w:w="108" w:type="dxa"/>
                <w:bottom w:w="0" w:type="dxa"/>
                <w:right w:w="108" w:type="dxa"/>
              </w:tblCellMar>
            </w:tblPr>
            <w:tblGrid>
              <w:gridCol w:w="865"/>
              <w:gridCol w:w="2072"/>
              <w:gridCol w:w="1353"/>
              <w:gridCol w:w="998"/>
              <w:gridCol w:w="1903"/>
              <w:gridCol w:w="1453"/>
              <w:gridCol w:w="1348"/>
              <w:gridCol w:w="2316"/>
              <w:gridCol w:w="1559"/>
            </w:tblGrid>
            <w:tr>
              <w:tblPrEx>
                <w:tblCellMar>
                  <w:top w:w="0" w:type="dxa"/>
                  <w:left w:w="108" w:type="dxa"/>
                  <w:bottom w:w="0" w:type="dxa"/>
                  <w:right w:w="108" w:type="dxa"/>
                </w:tblCellMar>
              </w:tblPrEx>
              <w:trPr>
                <w:trHeight w:val="390" w:hRule="atLeast"/>
              </w:trPr>
              <w:tc>
                <w:tcPr>
                  <w:tcW w:w="5000" w:type="pct"/>
                  <w:gridSpan w:val="9"/>
                  <w:tcBorders>
                    <w:top w:val="nil"/>
                    <w:left w:val="nil"/>
                    <w:bottom w:val="nil"/>
                    <w:right w:val="nil"/>
                  </w:tcBorders>
                  <w:shd w:val="clear" w:color="auto" w:fill="auto"/>
                  <w:noWrap/>
                  <w:vAlign w:val="bottom"/>
                </w:tcPr>
                <w:p>
                  <w:pPr>
                    <w:spacing w:after="0" w:line="240" w:lineRule="auto"/>
                    <w:jc w:val="center"/>
                    <w:rPr>
                      <w:rFonts w:ascii="Arial" w:hAnsi="Arial" w:eastAsia="宋体" w:cs="Arial"/>
                      <w:color w:val="000000"/>
                      <w:sz w:val="20"/>
                      <w:szCs w:val="20"/>
                      <w:lang w:eastAsia="zh-CN" w:bidi="ar-SA"/>
                    </w:rPr>
                  </w:pPr>
                  <w:r>
                    <w:rPr>
                      <w:rFonts w:hint="eastAsia" w:ascii="宋体" w:hAnsi="宋体" w:eastAsia="宋体" w:cs="Arial"/>
                      <w:color w:val="000000"/>
                      <w:sz w:val="30"/>
                      <w:szCs w:val="30"/>
                      <w:lang w:eastAsia="zh-CN" w:bidi="ar-SA"/>
                    </w:rPr>
                    <w:t>一般公共预算财政拨款基本支出决算明细表</w:t>
                  </w:r>
                </w:p>
              </w:tc>
            </w:tr>
            <w:tr>
              <w:tblPrEx>
                <w:tblCellMar>
                  <w:top w:w="0" w:type="dxa"/>
                  <w:left w:w="108" w:type="dxa"/>
                  <w:bottom w:w="0" w:type="dxa"/>
                  <w:right w:w="108" w:type="dxa"/>
                </w:tblCellMar>
              </w:tblPrEx>
              <w:trPr>
                <w:trHeight w:val="255" w:hRule="atLeast"/>
              </w:trPr>
              <w:tc>
                <w:tcPr>
                  <w:tcW w:w="312"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747"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488"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360"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686"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524"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486"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835"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562" w:type="pct"/>
                  <w:tcBorders>
                    <w:top w:val="nil"/>
                    <w:left w:val="nil"/>
                    <w:bottom w:val="nil"/>
                    <w:right w:val="nil"/>
                  </w:tcBorders>
                  <w:shd w:val="clear" w:color="auto" w:fill="auto"/>
                  <w:noWrap/>
                  <w:vAlign w:val="bottom"/>
                </w:tcPr>
                <w:p>
                  <w:pPr>
                    <w:spacing w:after="0" w:line="240" w:lineRule="auto"/>
                    <w:ind w:right="360"/>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公开06表</w:t>
                  </w:r>
                </w:p>
              </w:tc>
            </w:tr>
            <w:tr>
              <w:tblPrEx>
                <w:tblCellMar>
                  <w:top w:w="0" w:type="dxa"/>
                  <w:left w:w="108" w:type="dxa"/>
                  <w:bottom w:w="0" w:type="dxa"/>
                  <w:right w:w="108" w:type="dxa"/>
                </w:tblCellMar>
              </w:tblPrEx>
              <w:trPr>
                <w:trHeight w:val="255" w:hRule="atLeast"/>
              </w:trPr>
              <w:tc>
                <w:tcPr>
                  <w:tcW w:w="1547" w:type="pct"/>
                  <w:gridSpan w:val="3"/>
                  <w:tcBorders>
                    <w:top w:val="nil"/>
                    <w:left w:val="nil"/>
                    <w:bottom w:val="nil"/>
                    <w:right w:val="nil"/>
                  </w:tcBorders>
                  <w:shd w:val="clear" w:color="auto" w:fill="auto"/>
                  <w:noWrap/>
                  <w:vAlign w:val="bottom"/>
                </w:tcPr>
                <w:p>
                  <w:pPr>
                    <w:spacing w:after="0" w:line="240" w:lineRule="auto"/>
                    <w:rPr>
                      <w:rFonts w:ascii="宋体" w:hAnsi="宋体" w:eastAsia="宋体" w:cs="Arial"/>
                      <w:color w:val="000000"/>
                      <w:sz w:val="20"/>
                      <w:szCs w:val="20"/>
                      <w:lang w:eastAsia="zh-CN" w:bidi="ar-SA"/>
                    </w:rPr>
                  </w:pPr>
                  <w:r>
                    <w:rPr>
                      <w:rFonts w:hint="eastAsia" w:ascii="宋体" w:hAnsi="宋体" w:eastAsia="宋体" w:cs="Arial"/>
                      <w:color w:val="000000"/>
                      <w:sz w:val="20"/>
                      <w:szCs w:val="20"/>
                      <w:lang w:eastAsia="zh-CN" w:bidi="ar-SA"/>
                    </w:rPr>
                    <w:t>部门：湘潭县云湖桥镇人民政府</w:t>
                  </w:r>
                </w:p>
              </w:tc>
              <w:tc>
                <w:tcPr>
                  <w:tcW w:w="360"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686"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524"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486" w:type="pct"/>
                  <w:tcBorders>
                    <w:top w:val="nil"/>
                    <w:left w:val="nil"/>
                    <w:bottom w:val="nil"/>
                    <w:right w:val="nil"/>
                  </w:tcBorders>
                  <w:shd w:val="clear" w:color="auto" w:fill="auto"/>
                  <w:noWrap/>
                  <w:vAlign w:val="bottom"/>
                </w:tcPr>
                <w:p>
                  <w:pPr>
                    <w:spacing w:after="0" w:line="240" w:lineRule="auto"/>
                    <w:rPr>
                      <w:rFonts w:ascii="Arial" w:hAnsi="Arial" w:eastAsia="宋体" w:cs="Arial"/>
                      <w:color w:val="000000"/>
                      <w:sz w:val="20"/>
                      <w:szCs w:val="20"/>
                      <w:lang w:eastAsia="zh-CN" w:bidi="ar-SA"/>
                    </w:rPr>
                  </w:pPr>
                </w:p>
              </w:tc>
              <w:tc>
                <w:tcPr>
                  <w:tcW w:w="1397" w:type="pct"/>
                  <w:gridSpan w:val="2"/>
                  <w:tcBorders>
                    <w:top w:val="nil"/>
                    <w:left w:val="nil"/>
                    <w:bottom w:val="nil"/>
                    <w:right w:val="nil"/>
                  </w:tcBorders>
                  <w:shd w:val="clear" w:color="auto" w:fill="auto"/>
                  <w:noWrap/>
                  <w:vAlign w:val="bottom"/>
                </w:tcPr>
                <w:p>
                  <w:pPr>
                    <w:spacing w:after="0" w:line="240" w:lineRule="auto"/>
                    <w:ind w:right="270" w:firstLine="2160" w:firstLineChars="1200"/>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金额单位：万元</w:t>
                  </w:r>
                </w:p>
              </w:tc>
            </w:tr>
            <w:tr>
              <w:tblPrEx>
                <w:tblCellMar>
                  <w:top w:w="0" w:type="dxa"/>
                  <w:left w:w="108" w:type="dxa"/>
                  <w:bottom w:w="0" w:type="dxa"/>
                  <w:right w:w="108" w:type="dxa"/>
                </w:tblCellMar>
              </w:tblPrEx>
              <w:trPr>
                <w:trHeight w:val="308" w:hRule="atLeast"/>
              </w:trPr>
              <w:tc>
                <w:tcPr>
                  <w:tcW w:w="1547" w:type="pct"/>
                  <w:gridSpan w:val="3"/>
                  <w:tcBorders>
                    <w:top w:val="single" w:color="000000" w:sz="4" w:space="0"/>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人员经费</w:t>
                  </w:r>
                </w:p>
              </w:tc>
              <w:tc>
                <w:tcPr>
                  <w:tcW w:w="3453" w:type="pct"/>
                  <w:gridSpan w:val="6"/>
                  <w:tcBorders>
                    <w:top w:val="single" w:color="000000" w:sz="4" w:space="0"/>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公用经费</w:t>
                  </w:r>
                </w:p>
              </w:tc>
            </w:tr>
            <w:tr>
              <w:tblPrEx>
                <w:tblCellMar>
                  <w:top w:w="0" w:type="dxa"/>
                  <w:left w:w="108" w:type="dxa"/>
                  <w:bottom w:w="0" w:type="dxa"/>
                  <w:right w:w="108" w:type="dxa"/>
                </w:tblCellMar>
              </w:tblPrEx>
              <w:trPr>
                <w:trHeight w:val="312" w:hRule="atLeast"/>
              </w:trPr>
              <w:tc>
                <w:tcPr>
                  <w:tcW w:w="312" w:type="pct"/>
                  <w:vMerge w:val="restart"/>
                  <w:tcBorders>
                    <w:top w:val="nil"/>
                    <w:left w:val="single" w:color="000000" w:sz="4" w:space="0"/>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科目编码</w:t>
                  </w:r>
                </w:p>
              </w:tc>
              <w:tc>
                <w:tcPr>
                  <w:tcW w:w="747" w:type="pct"/>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科目名称</w:t>
                  </w:r>
                </w:p>
              </w:tc>
              <w:tc>
                <w:tcPr>
                  <w:tcW w:w="488" w:type="pct"/>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决算数</w:t>
                  </w:r>
                </w:p>
              </w:tc>
              <w:tc>
                <w:tcPr>
                  <w:tcW w:w="360" w:type="pct"/>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科目编码</w:t>
                  </w:r>
                </w:p>
              </w:tc>
              <w:tc>
                <w:tcPr>
                  <w:tcW w:w="686" w:type="pct"/>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科目名称</w:t>
                  </w:r>
                </w:p>
              </w:tc>
              <w:tc>
                <w:tcPr>
                  <w:tcW w:w="524" w:type="pct"/>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决算数</w:t>
                  </w:r>
                </w:p>
              </w:tc>
              <w:tc>
                <w:tcPr>
                  <w:tcW w:w="486" w:type="pct"/>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科目编码</w:t>
                  </w:r>
                </w:p>
              </w:tc>
              <w:tc>
                <w:tcPr>
                  <w:tcW w:w="835" w:type="pct"/>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科目名称</w:t>
                  </w:r>
                </w:p>
              </w:tc>
              <w:tc>
                <w:tcPr>
                  <w:tcW w:w="562" w:type="pct"/>
                  <w:vMerge w:val="restart"/>
                  <w:tcBorders>
                    <w:top w:val="nil"/>
                    <w:left w:val="nil"/>
                    <w:bottom w:val="single" w:color="000000" w:sz="4" w:space="0"/>
                    <w:right w:val="single" w:color="000000" w:sz="4" w:space="0"/>
                  </w:tcBorders>
                  <w:shd w:val="clear" w:color="FFFFFF" w:fill="FFFFFF" w:themeFill="background1"/>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决算数</w:t>
                  </w:r>
                </w:p>
              </w:tc>
            </w:tr>
            <w:tr>
              <w:tblPrEx>
                <w:tblCellMar>
                  <w:top w:w="0" w:type="dxa"/>
                  <w:left w:w="108" w:type="dxa"/>
                  <w:bottom w:w="0" w:type="dxa"/>
                  <w:right w:w="108" w:type="dxa"/>
                </w:tblCellMar>
              </w:tblPrEx>
              <w:trPr>
                <w:trHeight w:val="312" w:hRule="atLeast"/>
              </w:trPr>
              <w:tc>
                <w:tcPr>
                  <w:tcW w:w="312" w:type="pct"/>
                  <w:vMerge w:val="continue"/>
                  <w:tcBorders>
                    <w:top w:val="nil"/>
                    <w:left w:val="single" w:color="000000" w:sz="4" w:space="0"/>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747" w:type="pct"/>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488" w:type="pct"/>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360" w:type="pct"/>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686" w:type="pct"/>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524" w:type="pct"/>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486" w:type="pct"/>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835" w:type="pct"/>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c>
                <w:tcPr>
                  <w:tcW w:w="562" w:type="pct"/>
                  <w:vMerge w:val="continue"/>
                  <w:tcBorders>
                    <w:top w:val="nil"/>
                    <w:left w:val="nil"/>
                    <w:bottom w:val="single" w:color="000000" w:sz="4" w:space="0"/>
                    <w:right w:val="single" w:color="000000" w:sz="4" w:space="0"/>
                  </w:tcBorders>
                  <w:shd w:val="clear" w:color="FFFFFF" w:fill="FFFFFF" w:themeFill="background1"/>
                  <w:vAlign w:val="center"/>
                </w:tcPr>
                <w:p>
                  <w:pPr>
                    <w:spacing w:after="0" w:line="240" w:lineRule="auto"/>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301</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工资福利支出</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jc w:val="center"/>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2380.8</w:t>
                  </w:r>
                  <w:r>
                    <w:rPr>
                      <w:rFonts w:hint="eastAsia" w:ascii="宋体" w:hAnsi="宋体" w:eastAsia="宋体" w:cs="Arial"/>
                      <w:color w:val="000000"/>
                      <w:sz w:val="18"/>
                      <w:szCs w:val="18"/>
                      <w:lang w:val="en-US" w:eastAsia="zh-CN" w:bidi="ar-SA"/>
                    </w:rPr>
                    <w:t>7</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商品和服务支出</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4581.91</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307</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债务利息及费用支出</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426"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30101</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基本工资</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1014.1</w:t>
                  </w:r>
                  <w:r>
                    <w:rPr>
                      <w:rFonts w:hint="eastAsia" w:ascii="宋体" w:hAnsi="宋体" w:eastAsia="宋体" w:cs="Arial"/>
                      <w:color w:val="000000"/>
                      <w:sz w:val="18"/>
                      <w:szCs w:val="18"/>
                      <w:lang w:val="en-US" w:eastAsia="zh-CN" w:bidi="ar-SA"/>
                    </w:rPr>
                    <w:t>7</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30201</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办公费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87.77</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30701</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国内债务付息</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30102</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津贴补贴</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186.02</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30202</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印刷费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jc w:val="center"/>
                    <w:rPr>
                      <w:rFonts w:ascii="宋体" w:hAnsi="宋体" w:eastAsia="宋体" w:cs="Arial"/>
                      <w:color w:val="000000"/>
                      <w:lang w:eastAsia="zh-CN" w:bidi="ar-SA"/>
                    </w:rPr>
                  </w:pPr>
                  <w:r>
                    <w:rPr>
                      <w:rFonts w:hint="eastAsia" w:ascii="宋体" w:hAnsi="宋体" w:eastAsia="宋体" w:cs="Arial"/>
                      <w:color w:val="000000"/>
                      <w:lang w:eastAsia="zh-CN" w:bidi="ar-SA"/>
                    </w:rPr>
                    <w:t>90.12</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30702</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国外债务付息</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30103</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奖金</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231.65</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30203</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咨询费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jc w:val="center"/>
                    <w:rPr>
                      <w:rFonts w:ascii="宋体" w:hAnsi="宋体" w:eastAsia="宋体" w:cs="Arial"/>
                      <w:color w:val="000000"/>
                      <w:lang w:eastAsia="zh-CN" w:bidi="ar-SA"/>
                    </w:rPr>
                  </w:pP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资本性支出</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ind w:right="330"/>
                    <w:jc w:val="right"/>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30106</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伙食补助费</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67.51</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30204</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手续费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jc w:val="right"/>
                    <w:rPr>
                      <w:rFonts w:ascii="宋体" w:hAnsi="宋体" w:eastAsia="宋体" w:cs="Arial"/>
                      <w:color w:val="000000"/>
                      <w:lang w:eastAsia="zh-CN" w:bidi="ar-SA"/>
                    </w:rPr>
                  </w:pPr>
                  <w:r>
                    <w:rPr>
                      <w:rFonts w:hint="eastAsia" w:ascii="宋体" w:hAnsi="宋体" w:eastAsia="宋体" w:cs="Arial"/>
                      <w:color w:val="000000"/>
                      <w:lang w:eastAsia="zh-CN" w:bidi="ar-SA"/>
                    </w:rPr>
                    <w:t>3030</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31001</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房屋建筑物购建</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30107</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绩效工资</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jc w:val="center"/>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300.11</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30205</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水费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jc w:val="right"/>
                    <w:rPr>
                      <w:rFonts w:ascii="宋体" w:hAnsi="宋体" w:eastAsia="宋体" w:cs="Arial"/>
                      <w:color w:val="000000"/>
                      <w:lang w:eastAsia="zh-CN" w:bidi="ar-SA"/>
                    </w:rPr>
                  </w:pP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31002</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办公设备购置</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ind w:right="440"/>
                    <w:jc w:val="center"/>
                    <w:rPr>
                      <w:rFonts w:ascii="宋体" w:hAnsi="宋体" w:eastAsia="宋体" w:cs="Arial"/>
                      <w:color w:val="000000"/>
                      <w:lang w:eastAsia="zh-CN" w:bidi="ar-SA"/>
                    </w:rPr>
                  </w:pP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30108</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机关事业单位基本养老保险缴费</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99.47</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30206</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电费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16.47</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31003</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专用设备购置</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30109</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职业年金缴费</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330"/>
                    <w:jc w:val="right"/>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55.85</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30207</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邮电费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7.02</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31005</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基础设施建设</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30110</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职工基本医疗保险缴费</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131.52</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30208</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取暖费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31006</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大型修缮</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30111</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公务员医疗补助缴费</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hint="default" w:ascii="宋体" w:hAnsi="宋体" w:eastAsia="宋体" w:cs="Arial"/>
                      <w:color w:val="000000"/>
                      <w:sz w:val="18"/>
                      <w:szCs w:val="18"/>
                      <w:lang w:val="en-US" w:eastAsia="zh-CN" w:bidi="ar-SA"/>
                    </w:rPr>
                  </w:pPr>
                  <w:r>
                    <w:rPr>
                      <w:rFonts w:hint="eastAsia" w:ascii="宋体" w:hAnsi="宋体" w:eastAsia="宋体" w:cs="Arial"/>
                      <w:color w:val="000000"/>
                      <w:sz w:val="18"/>
                      <w:szCs w:val="18"/>
                      <w:lang w:val="en-US" w:eastAsia="zh-CN" w:bidi="ar-SA"/>
                    </w:rPr>
                    <w:t>0.00</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30209</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物业管理费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31007</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信息网络及软件购置更新</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30112</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其他社会保障缴费</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jc w:val="center"/>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12.0</w:t>
                  </w:r>
                  <w:r>
                    <w:rPr>
                      <w:rFonts w:hint="eastAsia" w:ascii="宋体" w:hAnsi="宋体" w:eastAsia="宋体" w:cs="Arial"/>
                      <w:color w:val="000000"/>
                      <w:sz w:val="18"/>
                      <w:szCs w:val="18"/>
                      <w:lang w:val="en-US" w:eastAsia="zh-CN" w:bidi="ar-SA"/>
                    </w:rPr>
                    <w:t>5</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30211</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差旅费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jc w:val="right"/>
                    <w:rPr>
                      <w:rFonts w:ascii="宋体" w:hAnsi="宋体" w:eastAsia="宋体" w:cs="Arial"/>
                      <w:color w:val="000000"/>
                      <w:lang w:eastAsia="zh-CN" w:bidi="ar-SA"/>
                    </w:rPr>
                  </w:pPr>
                  <w:r>
                    <w:rPr>
                      <w:rFonts w:hint="eastAsia" w:ascii="宋体" w:hAnsi="宋体" w:eastAsia="宋体" w:cs="Arial"/>
                      <w:color w:val="000000"/>
                      <w:lang w:eastAsia="zh-CN" w:bidi="ar-SA"/>
                    </w:rPr>
                    <w:t>5.38</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31008</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物资储备</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30113</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住房公积金</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330"/>
                    <w:jc w:val="right"/>
                    <w:rPr>
                      <w:rFonts w:ascii="宋体" w:hAnsi="宋体" w:eastAsia="宋体" w:cs="Arial"/>
                      <w:color w:val="000000"/>
                      <w:sz w:val="18"/>
                      <w:szCs w:val="18"/>
                      <w:lang w:eastAsia="zh-CN" w:bidi="ar-SA"/>
                    </w:rPr>
                  </w:pPr>
                  <w:r>
                    <w:rPr>
                      <w:rFonts w:hint="eastAsia" w:ascii="宋体" w:hAnsi="宋体" w:eastAsia="宋体" w:cs="Arial"/>
                      <w:color w:val="000000"/>
                      <w:sz w:val="18"/>
                      <w:szCs w:val="18"/>
                      <w:lang w:eastAsia="zh-CN" w:bidi="ar-SA"/>
                    </w:rPr>
                    <w:t>281.35</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30212</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因公出国（境）费用</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31009</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土地补偿</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auto"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30114</w:t>
                  </w:r>
                </w:p>
              </w:tc>
              <w:tc>
                <w:tcPr>
                  <w:tcW w:w="747" w:type="pct"/>
                  <w:tcBorders>
                    <w:top w:val="nil"/>
                    <w:left w:val="nil"/>
                    <w:bottom w:val="single" w:color="auto"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医疗费</w:t>
                  </w:r>
                </w:p>
              </w:tc>
              <w:tc>
                <w:tcPr>
                  <w:tcW w:w="488" w:type="pct"/>
                  <w:tcBorders>
                    <w:top w:val="nil"/>
                    <w:left w:val="nil"/>
                    <w:bottom w:val="single" w:color="auto"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60" w:type="pct"/>
                  <w:tcBorders>
                    <w:top w:val="nil"/>
                    <w:left w:val="nil"/>
                    <w:bottom w:val="single" w:color="auto"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30213</w:t>
                  </w:r>
                </w:p>
              </w:tc>
              <w:tc>
                <w:tcPr>
                  <w:tcW w:w="686" w:type="pct"/>
                  <w:tcBorders>
                    <w:top w:val="nil"/>
                    <w:left w:val="nil"/>
                    <w:bottom w:val="single" w:color="auto"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维修（护）费</w:t>
                  </w:r>
                </w:p>
              </w:tc>
              <w:tc>
                <w:tcPr>
                  <w:tcW w:w="524" w:type="pct"/>
                  <w:tcBorders>
                    <w:top w:val="nil"/>
                    <w:left w:val="nil"/>
                    <w:bottom w:val="single" w:color="auto" w:sz="4" w:space="0"/>
                    <w:right w:val="single" w:color="000000" w:sz="4" w:space="0"/>
                  </w:tcBorders>
                  <w:shd w:val="clear" w:color="FFFFFF" w:fill="FFFFFF" w:themeFill="background1"/>
                  <w:noWrap/>
                  <w:vAlign w:val="center"/>
                </w:tcPr>
                <w:p>
                  <w:pPr>
                    <w:spacing w:after="0" w:line="240" w:lineRule="auto"/>
                    <w:ind w:right="440"/>
                    <w:jc w:val="center"/>
                    <w:rPr>
                      <w:rFonts w:ascii="宋体" w:hAnsi="宋体" w:eastAsia="宋体" w:cs="Arial"/>
                      <w:color w:val="000000"/>
                      <w:lang w:eastAsia="zh-CN" w:bidi="ar-SA"/>
                    </w:rPr>
                  </w:pPr>
                  <w:r>
                    <w:rPr>
                      <w:rFonts w:hint="eastAsia" w:ascii="宋体" w:hAnsi="宋体" w:eastAsia="宋体" w:cs="Arial"/>
                      <w:color w:val="000000"/>
                      <w:lang w:eastAsia="zh-CN" w:bidi="ar-SA"/>
                    </w:rPr>
                    <w:t>10</w:t>
                  </w:r>
                </w:p>
              </w:tc>
              <w:tc>
                <w:tcPr>
                  <w:tcW w:w="486" w:type="pct"/>
                  <w:tcBorders>
                    <w:top w:val="nil"/>
                    <w:left w:val="nil"/>
                    <w:bottom w:val="single" w:color="auto"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31010</w:t>
                  </w:r>
                </w:p>
              </w:tc>
              <w:tc>
                <w:tcPr>
                  <w:tcW w:w="835" w:type="pct"/>
                  <w:tcBorders>
                    <w:top w:val="nil"/>
                    <w:left w:val="nil"/>
                    <w:bottom w:val="single" w:color="auto"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安置补助</w:t>
                  </w:r>
                </w:p>
              </w:tc>
              <w:tc>
                <w:tcPr>
                  <w:tcW w:w="562" w:type="pct"/>
                  <w:tcBorders>
                    <w:top w:val="nil"/>
                    <w:left w:val="nil"/>
                    <w:bottom w:val="single" w:color="auto"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single" w:color="auto" w:sz="4" w:space="0"/>
                    <w:left w:val="single" w:color="auto" w:sz="4" w:space="0"/>
                    <w:bottom w:val="single" w:color="auto" w:sz="4" w:space="0"/>
                    <w:right w:val="single" w:color="auto"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30199</w:t>
                  </w:r>
                </w:p>
              </w:tc>
              <w:tc>
                <w:tcPr>
                  <w:tcW w:w="747" w:type="pct"/>
                  <w:tcBorders>
                    <w:top w:val="single" w:color="auto" w:sz="4" w:space="0"/>
                    <w:left w:val="single" w:color="auto" w:sz="4" w:space="0"/>
                    <w:bottom w:val="single" w:color="auto" w:sz="4" w:space="0"/>
                    <w:right w:val="single" w:color="auto"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其他工资福利支出</w:t>
                  </w:r>
                </w:p>
              </w:tc>
              <w:tc>
                <w:tcPr>
                  <w:tcW w:w="488" w:type="pct"/>
                  <w:tcBorders>
                    <w:top w:val="single" w:color="auto" w:sz="4" w:space="0"/>
                    <w:left w:val="single" w:color="auto" w:sz="4" w:space="0"/>
                    <w:bottom w:val="single" w:color="auto" w:sz="4" w:space="0"/>
                    <w:right w:val="single" w:color="auto" w:sz="4" w:space="0"/>
                  </w:tcBorders>
                  <w:shd w:val="clear" w:color="FFFFFF" w:fill="FFFFFF" w:themeFill="background1"/>
                  <w:noWrap/>
                  <w:vAlign w:val="center"/>
                </w:tcPr>
                <w:p>
                  <w:pPr>
                    <w:spacing w:after="0" w:line="240" w:lineRule="auto"/>
                    <w:ind w:right="220"/>
                    <w:jc w:val="right"/>
                    <w:rPr>
                      <w:rFonts w:ascii="宋体" w:hAnsi="宋体" w:eastAsia="宋体" w:cs="Arial"/>
                      <w:color w:val="000000"/>
                      <w:lang w:eastAsia="zh-CN" w:bidi="ar-SA"/>
                    </w:rPr>
                  </w:pPr>
                  <w:r>
                    <w:rPr>
                      <w:rFonts w:hint="eastAsia" w:ascii="宋体" w:hAnsi="宋体" w:eastAsia="宋体" w:cs="Arial"/>
                      <w:color w:val="000000"/>
                      <w:lang w:eastAsia="zh-CN" w:bidi="ar-SA"/>
                    </w:rPr>
                    <w:t>1.17</w:t>
                  </w:r>
                </w:p>
              </w:tc>
              <w:tc>
                <w:tcPr>
                  <w:tcW w:w="360" w:type="pct"/>
                  <w:tcBorders>
                    <w:top w:val="single" w:color="auto" w:sz="4" w:space="0"/>
                    <w:left w:val="single" w:color="auto" w:sz="4" w:space="0"/>
                    <w:bottom w:val="single" w:color="auto" w:sz="4" w:space="0"/>
                    <w:right w:val="single" w:color="auto"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30214</w:t>
                  </w:r>
                </w:p>
              </w:tc>
              <w:tc>
                <w:tcPr>
                  <w:tcW w:w="686" w:type="pct"/>
                  <w:tcBorders>
                    <w:top w:val="single" w:color="auto" w:sz="4" w:space="0"/>
                    <w:left w:val="single" w:color="auto" w:sz="4" w:space="0"/>
                    <w:bottom w:val="single" w:color="auto" w:sz="4" w:space="0"/>
                    <w:right w:val="single" w:color="auto"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租赁费</w:t>
                  </w:r>
                </w:p>
              </w:tc>
              <w:tc>
                <w:tcPr>
                  <w:tcW w:w="524" w:type="pct"/>
                  <w:tcBorders>
                    <w:top w:val="single" w:color="auto" w:sz="4" w:space="0"/>
                    <w:left w:val="single" w:color="auto" w:sz="4" w:space="0"/>
                    <w:bottom w:val="single" w:color="auto" w:sz="4" w:space="0"/>
                    <w:right w:val="single" w:color="auto"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3.00</w:t>
                  </w:r>
                </w:p>
              </w:tc>
              <w:tc>
                <w:tcPr>
                  <w:tcW w:w="486" w:type="pct"/>
                  <w:tcBorders>
                    <w:top w:val="single" w:color="auto" w:sz="4" w:space="0"/>
                    <w:left w:val="single" w:color="auto" w:sz="4" w:space="0"/>
                    <w:bottom w:val="single" w:color="auto" w:sz="4" w:space="0"/>
                    <w:right w:val="single" w:color="auto"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31011</w:t>
                  </w:r>
                </w:p>
              </w:tc>
              <w:tc>
                <w:tcPr>
                  <w:tcW w:w="835" w:type="pct"/>
                  <w:tcBorders>
                    <w:top w:val="single" w:color="auto" w:sz="4" w:space="0"/>
                    <w:left w:val="single" w:color="auto" w:sz="4" w:space="0"/>
                    <w:bottom w:val="single" w:color="auto" w:sz="4" w:space="0"/>
                    <w:right w:val="single" w:color="auto"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地上附着物和青苗补偿</w:t>
                  </w:r>
                </w:p>
              </w:tc>
              <w:tc>
                <w:tcPr>
                  <w:tcW w:w="562" w:type="pct"/>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single" w:color="auto" w:sz="4" w:space="0"/>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w:t>
                  </w:r>
                </w:p>
              </w:tc>
              <w:tc>
                <w:tcPr>
                  <w:tcW w:w="747" w:type="pct"/>
                  <w:tcBorders>
                    <w:top w:val="single" w:color="auto" w:sz="4" w:space="0"/>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对个人和家庭的补助</w:t>
                  </w:r>
                </w:p>
              </w:tc>
              <w:tc>
                <w:tcPr>
                  <w:tcW w:w="488" w:type="pct"/>
                  <w:tcBorders>
                    <w:top w:val="single" w:color="auto" w:sz="4" w:space="0"/>
                    <w:left w:val="nil"/>
                    <w:bottom w:val="single" w:color="000000" w:sz="4" w:space="0"/>
                    <w:right w:val="single" w:color="000000" w:sz="4" w:space="0"/>
                  </w:tcBorders>
                  <w:shd w:val="clear" w:color="FFFFFF" w:fill="FFFFFF" w:themeFill="background1"/>
                  <w:noWrap/>
                  <w:vAlign w:val="center"/>
                </w:tcPr>
                <w:p>
                  <w:pPr>
                    <w:spacing w:after="0" w:line="240" w:lineRule="auto"/>
                    <w:ind w:right="550"/>
                    <w:jc w:val="right"/>
                    <w:rPr>
                      <w:rFonts w:ascii="宋体" w:hAnsi="宋体" w:eastAsia="宋体" w:cs="Arial"/>
                      <w:color w:val="000000"/>
                      <w:lang w:eastAsia="zh-CN" w:bidi="ar-SA"/>
                    </w:rPr>
                  </w:pPr>
                  <w:r>
                    <w:rPr>
                      <w:rFonts w:hint="eastAsia" w:ascii="宋体" w:hAnsi="宋体" w:eastAsia="宋体" w:cs="Arial"/>
                      <w:color w:val="000000"/>
                      <w:lang w:eastAsia="zh-CN" w:bidi="ar-SA"/>
                    </w:rPr>
                    <w:t>58.25</w:t>
                  </w:r>
                </w:p>
              </w:tc>
              <w:tc>
                <w:tcPr>
                  <w:tcW w:w="360" w:type="pct"/>
                  <w:tcBorders>
                    <w:top w:val="single" w:color="auto" w:sz="4" w:space="0"/>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30215</w:t>
                  </w:r>
                </w:p>
              </w:tc>
              <w:tc>
                <w:tcPr>
                  <w:tcW w:w="686" w:type="pct"/>
                  <w:tcBorders>
                    <w:top w:val="single" w:color="auto" w:sz="4" w:space="0"/>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会议费</w:t>
                  </w:r>
                </w:p>
              </w:tc>
              <w:tc>
                <w:tcPr>
                  <w:tcW w:w="524" w:type="pct"/>
                  <w:tcBorders>
                    <w:top w:val="single" w:color="auto" w:sz="4" w:space="0"/>
                    <w:left w:val="nil"/>
                    <w:bottom w:val="single" w:color="000000" w:sz="4" w:space="0"/>
                    <w:right w:val="single" w:color="000000" w:sz="4" w:space="0"/>
                  </w:tcBorders>
                  <w:shd w:val="clear" w:color="FFFFFF" w:fill="FFFFFF" w:themeFill="background1"/>
                  <w:noWrap/>
                  <w:vAlign w:val="center"/>
                </w:tcPr>
                <w:p>
                  <w:pPr>
                    <w:spacing w:after="0" w:line="240" w:lineRule="auto"/>
                    <w:ind w:right="220"/>
                    <w:jc w:val="right"/>
                    <w:rPr>
                      <w:rFonts w:ascii="宋体" w:hAnsi="宋体" w:eastAsia="宋体" w:cs="Arial"/>
                      <w:color w:val="000000"/>
                      <w:lang w:eastAsia="zh-CN" w:bidi="ar-SA"/>
                    </w:rPr>
                  </w:pPr>
                  <w:r>
                    <w:rPr>
                      <w:rFonts w:hint="eastAsia" w:ascii="宋体" w:hAnsi="宋体" w:eastAsia="宋体" w:cs="Arial"/>
                      <w:color w:val="000000"/>
                      <w:lang w:eastAsia="zh-CN" w:bidi="ar-SA"/>
                    </w:rPr>
                    <w:t>17.50</w:t>
                  </w:r>
                </w:p>
              </w:tc>
              <w:tc>
                <w:tcPr>
                  <w:tcW w:w="486" w:type="pct"/>
                  <w:tcBorders>
                    <w:top w:val="single" w:color="auto" w:sz="4" w:space="0"/>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31012</w:t>
                  </w:r>
                </w:p>
              </w:tc>
              <w:tc>
                <w:tcPr>
                  <w:tcW w:w="835" w:type="pct"/>
                  <w:tcBorders>
                    <w:top w:val="single" w:color="auto" w:sz="4" w:space="0"/>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拆迁补偿</w:t>
                  </w:r>
                </w:p>
              </w:tc>
              <w:tc>
                <w:tcPr>
                  <w:tcW w:w="562" w:type="pct"/>
                  <w:tcBorders>
                    <w:top w:val="single" w:color="auto" w:sz="4" w:space="0"/>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30301</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离休费</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30216</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培训费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220"/>
                    <w:jc w:val="right"/>
                    <w:rPr>
                      <w:rFonts w:ascii="宋体" w:hAnsi="宋体" w:eastAsia="宋体" w:cs="Arial"/>
                      <w:color w:val="000000"/>
                      <w:lang w:eastAsia="zh-CN" w:bidi="ar-SA"/>
                    </w:rPr>
                  </w:pPr>
                  <w:r>
                    <w:rPr>
                      <w:rFonts w:hint="eastAsia" w:ascii="宋体" w:hAnsi="宋体" w:eastAsia="宋体" w:cs="Arial"/>
                      <w:color w:val="000000"/>
                      <w:lang w:eastAsia="zh-CN" w:bidi="ar-SA"/>
                    </w:rPr>
                    <w:t>2.23</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31013</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公务用车购置</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30302</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退休费</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30217</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公务接待费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jc w:val="center"/>
                    <w:rPr>
                      <w:rFonts w:ascii="宋体" w:hAnsi="宋体" w:eastAsia="宋体" w:cs="Arial"/>
                      <w:color w:val="000000"/>
                      <w:lang w:eastAsia="zh-CN" w:bidi="ar-SA"/>
                    </w:rPr>
                  </w:pPr>
                  <w:r>
                    <w:rPr>
                      <w:rFonts w:hint="eastAsia" w:ascii="宋体" w:hAnsi="宋体" w:eastAsia="宋体" w:cs="Arial"/>
                      <w:color w:val="000000"/>
                      <w:lang w:eastAsia="zh-CN" w:bidi="ar-SA"/>
                    </w:rPr>
                    <w:t>2.56</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31019</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其他交通工具购置</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30303</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退职（役）费</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30218</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专用材料费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31021</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文物和陈列品购置</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30304</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抚恤金</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57.13</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30224</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被装购置费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31022</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无形资产购置</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30305</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生活补助</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30225</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专用燃料费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3</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31099</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其他资本性支出</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30306</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救济费</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30226</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劳务费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jc w:val="center"/>
                    <w:rPr>
                      <w:rFonts w:ascii="宋体" w:hAnsi="宋体" w:eastAsia="宋体" w:cs="Arial"/>
                      <w:color w:val="000000"/>
                      <w:lang w:eastAsia="zh-CN" w:bidi="ar-SA"/>
                    </w:rPr>
                  </w:pPr>
                  <w:r>
                    <w:rPr>
                      <w:rFonts w:hint="eastAsia" w:ascii="宋体" w:hAnsi="宋体" w:eastAsia="宋体" w:cs="Arial"/>
                      <w:color w:val="000000"/>
                      <w:lang w:eastAsia="zh-CN" w:bidi="ar-SA"/>
                    </w:rPr>
                    <w:t>540.37</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399</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其他支出</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30307</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医疗费补助</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110"/>
                    <w:jc w:val="right"/>
                    <w:rPr>
                      <w:rFonts w:ascii="宋体" w:hAnsi="宋体" w:eastAsia="宋体" w:cs="Arial"/>
                      <w:color w:val="000000"/>
                      <w:lang w:eastAsia="zh-CN" w:bidi="ar-SA"/>
                    </w:rPr>
                  </w:pPr>
                  <w:r>
                    <w:rPr>
                      <w:rFonts w:hint="eastAsia" w:ascii="宋体" w:hAnsi="宋体" w:eastAsia="宋体" w:cs="Arial"/>
                      <w:color w:val="000000"/>
                      <w:lang w:eastAsia="zh-CN" w:bidi="ar-SA"/>
                    </w:rPr>
                    <w:t>0.94</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30227</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委托业务费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330"/>
                    <w:jc w:val="right"/>
                    <w:rPr>
                      <w:rFonts w:ascii="宋体" w:hAnsi="宋体" w:eastAsia="宋体" w:cs="Arial"/>
                      <w:color w:val="000000"/>
                      <w:lang w:eastAsia="zh-CN" w:bidi="ar-SA"/>
                    </w:rPr>
                  </w:pPr>
                  <w:r>
                    <w:rPr>
                      <w:rFonts w:hint="eastAsia" w:ascii="宋体" w:hAnsi="宋体" w:eastAsia="宋体" w:cs="Arial"/>
                      <w:color w:val="000000"/>
                      <w:lang w:eastAsia="zh-CN" w:bidi="ar-SA"/>
                    </w:rPr>
                    <w:t>759.9</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39906</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赠与</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30308</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助学金</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30228</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工会经费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39907</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国家赔偿费用支出</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30309</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奖励金</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30229</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福利费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39908</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对民间非营利组织和群众性自治组织补贴</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30310</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个人农业生产补贴</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jc w:val="center"/>
                    <w:rPr>
                      <w:rFonts w:hint="default" w:ascii="宋体" w:hAnsi="宋体" w:eastAsia="宋体" w:cs="Arial"/>
                      <w:color w:val="000000"/>
                      <w:lang w:val="en-US" w:eastAsia="zh-CN" w:bidi="ar-SA"/>
                    </w:rPr>
                  </w:pPr>
                  <w:r>
                    <w:rPr>
                      <w:rFonts w:hint="eastAsia" w:ascii="宋体" w:hAnsi="宋体" w:eastAsia="宋体" w:cs="Arial"/>
                      <w:color w:val="000000"/>
                      <w:lang w:val="en-US" w:eastAsia="zh-CN" w:bidi="ar-SA"/>
                    </w:rPr>
                    <w:t>0.00</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30231</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公务用车运行维护费</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39999</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其他支出</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30311</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代缴社会保险费</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30239</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其他交通费用</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440"/>
                    <w:rPr>
                      <w:rFonts w:ascii="宋体" w:hAnsi="宋体" w:eastAsia="宋体" w:cs="Arial"/>
                      <w:color w:val="000000"/>
                      <w:lang w:eastAsia="zh-CN" w:bidi="ar-SA"/>
                    </w:rPr>
                  </w:pPr>
                  <w:r>
                    <w:rPr>
                      <w:rFonts w:hint="eastAsia" w:ascii="宋体" w:hAnsi="宋体" w:eastAsia="宋体" w:cs="Arial"/>
                      <w:color w:val="000000"/>
                      <w:lang w:eastAsia="zh-CN" w:bidi="ar-SA"/>
                    </w:rPr>
                    <w:t>3.05</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30399</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其他对个人和家庭的补助</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0.18</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30240</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税金及附加费用</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0.00</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r>
            <w:tr>
              <w:tblPrEx>
                <w:tblCellMar>
                  <w:top w:w="0" w:type="dxa"/>
                  <w:left w:w="108" w:type="dxa"/>
                  <w:bottom w:w="0" w:type="dxa"/>
                  <w:right w:w="108" w:type="dxa"/>
                </w:tblCellMar>
              </w:tblPrEx>
              <w:trPr>
                <w:trHeight w:val="308" w:hRule="atLeast"/>
              </w:trPr>
              <w:tc>
                <w:tcPr>
                  <w:tcW w:w="312" w:type="pct"/>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747"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360"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30299</w:t>
                  </w:r>
                </w:p>
              </w:tc>
              <w:tc>
                <w:tcPr>
                  <w:tcW w:w="6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xml:space="preserve">  其他商品和服务支出</w:t>
                  </w:r>
                </w:p>
              </w:tc>
              <w:tc>
                <w:tcPr>
                  <w:tcW w:w="524"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330"/>
                    <w:jc w:val="right"/>
                    <w:rPr>
                      <w:rFonts w:ascii="宋体" w:hAnsi="宋体" w:eastAsia="宋体" w:cs="Arial"/>
                      <w:color w:val="000000"/>
                      <w:lang w:eastAsia="zh-CN" w:bidi="ar-SA"/>
                    </w:rPr>
                  </w:pPr>
                  <w:r>
                    <w:rPr>
                      <w:rFonts w:hint="eastAsia" w:ascii="宋体" w:hAnsi="宋体" w:eastAsia="宋体" w:cs="Arial"/>
                      <w:color w:val="000000"/>
                      <w:lang w:eastAsia="zh-CN" w:bidi="ar-SA"/>
                    </w:rPr>
                    <w:t>3.54</w:t>
                  </w:r>
                </w:p>
              </w:tc>
              <w:tc>
                <w:tcPr>
                  <w:tcW w:w="486"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835"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　</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jc w:val="right"/>
                    <w:rPr>
                      <w:rFonts w:ascii="宋体" w:hAnsi="宋体" w:eastAsia="宋体" w:cs="Arial"/>
                      <w:color w:val="000000"/>
                      <w:lang w:eastAsia="zh-CN" w:bidi="ar-SA"/>
                    </w:rPr>
                  </w:pPr>
                  <w:r>
                    <w:rPr>
                      <w:rFonts w:hint="eastAsia" w:ascii="宋体" w:hAnsi="宋体" w:eastAsia="宋体" w:cs="Arial"/>
                      <w:color w:val="000000"/>
                      <w:lang w:eastAsia="zh-CN" w:bidi="ar-SA"/>
                    </w:rPr>
                    <w:t>　</w:t>
                  </w:r>
                </w:p>
              </w:tc>
            </w:tr>
            <w:tr>
              <w:tblPrEx>
                <w:tblCellMar>
                  <w:top w:w="0" w:type="dxa"/>
                  <w:left w:w="108" w:type="dxa"/>
                  <w:bottom w:w="0" w:type="dxa"/>
                  <w:right w:w="108" w:type="dxa"/>
                </w:tblCellMar>
              </w:tblPrEx>
              <w:trPr>
                <w:trHeight w:val="308" w:hRule="atLeast"/>
              </w:trPr>
              <w:tc>
                <w:tcPr>
                  <w:tcW w:w="1059" w:type="pct"/>
                  <w:gridSpan w:val="2"/>
                  <w:tcBorders>
                    <w:top w:val="nil"/>
                    <w:left w:val="single" w:color="000000" w:sz="4" w:space="0"/>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人员经费合计</w:t>
                  </w:r>
                </w:p>
              </w:tc>
              <w:tc>
                <w:tcPr>
                  <w:tcW w:w="488" w:type="pct"/>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ind w:right="110"/>
                    <w:jc w:val="right"/>
                    <w:rPr>
                      <w:rFonts w:ascii="宋体" w:hAnsi="宋体" w:eastAsia="宋体" w:cs="Arial"/>
                      <w:color w:val="000000"/>
                      <w:lang w:eastAsia="zh-CN" w:bidi="ar-SA"/>
                    </w:rPr>
                  </w:pPr>
                  <w:r>
                    <w:rPr>
                      <w:rFonts w:hint="eastAsia" w:ascii="宋体" w:hAnsi="宋体" w:eastAsia="宋体" w:cs="Arial"/>
                      <w:color w:val="000000"/>
                      <w:lang w:eastAsia="zh-CN" w:bidi="ar-SA"/>
                    </w:rPr>
                    <w:t>2439.1</w:t>
                  </w:r>
                  <w:r>
                    <w:rPr>
                      <w:rFonts w:hint="eastAsia" w:ascii="宋体" w:hAnsi="宋体" w:eastAsia="宋体" w:cs="Arial"/>
                      <w:color w:val="000000"/>
                      <w:lang w:val="en-US" w:eastAsia="zh-CN" w:bidi="ar-SA"/>
                    </w:rPr>
                    <w:t>2</w:t>
                  </w:r>
                </w:p>
              </w:tc>
              <w:tc>
                <w:tcPr>
                  <w:tcW w:w="2891" w:type="pct"/>
                  <w:gridSpan w:val="5"/>
                  <w:tcBorders>
                    <w:top w:val="nil"/>
                    <w:left w:val="nil"/>
                    <w:bottom w:val="single" w:color="000000" w:sz="4" w:space="0"/>
                    <w:right w:val="single" w:color="000000" w:sz="4" w:space="0"/>
                  </w:tcBorders>
                  <w:shd w:val="clear" w:color="FFFFFF" w:fill="FFFFFF" w:themeFill="background1"/>
                  <w:noWrap/>
                  <w:vAlign w:val="center"/>
                </w:tcPr>
                <w:p>
                  <w:pPr>
                    <w:spacing w:after="0" w:line="240" w:lineRule="auto"/>
                    <w:jc w:val="center"/>
                    <w:rPr>
                      <w:rFonts w:ascii="宋体" w:hAnsi="宋体" w:eastAsia="宋体" w:cs="Arial"/>
                      <w:color w:val="000000"/>
                      <w:lang w:eastAsia="zh-CN" w:bidi="ar-SA"/>
                    </w:rPr>
                  </w:pPr>
                  <w:r>
                    <w:rPr>
                      <w:rFonts w:hint="eastAsia" w:ascii="宋体" w:hAnsi="宋体" w:eastAsia="宋体" w:cs="Arial"/>
                      <w:color w:val="000000"/>
                      <w:lang w:eastAsia="zh-CN" w:bidi="ar-SA"/>
                    </w:rPr>
                    <w:t>公用经费合计</w:t>
                  </w:r>
                </w:p>
              </w:tc>
              <w:tc>
                <w:tcPr>
                  <w:tcW w:w="562" w:type="pct"/>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4581.91</w:t>
                  </w:r>
                </w:p>
              </w:tc>
            </w:tr>
            <w:tr>
              <w:tblPrEx>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注：本表反映部门本年度一般公共预算财政拨款基本支出明细情况。</w:t>
                  </w:r>
                </w:p>
              </w:tc>
            </w:tr>
          </w:tbl>
          <w:p>
            <w:pPr>
              <w:spacing w:after="0" w:line="240" w:lineRule="auto"/>
              <w:rPr>
                <w:rFonts w:ascii="宋体" w:hAnsi="宋体" w:eastAsia="宋体" w:cs="Arial"/>
                <w:color w:val="000000"/>
                <w:sz w:val="20"/>
                <w:szCs w:val="20"/>
                <w:lang w:eastAsia="zh-CN" w:bidi="ar-SA"/>
              </w:rPr>
            </w:pPr>
          </w:p>
        </w:tc>
      </w:tr>
    </w:tbl>
    <w:p>
      <w:pPr>
        <w:rPr>
          <w:rFonts w:ascii="黑体" w:hAnsi="黑体" w:eastAsia="黑体" w:cstheme="minorEastAsia"/>
          <w:color w:val="000000" w:themeColor="text1"/>
          <w:sz w:val="28"/>
          <w:szCs w:val="28"/>
          <w:lang w:eastAsia="zh-CN"/>
          <w14:textFill>
            <w14:solidFill>
              <w14:schemeClr w14:val="tx1"/>
            </w14:solidFill>
          </w14:textFill>
        </w:rPr>
      </w:pPr>
    </w:p>
    <w:tbl>
      <w:tblPr>
        <w:tblStyle w:val="18"/>
        <w:tblW w:w="5000" w:type="pct"/>
        <w:tblInd w:w="0" w:type="dxa"/>
        <w:tblLayout w:type="fixed"/>
        <w:tblCellMar>
          <w:top w:w="0" w:type="dxa"/>
          <w:left w:w="108" w:type="dxa"/>
          <w:bottom w:w="0" w:type="dxa"/>
          <w:right w:w="108" w:type="dxa"/>
        </w:tblCellMar>
      </w:tblPr>
      <w:tblGrid>
        <w:gridCol w:w="1892"/>
        <w:gridCol w:w="1140"/>
        <w:gridCol w:w="1094"/>
        <w:gridCol w:w="944"/>
        <w:gridCol w:w="782"/>
        <w:gridCol w:w="1199"/>
        <w:gridCol w:w="2024"/>
        <w:gridCol w:w="1185"/>
        <w:gridCol w:w="930"/>
        <w:gridCol w:w="884"/>
        <w:gridCol w:w="839"/>
        <w:gridCol w:w="1261"/>
      </w:tblGrid>
      <w:tr>
        <w:tblPrEx>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noWrap/>
            <w:vAlign w:val="bottom"/>
          </w:tcPr>
          <w:p>
            <w:pPr>
              <w:jc w:val="center"/>
              <w:rPr>
                <w:rFonts w:ascii="Arial" w:hAnsi="Arial" w:cs="Arial"/>
                <w:color w:val="000000"/>
                <w:sz w:val="20"/>
                <w:szCs w:val="20"/>
                <w:lang w:eastAsia="zh-CN"/>
              </w:rPr>
            </w:pPr>
            <w:r>
              <w:rPr>
                <w:rFonts w:hint="eastAsia" w:ascii="宋体" w:hAnsi="宋体" w:eastAsia="宋体" w:cs="宋体"/>
                <w:color w:val="000000"/>
                <w:sz w:val="44"/>
                <w:szCs w:val="44"/>
                <w:lang w:eastAsia="zh-CN"/>
              </w:rPr>
              <w:t>一般公共预算财政拨款“三公”经费支出决算表</w:t>
            </w:r>
          </w:p>
        </w:tc>
      </w:tr>
      <w:tr>
        <w:tblPrEx>
          <w:tblCellMar>
            <w:top w:w="0" w:type="dxa"/>
            <w:left w:w="108" w:type="dxa"/>
            <w:bottom w:w="0" w:type="dxa"/>
            <w:right w:w="108" w:type="dxa"/>
          </w:tblCellMar>
        </w:tblPrEx>
        <w:trPr>
          <w:trHeight w:val="255" w:hRule="atLeast"/>
        </w:trPr>
        <w:tc>
          <w:tcPr>
            <w:tcW w:w="667"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402"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386"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333"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275"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422"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714"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418"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328"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312"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296"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443" w:type="pct"/>
            <w:tcBorders>
              <w:top w:val="nil"/>
              <w:left w:val="nil"/>
              <w:bottom w:val="nil"/>
              <w:right w:val="nil"/>
            </w:tcBorders>
            <w:shd w:val="clear" w:color="auto" w:fill="auto"/>
            <w:noWrap/>
            <w:vAlign w:val="bottom"/>
          </w:tcPr>
          <w:p>
            <w:pPr>
              <w:jc w:val="right"/>
              <w:textAlignment w:val="bottom"/>
              <w:rPr>
                <w:rFonts w:ascii="宋体" w:hAnsi="宋体" w:eastAsia="宋体" w:cs="宋体"/>
                <w:color w:val="000000"/>
                <w:sz w:val="20"/>
                <w:szCs w:val="20"/>
              </w:rPr>
            </w:pPr>
            <w:r>
              <w:rPr>
                <w:rFonts w:hint="eastAsia" w:ascii="宋体" w:hAnsi="宋体" w:eastAsia="宋体" w:cs="宋体"/>
                <w:color w:val="000000"/>
                <w:sz w:val="20"/>
                <w:szCs w:val="20"/>
                <w:lang w:eastAsia="zh-CN"/>
              </w:rPr>
              <w:t>公开07表</w:t>
            </w:r>
          </w:p>
        </w:tc>
      </w:tr>
      <w:tr>
        <w:tblPrEx>
          <w:tblCellMar>
            <w:top w:w="0" w:type="dxa"/>
            <w:left w:w="108" w:type="dxa"/>
            <w:bottom w:w="0" w:type="dxa"/>
            <w:right w:w="108" w:type="dxa"/>
          </w:tblCellMar>
        </w:tblPrEx>
        <w:trPr>
          <w:trHeight w:val="255" w:hRule="atLeast"/>
        </w:trPr>
        <w:tc>
          <w:tcPr>
            <w:tcW w:w="1788" w:type="pct"/>
            <w:gridSpan w:val="4"/>
            <w:tcBorders>
              <w:top w:val="nil"/>
              <w:left w:val="nil"/>
              <w:bottom w:val="nil"/>
              <w:right w:val="nil"/>
            </w:tcBorders>
            <w:shd w:val="clear" w:color="auto" w:fill="auto"/>
            <w:noWrap/>
            <w:vAlign w:val="bottom"/>
          </w:tcPr>
          <w:p>
            <w:pPr>
              <w:rPr>
                <w:rFonts w:ascii="Arial" w:hAnsi="Arial" w:cs="Arial"/>
                <w:color w:val="000000"/>
                <w:sz w:val="20"/>
                <w:szCs w:val="20"/>
                <w:lang w:eastAsia="zh-CN"/>
              </w:rPr>
            </w:pPr>
            <w:r>
              <w:rPr>
                <w:rFonts w:hint="eastAsia" w:ascii="宋体" w:hAnsi="宋体" w:eastAsia="宋体" w:cs="宋体"/>
                <w:color w:val="000000"/>
                <w:sz w:val="20"/>
                <w:szCs w:val="20"/>
                <w:lang w:eastAsia="zh-CN"/>
              </w:rPr>
              <w:t>部门：湘潭县云湖桥镇人民政府</w:t>
            </w:r>
          </w:p>
        </w:tc>
        <w:tc>
          <w:tcPr>
            <w:tcW w:w="275"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422"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714"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418"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328"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312"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740" w:type="pct"/>
            <w:gridSpan w:val="2"/>
            <w:tcBorders>
              <w:top w:val="nil"/>
              <w:left w:val="nil"/>
              <w:bottom w:val="nil"/>
              <w:right w:val="nil"/>
            </w:tcBorders>
            <w:shd w:val="clear" w:color="auto" w:fill="auto"/>
            <w:noWrap/>
            <w:vAlign w:val="bottom"/>
          </w:tcPr>
          <w:p>
            <w:pPr>
              <w:jc w:val="right"/>
              <w:textAlignment w:val="bottom"/>
              <w:rPr>
                <w:rFonts w:ascii="宋体" w:hAnsi="宋体" w:eastAsia="宋体" w:cs="宋体"/>
                <w:color w:val="000000"/>
                <w:sz w:val="20"/>
                <w:szCs w:val="20"/>
              </w:rPr>
            </w:pPr>
            <w:r>
              <w:rPr>
                <w:rFonts w:hint="eastAsia" w:ascii="宋体" w:hAnsi="宋体" w:eastAsia="宋体" w:cs="宋体"/>
                <w:color w:val="000000"/>
                <w:sz w:val="20"/>
                <w:szCs w:val="20"/>
                <w:lang w:eastAsia="zh-CN"/>
              </w:rPr>
              <w:t>金额单位：万元</w:t>
            </w:r>
          </w:p>
        </w:tc>
      </w:tr>
      <w:tr>
        <w:tblPrEx>
          <w:tblCellMar>
            <w:top w:w="0" w:type="dxa"/>
            <w:left w:w="108" w:type="dxa"/>
            <w:bottom w:w="0" w:type="dxa"/>
            <w:right w:w="108" w:type="dxa"/>
          </w:tblCellMar>
        </w:tblPrEx>
        <w:trPr>
          <w:trHeight w:val="308" w:hRule="atLeast"/>
        </w:trPr>
        <w:tc>
          <w:tcPr>
            <w:tcW w:w="2487" w:type="pct"/>
            <w:gridSpan w:val="6"/>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预算数</w:t>
            </w:r>
          </w:p>
        </w:tc>
        <w:tc>
          <w:tcPr>
            <w:tcW w:w="2512" w:type="pct"/>
            <w:gridSpan w:val="6"/>
            <w:tcBorders>
              <w:top w:val="single" w:color="000000" w:sz="4" w:space="0"/>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决算数</w:t>
            </w:r>
          </w:p>
        </w:tc>
      </w:tr>
      <w:tr>
        <w:tblPrEx>
          <w:tblCellMar>
            <w:top w:w="0" w:type="dxa"/>
            <w:left w:w="108" w:type="dxa"/>
            <w:bottom w:w="0" w:type="dxa"/>
            <w:right w:w="108" w:type="dxa"/>
          </w:tblCellMar>
        </w:tblPrEx>
        <w:trPr>
          <w:trHeight w:val="308" w:hRule="atLeast"/>
        </w:trPr>
        <w:tc>
          <w:tcPr>
            <w:tcW w:w="667" w:type="pct"/>
            <w:vMerge w:val="restart"/>
            <w:tcBorders>
              <w:top w:val="nil"/>
              <w:left w:val="single" w:color="000000" w:sz="4" w:space="0"/>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合计</w:t>
            </w:r>
          </w:p>
        </w:tc>
        <w:tc>
          <w:tcPr>
            <w:tcW w:w="402" w:type="pct"/>
            <w:vMerge w:val="restar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因公出国（境）费</w:t>
            </w:r>
          </w:p>
        </w:tc>
        <w:tc>
          <w:tcPr>
            <w:tcW w:w="995" w:type="pct"/>
            <w:gridSpan w:val="3"/>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lang w:eastAsia="zh-CN"/>
              </w:rPr>
            </w:pPr>
            <w:r>
              <w:rPr>
                <w:rFonts w:hint="eastAsia" w:ascii="宋体" w:hAnsi="宋体" w:eastAsia="宋体" w:cs="宋体"/>
                <w:color w:val="000000"/>
                <w:lang w:eastAsia="zh-CN"/>
              </w:rPr>
              <w:t>公务用车购置及运行费</w:t>
            </w:r>
          </w:p>
        </w:tc>
        <w:tc>
          <w:tcPr>
            <w:tcW w:w="422" w:type="pct"/>
            <w:vMerge w:val="restar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公务接待费</w:t>
            </w:r>
          </w:p>
        </w:tc>
        <w:tc>
          <w:tcPr>
            <w:tcW w:w="714" w:type="pct"/>
            <w:vMerge w:val="restar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合计</w:t>
            </w:r>
          </w:p>
        </w:tc>
        <w:tc>
          <w:tcPr>
            <w:tcW w:w="418" w:type="pct"/>
            <w:vMerge w:val="restar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因公出国（境）费</w:t>
            </w:r>
          </w:p>
        </w:tc>
        <w:tc>
          <w:tcPr>
            <w:tcW w:w="936" w:type="pct"/>
            <w:gridSpan w:val="3"/>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lang w:eastAsia="zh-CN"/>
              </w:rPr>
            </w:pPr>
            <w:r>
              <w:rPr>
                <w:rFonts w:hint="eastAsia" w:ascii="宋体" w:hAnsi="宋体" w:eastAsia="宋体" w:cs="宋体"/>
                <w:color w:val="000000"/>
                <w:lang w:eastAsia="zh-CN"/>
              </w:rPr>
              <w:t>公务用车购置及运行费</w:t>
            </w:r>
          </w:p>
        </w:tc>
        <w:tc>
          <w:tcPr>
            <w:tcW w:w="443" w:type="pct"/>
            <w:vMerge w:val="restar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公务接待费</w:t>
            </w:r>
          </w:p>
        </w:tc>
      </w:tr>
      <w:tr>
        <w:tblPrEx>
          <w:tblCellMar>
            <w:top w:w="0" w:type="dxa"/>
            <w:left w:w="108" w:type="dxa"/>
            <w:bottom w:w="0" w:type="dxa"/>
            <w:right w:w="108" w:type="dxa"/>
          </w:tblCellMar>
        </w:tblPrEx>
        <w:trPr>
          <w:trHeight w:val="615" w:hRule="atLeast"/>
        </w:trPr>
        <w:tc>
          <w:tcPr>
            <w:tcW w:w="667" w:type="pct"/>
            <w:vMerge w:val="continue"/>
            <w:tcBorders>
              <w:top w:val="nil"/>
              <w:left w:val="single" w:color="000000" w:sz="4" w:space="0"/>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402" w:type="pct"/>
            <w:vMerge w:val="continue"/>
            <w:tcBorders>
              <w:top w:val="nil"/>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386"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小计</w:t>
            </w:r>
          </w:p>
        </w:tc>
        <w:tc>
          <w:tcPr>
            <w:tcW w:w="333"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公务用车购置费</w:t>
            </w:r>
          </w:p>
        </w:tc>
        <w:tc>
          <w:tcPr>
            <w:tcW w:w="275"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公务用车运行费</w:t>
            </w:r>
          </w:p>
        </w:tc>
        <w:tc>
          <w:tcPr>
            <w:tcW w:w="422" w:type="pct"/>
            <w:vMerge w:val="continue"/>
            <w:tcBorders>
              <w:top w:val="nil"/>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714" w:type="pct"/>
            <w:vMerge w:val="continue"/>
            <w:tcBorders>
              <w:top w:val="nil"/>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418" w:type="pct"/>
            <w:vMerge w:val="continue"/>
            <w:tcBorders>
              <w:top w:val="nil"/>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328"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小计</w:t>
            </w:r>
          </w:p>
        </w:tc>
        <w:tc>
          <w:tcPr>
            <w:tcW w:w="312"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公务用车购置费</w:t>
            </w:r>
          </w:p>
        </w:tc>
        <w:tc>
          <w:tcPr>
            <w:tcW w:w="296"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公务用车运行费</w:t>
            </w:r>
          </w:p>
        </w:tc>
        <w:tc>
          <w:tcPr>
            <w:tcW w:w="443" w:type="pct"/>
            <w:vMerge w:val="continue"/>
            <w:tcBorders>
              <w:top w:val="nil"/>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667" w:type="pct"/>
            <w:tcBorders>
              <w:top w:val="nil"/>
              <w:left w:val="single" w:color="000000" w:sz="4" w:space="0"/>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1</w:t>
            </w:r>
          </w:p>
        </w:tc>
        <w:tc>
          <w:tcPr>
            <w:tcW w:w="402"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2</w:t>
            </w:r>
          </w:p>
        </w:tc>
        <w:tc>
          <w:tcPr>
            <w:tcW w:w="386"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3</w:t>
            </w:r>
          </w:p>
        </w:tc>
        <w:tc>
          <w:tcPr>
            <w:tcW w:w="333"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4</w:t>
            </w:r>
          </w:p>
        </w:tc>
        <w:tc>
          <w:tcPr>
            <w:tcW w:w="275"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5</w:t>
            </w:r>
          </w:p>
        </w:tc>
        <w:tc>
          <w:tcPr>
            <w:tcW w:w="422"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6</w:t>
            </w:r>
          </w:p>
        </w:tc>
        <w:tc>
          <w:tcPr>
            <w:tcW w:w="714"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7</w:t>
            </w:r>
          </w:p>
        </w:tc>
        <w:tc>
          <w:tcPr>
            <w:tcW w:w="418"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8</w:t>
            </w:r>
          </w:p>
        </w:tc>
        <w:tc>
          <w:tcPr>
            <w:tcW w:w="328"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9</w:t>
            </w:r>
          </w:p>
        </w:tc>
        <w:tc>
          <w:tcPr>
            <w:tcW w:w="312"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10</w:t>
            </w:r>
          </w:p>
        </w:tc>
        <w:tc>
          <w:tcPr>
            <w:tcW w:w="296"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11</w:t>
            </w:r>
          </w:p>
        </w:tc>
        <w:tc>
          <w:tcPr>
            <w:tcW w:w="443" w:type="pc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12</w:t>
            </w:r>
          </w:p>
        </w:tc>
      </w:tr>
      <w:tr>
        <w:tblPrEx>
          <w:tblCellMar>
            <w:top w:w="0" w:type="dxa"/>
            <w:left w:w="108" w:type="dxa"/>
            <w:bottom w:w="0" w:type="dxa"/>
            <w:right w:w="108" w:type="dxa"/>
          </w:tblCellMar>
        </w:tblPrEx>
        <w:trPr>
          <w:trHeight w:val="308" w:hRule="atLeast"/>
        </w:trPr>
        <w:tc>
          <w:tcPr>
            <w:tcW w:w="667" w:type="pct"/>
            <w:tcBorders>
              <w:top w:val="nil"/>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2.56</w:t>
            </w:r>
          </w:p>
        </w:tc>
        <w:tc>
          <w:tcPr>
            <w:tcW w:w="402" w:type="pct"/>
            <w:tcBorders>
              <w:top w:val="nil"/>
              <w:left w:val="nil"/>
              <w:bottom w:val="single" w:color="000000" w:sz="4" w:space="0"/>
              <w:right w:val="single" w:color="000000" w:sz="4" w:space="0"/>
            </w:tcBorders>
            <w:shd w:val="clear" w:color="auto" w:fill="auto"/>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386" w:type="pct"/>
            <w:tcBorders>
              <w:top w:val="nil"/>
              <w:left w:val="nil"/>
              <w:bottom w:val="single" w:color="000000" w:sz="4" w:space="0"/>
              <w:right w:val="single" w:color="000000" w:sz="4" w:space="0"/>
            </w:tcBorders>
            <w:shd w:val="clear" w:color="auto" w:fill="auto"/>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333" w:type="pct"/>
            <w:tcBorders>
              <w:top w:val="nil"/>
              <w:left w:val="nil"/>
              <w:bottom w:val="single" w:color="000000" w:sz="4" w:space="0"/>
              <w:right w:val="single" w:color="000000" w:sz="4" w:space="0"/>
            </w:tcBorders>
            <w:shd w:val="clear" w:color="auto" w:fill="auto"/>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275" w:type="pct"/>
            <w:tcBorders>
              <w:top w:val="nil"/>
              <w:left w:val="nil"/>
              <w:bottom w:val="single" w:color="000000" w:sz="4" w:space="0"/>
              <w:right w:val="single" w:color="000000" w:sz="4" w:space="0"/>
            </w:tcBorders>
            <w:shd w:val="clear" w:color="auto" w:fill="auto"/>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422" w:type="pct"/>
            <w:tcBorders>
              <w:top w:val="nil"/>
              <w:left w:val="nil"/>
              <w:bottom w:val="single" w:color="000000" w:sz="4" w:space="0"/>
              <w:right w:val="single" w:color="000000" w:sz="4" w:space="0"/>
            </w:tcBorders>
            <w:shd w:val="clear" w:color="auto" w:fill="auto"/>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2.56</w:t>
            </w:r>
          </w:p>
        </w:tc>
        <w:tc>
          <w:tcPr>
            <w:tcW w:w="714" w:type="pct"/>
            <w:tcBorders>
              <w:top w:val="nil"/>
              <w:left w:val="nil"/>
              <w:bottom w:val="single" w:color="000000" w:sz="4" w:space="0"/>
              <w:right w:val="single" w:color="000000" w:sz="4" w:space="0"/>
            </w:tcBorders>
            <w:shd w:val="clear" w:color="auto" w:fill="auto"/>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2.56</w:t>
            </w:r>
          </w:p>
        </w:tc>
        <w:tc>
          <w:tcPr>
            <w:tcW w:w="418" w:type="pct"/>
            <w:tcBorders>
              <w:top w:val="nil"/>
              <w:left w:val="nil"/>
              <w:bottom w:val="single" w:color="000000" w:sz="4" w:space="0"/>
              <w:right w:val="single" w:color="000000" w:sz="4" w:space="0"/>
            </w:tcBorders>
            <w:shd w:val="clear" w:color="auto" w:fill="auto"/>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328" w:type="pct"/>
            <w:tcBorders>
              <w:top w:val="nil"/>
              <w:left w:val="nil"/>
              <w:bottom w:val="single" w:color="000000" w:sz="4" w:space="0"/>
              <w:right w:val="single" w:color="000000" w:sz="4" w:space="0"/>
            </w:tcBorders>
            <w:shd w:val="clear" w:color="auto" w:fill="auto"/>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312" w:type="pct"/>
            <w:tcBorders>
              <w:top w:val="nil"/>
              <w:left w:val="nil"/>
              <w:bottom w:val="single" w:color="000000" w:sz="4" w:space="0"/>
              <w:right w:val="single" w:color="000000" w:sz="4" w:space="0"/>
            </w:tcBorders>
            <w:shd w:val="clear" w:color="auto" w:fill="auto"/>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296" w:type="pct"/>
            <w:tcBorders>
              <w:top w:val="nil"/>
              <w:left w:val="nil"/>
              <w:bottom w:val="single" w:color="000000" w:sz="4" w:space="0"/>
              <w:right w:val="single" w:color="000000" w:sz="4" w:space="0"/>
            </w:tcBorders>
            <w:shd w:val="clear" w:color="auto" w:fill="auto"/>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443" w:type="pct"/>
            <w:tcBorders>
              <w:top w:val="nil"/>
              <w:left w:val="nil"/>
              <w:bottom w:val="single" w:color="000000" w:sz="4" w:space="0"/>
              <w:right w:val="single" w:color="000000" w:sz="4" w:space="0"/>
            </w:tcBorders>
            <w:shd w:val="clear" w:color="auto" w:fill="auto"/>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2.56</w:t>
            </w:r>
          </w:p>
        </w:tc>
      </w:tr>
      <w:tr>
        <w:tblPrEx>
          <w:tblCellMar>
            <w:top w:w="0" w:type="dxa"/>
            <w:left w:w="108" w:type="dxa"/>
            <w:bottom w:w="0" w:type="dxa"/>
            <w:right w:w="108" w:type="dxa"/>
          </w:tblCellMar>
        </w:tblPrEx>
        <w:trPr>
          <w:trHeight w:val="615" w:hRule="atLeast"/>
        </w:trPr>
        <w:tc>
          <w:tcPr>
            <w:tcW w:w="5000" w:type="pct"/>
            <w:gridSpan w:val="12"/>
            <w:tcBorders>
              <w:top w:val="nil"/>
              <w:left w:val="nil"/>
              <w:bottom w:val="nil"/>
              <w:right w:val="nil"/>
            </w:tcBorders>
            <w:shd w:val="clear" w:color="auto" w:fill="auto"/>
            <w:vAlign w:val="center"/>
          </w:tcPr>
          <w:p>
            <w:pPr>
              <w:textAlignment w:val="center"/>
              <w:rPr>
                <w:rFonts w:ascii="宋体" w:hAnsi="宋体" w:eastAsia="宋体" w:cs="宋体"/>
                <w:color w:val="000000"/>
                <w:lang w:eastAsia="zh-CN"/>
              </w:rPr>
            </w:pPr>
            <w:r>
              <w:rPr>
                <w:rFonts w:hint="eastAsia" w:ascii="宋体" w:hAnsi="宋体" w:eastAsia="宋体" w:cs="宋体"/>
                <w:color w:val="000000"/>
                <w:lang w:eastAsia="zh-CN"/>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rPr>
          <w:rFonts w:ascii="黑体" w:hAnsi="黑体" w:eastAsia="黑体" w:cstheme="minorEastAsia"/>
          <w:color w:val="000000" w:themeColor="text1"/>
          <w:sz w:val="28"/>
          <w:szCs w:val="28"/>
          <w:lang w:eastAsia="zh-CN"/>
          <w14:textFill>
            <w14:solidFill>
              <w14:schemeClr w14:val="tx1"/>
            </w14:solidFill>
          </w14:textFill>
        </w:rPr>
      </w:pPr>
    </w:p>
    <w:p>
      <w:pPr>
        <w:rPr>
          <w:rFonts w:ascii="黑体" w:hAnsi="黑体" w:eastAsia="黑体" w:cstheme="minorEastAsia"/>
          <w:color w:val="000000" w:themeColor="text1"/>
          <w:sz w:val="28"/>
          <w:szCs w:val="28"/>
          <w:lang w:eastAsia="zh-CN"/>
          <w14:textFill>
            <w14:solidFill>
              <w14:schemeClr w14:val="tx1"/>
            </w14:solidFill>
          </w14:textFill>
        </w:rPr>
      </w:pPr>
    </w:p>
    <w:tbl>
      <w:tblPr>
        <w:tblStyle w:val="18"/>
        <w:tblW w:w="5000" w:type="pct"/>
        <w:tblInd w:w="0" w:type="dxa"/>
        <w:tblLayout w:type="autofit"/>
        <w:tblCellMar>
          <w:top w:w="0" w:type="dxa"/>
          <w:left w:w="108" w:type="dxa"/>
          <w:bottom w:w="0" w:type="dxa"/>
          <w:right w:w="108" w:type="dxa"/>
        </w:tblCellMar>
      </w:tblPr>
      <w:tblGrid>
        <w:gridCol w:w="723"/>
        <w:gridCol w:w="222"/>
        <w:gridCol w:w="222"/>
        <w:gridCol w:w="3736"/>
        <w:gridCol w:w="1421"/>
        <w:gridCol w:w="1444"/>
        <w:gridCol w:w="1631"/>
        <w:gridCol w:w="1580"/>
        <w:gridCol w:w="236"/>
        <w:gridCol w:w="1566"/>
        <w:gridCol w:w="1393"/>
      </w:tblGrid>
      <w:tr>
        <w:tblPrEx>
          <w:tblCellMar>
            <w:top w:w="0" w:type="dxa"/>
            <w:left w:w="108" w:type="dxa"/>
            <w:bottom w:w="0" w:type="dxa"/>
            <w:right w:w="108" w:type="dxa"/>
          </w:tblCellMar>
        </w:tblPrEx>
        <w:trPr>
          <w:trHeight w:val="644" w:hRule="atLeast"/>
        </w:trPr>
        <w:tc>
          <w:tcPr>
            <w:tcW w:w="5000" w:type="pct"/>
            <w:gridSpan w:val="11"/>
            <w:tcBorders>
              <w:top w:val="nil"/>
              <w:left w:val="nil"/>
              <w:bottom w:val="nil"/>
              <w:right w:val="nil"/>
            </w:tcBorders>
            <w:shd w:val="clear" w:color="auto" w:fill="auto"/>
            <w:noWrap/>
            <w:vAlign w:val="bottom"/>
          </w:tcPr>
          <w:p>
            <w:pPr>
              <w:jc w:val="center"/>
              <w:rPr>
                <w:rFonts w:ascii="Arial" w:hAnsi="Arial" w:cs="Arial"/>
                <w:color w:val="000000"/>
                <w:sz w:val="20"/>
                <w:szCs w:val="20"/>
                <w:lang w:eastAsia="zh-CN"/>
              </w:rPr>
            </w:pPr>
            <w:r>
              <w:rPr>
                <w:rFonts w:hint="eastAsia" w:ascii="宋体" w:hAnsi="宋体" w:eastAsia="宋体" w:cs="宋体"/>
                <w:color w:val="000000"/>
                <w:sz w:val="30"/>
                <w:szCs w:val="30"/>
                <w:lang w:eastAsia="zh-CN"/>
              </w:rPr>
              <w:t>政府性基金预算财政拨款收入支出决算表</w:t>
            </w:r>
          </w:p>
        </w:tc>
      </w:tr>
      <w:tr>
        <w:tblPrEx>
          <w:tblCellMar>
            <w:top w:w="0" w:type="dxa"/>
            <w:left w:w="108" w:type="dxa"/>
            <w:bottom w:w="0" w:type="dxa"/>
            <w:right w:w="108" w:type="dxa"/>
          </w:tblCellMar>
        </w:tblPrEx>
        <w:trPr>
          <w:trHeight w:val="348" w:hRule="atLeast"/>
        </w:trPr>
        <w:tc>
          <w:tcPr>
            <w:tcW w:w="263"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79"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81"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1241"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521"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517"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583"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651" w:type="pct"/>
            <w:gridSpan w:val="2"/>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1064" w:type="pct"/>
            <w:gridSpan w:val="2"/>
            <w:tcBorders>
              <w:top w:val="nil"/>
              <w:left w:val="nil"/>
              <w:bottom w:val="nil"/>
              <w:right w:val="nil"/>
            </w:tcBorders>
            <w:shd w:val="clear" w:color="auto" w:fill="auto"/>
            <w:noWrap/>
            <w:vAlign w:val="bottom"/>
          </w:tcPr>
          <w:p>
            <w:pPr>
              <w:jc w:val="right"/>
              <w:textAlignment w:val="bottom"/>
              <w:rPr>
                <w:rFonts w:ascii="宋体" w:hAnsi="宋体" w:eastAsia="宋体" w:cs="宋体"/>
                <w:color w:val="000000"/>
                <w:sz w:val="20"/>
                <w:szCs w:val="20"/>
              </w:rPr>
            </w:pPr>
            <w:r>
              <w:rPr>
                <w:rFonts w:hint="eastAsia" w:ascii="宋体" w:hAnsi="宋体" w:eastAsia="宋体" w:cs="宋体"/>
                <w:color w:val="000000"/>
                <w:sz w:val="20"/>
                <w:szCs w:val="20"/>
                <w:lang w:eastAsia="zh-CN"/>
              </w:rPr>
              <w:t>公开08表</w:t>
            </w:r>
          </w:p>
        </w:tc>
      </w:tr>
      <w:tr>
        <w:tblPrEx>
          <w:tblCellMar>
            <w:top w:w="0" w:type="dxa"/>
            <w:left w:w="108" w:type="dxa"/>
            <w:bottom w:w="0" w:type="dxa"/>
            <w:right w:w="108" w:type="dxa"/>
          </w:tblCellMar>
        </w:tblPrEx>
        <w:trPr>
          <w:trHeight w:val="255" w:hRule="atLeast"/>
        </w:trPr>
        <w:tc>
          <w:tcPr>
            <w:tcW w:w="1663" w:type="pct"/>
            <w:gridSpan w:val="4"/>
            <w:tcBorders>
              <w:top w:val="nil"/>
              <w:left w:val="nil"/>
              <w:bottom w:val="nil"/>
              <w:right w:val="nil"/>
            </w:tcBorders>
            <w:shd w:val="clear" w:color="auto" w:fill="auto"/>
            <w:noWrap/>
            <w:vAlign w:val="bottom"/>
          </w:tcPr>
          <w:p>
            <w:pPr>
              <w:rPr>
                <w:rFonts w:ascii="Arial" w:hAnsi="Arial" w:cs="Arial"/>
                <w:color w:val="000000"/>
                <w:sz w:val="20"/>
                <w:szCs w:val="20"/>
                <w:lang w:eastAsia="zh-CN"/>
              </w:rPr>
            </w:pPr>
            <w:r>
              <w:rPr>
                <w:rFonts w:hint="eastAsia" w:ascii="宋体" w:hAnsi="宋体" w:eastAsia="宋体" w:cs="宋体"/>
                <w:color w:val="000000"/>
                <w:sz w:val="20"/>
                <w:szCs w:val="20"/>
                <w:lang w:eastAsia="zh-CN"/>
              </w:rPr>
              <w:t>部门：湘潭县云湖桥镇人民政府</w:t>
            </w:r>
          </w:p>
        </w:tc>
        <w:tc>
          <w:tcPr>
            <w:tcW w:w="521"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517"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1148" w:type="pct"/>
            <w:gridSpan w:val="2"/>
            <w:tcBorders>
              <w:top w:val="nil"/>
              <w:left w:val="nil"/>
              <w:bottom w:val="nil"/>
              <w:right w:val="nil"/>
            </w:tcBorders>
            <w:shd w:val="clear" w:color="auto" w:fill="auto"/>
            <w:noWrap/>
            <w:vAlign w:val="bottom"/>
          </w:tcPr>
          <w:p>
            <w:pPr>
              <w:jc w:val="both"/>
              <w:textAlignment w:val="bottom"/>
              <w:rPr>
                <w:rFonts w:ascii="宋体" w:hAnsi="宋体" w:eastAsia="宋体" w:cs="宋体"/>
                <w:color w:val="000000"/>
                <w:sz w:val="20"/>
                <w:szCs w:val="20"/>
                <w:lang w:eastAsia="zh-CN"/>
              </w:rPr>
            </w:pPr>
          </w:p>
        </w:tc>
        <w:tc>
          <w:tcPr>
            <w:tcW w:w="1150" w:type="pct"/>
            <w:gridSpan w:val="3"/>
            <w:tcBorders>
              <w:top w:val="nil"/>
              <w:left w:val="nil"/>
              <w:bottom w:val="nil"/>
              <w:right w:val="nil"/>
            </w:tcBorders>
            <w:shd w:val="clear" w:color="auto" w:fill="auto"/>
            <w:noWrap/>
            <w:vAlign w:val="bottom"/>
          </w:tcPr>
          <w:p>
            <w:pPr>
              <w:ind w:firstLine="1400" w:firstLineChars="700"/>
              <w:jc w:val="both"/>
              <w:textAlignment w:val="bottom"/>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金额单位：万元</w:t>
            </w:r>
          </w:p>
        </w:tc>
      </w:tr>
      <w:tr>
        <w:tblPrEx>
          <w:tblCellMar>
            <w:top w:w="0" w:type="dxa"/>
            <w:left w:w="108" w:type="dxa"/>
            <w:bottom w:w="0" w:type="dxa"/>
            <w:right w:w="108" w:type="dxa"/>
          </w:tblCellMar>
        </w:tblPrEx>
        <w:trPr>
          <w:trHeight w:val="308" w:hRule="atLeast"/>
        </w:trPr>
        <w:tc>
          <w:tcPr>
            <w:tcW w:w="1663" w:type="pct"/>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项目</w:t>
            </w:r>
          </w:p>
        </w:tc>
        <w:tc>
          <w:tcPr>
            <w:tcW w:w="521" w:type="pct"/>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年初结转和结余</w:t>
            </w:r>
          </w:p>
        </w:tc>
        <w:tc>
          <w:tcPr>
            <w:tcW w:w="517" w:type="pct"/>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本年收入</w:t>
            </w:r>
          </w:p>
        </w:tc>
        <w:tc>
          <w:tcPr>
            <w:tcW w:w="1799" w:type="pct"/>
            <w:gridSpan w:val="4"/>
            <w:tcBorders>
              <w:top w:val="single" w:color="000000" w:sz="4" w:space="0"/>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本年支出</w:t>
            </w:r>
          </w:p>
        </w:tc>
        <w:tc>
          <w:tcPr>
            <w:tcW w:w="499" w:type="pct"/>
            <w:vMerge w:val="restart"/>
            <w:tcBorders>
              <w:top w:val="single" w:color="000000" w:sz="4" w:space="0"/>
              <w:left w:val="nil"/>
              <w:bottom w:val="single" w:color="000000" w:sz="4" w:space="0"/>
              <w:right w:val="single" w:color="000000" w:sz="4" w:space="0"/>
            </w:tcBorders>
            <w:shd w:val="clear" w:color="FFFFFF"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年末结转和结余</w:t>
            </w:r>
          </w:p>
        </w:tc>
      </w:tr>
      <w:tr>
        <w:tblPrEx>
          <w:tblCellMar>
            <w:top w:w="0" w:type="dxa"/>
            <w:left w:w="108" w:type="dxa"/>
            <w:bottom w:w="0" w:type="dxa"/>
            <w:right w:w="108" w:type="dxa"/>
          </w:tblCellMar>
        </w:tblPrEx>
        <w:trPr>
          <w:trHeight w:val="559" w:hRule="atLeast"/>
        </w:trPr>
        <w:tc>
          <w:tcPr>
            <w:tcW w:w="423" w:type="pct"/>
            <w:gridSpan w:val="3"/>
            <w:vMerge w:val="restart"/>
            <w:tcBorders>
              <w:top w:val="nil"/>
              <w:left w:val="single" w:color="000000" w:sz="4" w:space="0"/>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功能分类科目编码</w:t>
            </w:r>
          </w:p>
        </w:tc>
        <w:tc>
          <w:tcPr>
            <w:tcW w:w="1241" w:type="pct"/>
            <w:vMerge w:val="restart"/>
            <w:tcBorders>
              <w:top w:val="nil"/>
              <w:left w:val="nil"/>
              <w:bottom w:val="single" w:color="000000" w:sz="4" w:space="0"/>
              <w:right w:val="single" w:color="000000" w:sz="4" w:space="0"/>
            </w:tcBorders>
            <w:shd w:val="clear" w:color="auto" w:fill="FFFFFF" w:themeFill="background1"/>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科目名称</w:t>
            </w:r>
          </w:p>
        </w:tc>
        <w:tc>
          <w:tcPr>
            <w:tcW w:w="521" w:type="pct"/>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517" w:type="pct"/>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583" w:type="pct"/>
            <w:vMerge w:val="restar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小计</w:t>
            </w:r>
          </w:p>
        </w:tc>
        <w:tc>
          <w:tcPr>
            <w:tcW w:w="651" w:type="pct"/>
            <w:gridSpan w:val="2"/>
            <w:vMerge w:val="restar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基本支出</w:t>
            </w:r>
          </w:p>
        </w:tc>
        <w:tc>
          <w:tcPr>
            <w:tcW w:w="565" w:type="pct"/>
            <w:vMerge w:val="restart"/>
            <w:tcBorders>
              <w:top w:val="nil"/>
              <w:left w:val="nil"/>
              <w:bottom w:val="single" w:color="000000" w:sz="4" w:space="0"/>
              <w:right w:val="single" w:color="000000" w:sz="4" w:space="0"/>
            </w:tcBorders>
            <w:shd w:val="clear" w:color="FFFFFF"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项目支出</w:t>
            </w:r>
          </w:p>
        </w:tc>
        <w:tc>
          <w:tcPr>
            <w:tcW w:w="499" w:type="pct"/>
            <w:vMerge w:val="continue"/>
            <w:tcBorders>
              <w:top w:val="single" w:color="000000" w:sz="4" w:space="0"/>
              <w:left w:val="nil"/>
              <w:bottom w:val="single" w:color="000000" w:sz="4" w:space="0"/>
              <w:right w:val="single" w:color="000000" w:sz="4" w:space="0"/>
            </w:tcBorders>
            <w:shd w:val="clear" w:color="FFFFFF" w:fill="FFFFFF" w:themeFill="background1"/>
            <w:vAlign w:val="center"/>
          </w:tcPr>
          <w:p>
            <w:pPr>
              <w:jc w:val="center"/>
              <w:rPr>
                <w:rFonts w:ascii="宋体" w:hAnsi="宋体" w:eastAsia="宋体" w:cs="宋体"/>
                <w:color w:val="000000"/>
              </w:rPr>
            </w:pPr>
          </w:p>
        </w:tc>
      </w:tr>
      <w:tr>
        <w:tblPrEx>
          <w:tblCellMar>
            <w:top w:w="0" w:type="dxa"/>
            <w:left w:w="108" w:type="dxa"/>
            <w:bottom w:w="0" w:type="dxa"/>
            <w:right w:w="108" w:type="dxa"/>
          </w:tblCellMar>
        </w:tblPrEx>
        <w:trPr>
          <w:trHeight w:val="559" w:hRule="atLeast"/>
        </w:trPr>
        <w:tc>
          <w:tcPr>
            <w:tcW w:w="423" w:type="pct"/>
            <w:gridSpan w:val="3"/>
            <w:vMerge w:val="continue"/>
            <w:tcBorders>
              <w:top w:val="nil"/>
              <w:left w:val="single" w:color="000000" w:sz="4" w:space="0"/>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1241" w:type="pct"/>
            <w:vMerge w:val="continue"/>
            <w:tcBorders>
              <w:top w:val="nil"/>
              <w:left w:val="nil"/>
              <w:bottom w:val="single" w:color="000000" w:sz="4" w:space="0"/>
              <w:right w:val="single" w:color="000000" w:sz="4" w:space="0"/>
            </w:tcBorders>
            <w:shd w:val="clear" w:color="auto" w:fill="FFFFFF" w:themeFill="background1"/>
            <w:noWrap/>
            <w:vAlign w:val="center"/>
          </w:tcPr>
          <w:p>
            <w:pPr>
              <w:jc w:val="center"/>
              <w:rPr>
                <w:rFonts w:ascii="宋体" w:hAnsi="宋体" w:eastAsia="宋体" w:cs="宋体"/>
                <w:color w:val="000000"/>
              </w:rPr>
            </w:pPr>
          </w:p>
        </w:tc>
        <w:tc>
          <w:tcPr>
            <w:tcW w:w="521" w:type="pct"/>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517" w:type="pct"/>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583" w:type="pct"/>
            <w:vMerge w:val="continue"/>
            <w:tcBorders>
              <w:top w:val="nil"/>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651" w:type="pct"/>
            <w:gridSpan w:val="2"/>
            <w:vMerge w:val="continue"/>
            <w:tcBorders>
              <w:top w:val="nil"/>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565" w:type="pct"/>
            <w:vMerge w:val="continue"/>
            <w:tcBorders>
              <w:top w:val="nil"/>
              <w:left w:val="nil"/>
              <w:bottom w:val="single" w:color="000000" w:sz="4" w:space="0"/>
              <w:right w:val="single" w:color="000000" w:sz="4" w:space="0"/>
            </w:tcBorders>
            <w:shd w:val="clear" w:color="FFFFFF" w:fill="FFFFFF" w:themeFill="background1"/>
            <w:vAlign w:val="center"/>
          </w:tcPr>
          <w:p>
            <w:pPr>
              <w:jc w:val="center"/>
              <w:rPr>
                <w:rFonts w:ascii="宋体" w:hAnsi="宋体" w:eastAsia="宋体" w:cs="宋体"/>
                <w:color w:val="000000"/>
              </w:rPr>
            </w:pPr>
          </w:p>
        </w:tc>
        <w:tc>
          <w:tcPr>
            <w:tcW w:w="499" w:type="pct"/>
            <w:vMerge w:val="continue"/>
            <w:tcBorders>
              <w:top w:val="single" w:color="000000" w:sz="4" w:space="0"/>
              <w:left w:val="nil"/>
              <w:bottom w:val="single" w:color="000000" w:sz="4" w:space="0"/>
              <w:right w:val="single" w:color="000000" w:sz="4" w:space="0"/>
            </w:tcBorders>
            <w:shd w:val="clear" w:color="FFFFFF" w:fill="FFFFFF" w:themeFill="background1"/>
            <w:vAlign w:val="center"/>
          </w:tcPr>
          <w:p>
            <w:pPr>
              <w:jc w:val="center"/>
              <w:rPr>
                <w:rFonts w:ascii="宋体" w:hAnsi="宋体" w:eastAsia="宋体" w:cs="宋体"/>
                <w:color w:val="000000"/>
              </w:rPr>
            </w:pPr>
          </w:p>
        </w:tc>
      </w:tr>
      <w:tr>
        <w:tblPrEx>
          <w:tblCellMar>
            <w:top w:w="0" w:type="dxa"/>
            <w:left w:w="108" w:type="dxa"/>
            <w:bottom w:w="0" w:type="dxa"/>
            <w:right w:w="108" w:type="dxa"/>
          </w:tblCellMar>
        </w:tblPrEx>
        <w:trPr>
          <w:trHeight w:val="559" w:hRule="atLeast"/>
        </w:trPr>
        <w:tc>
          <w:tcPr>
            <w:tcW w:w="423" w:type="pct"/>
            <w:gridSpan w:val="3"/>
            <w:vMerge w:val="continue"/>
            <w:tcBorders>
              <w:top w:val="nil"/>
              <w:left w:val="single" w:color="000000" w:sz="4" w:space="0"/>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1241" w:type="pct"/>
            <w:vMerge w:val="continue"/>
            <w:tcBorders>
              <w:top w:val="nil"/>
              <w:left w:val="nil"/>
              <w:bottom w:val="single" w:color="000000" w:sz="4" w:space="0"/>
              <w:right w:val="single" w:color="000000" w:sz="4" w:space="0"/>
            </w:tcBorders>
            <w:shd w:val="clear" w:color="auto" w:fill="FFFFFF" w:themeFill="background1"/>
            <w:noWrap/>
            <w:vAlign w:val="center"/>
          </w:tcPr>
          <w:p>
            <w:pPr>
              <w:jc w:val="center"/>
              <w:rPr>
                <w:rFonts w:ascii="宋体" w:hAnsi="宋体" w:eastAsia="宋体" w:cs="宋体"/>
                <w:color w:val="000000"/>
              </w:rPr>
            </w:pPr>
          </w:p>
        </w:tc>
        <w:tc>
          <w:tcPr>
            <w:tcW w:w="521" w:type="pct"/>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517" w:type="pct"/>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583" w:type="pct"/>
            <w:vMerge w:val="continue"/>
            <w:tcBorders>
              <w:top w:val="nil"/>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651" w:type="pct"/>
            <w:gridSpan w:val="2"/>
            <w:vMerge w:val="continue"/>
            <w:tcBorders>
              <w:top w:val="nil"/>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565" w:type="pct"/>
            <w:vMerge w:val="continue"/>
            <w:tcBorders>
              <w:top w:val="nil"/>
              <w:left w:val="nil"/>
              <w:bottom w:val="single" w:color="000000" w:sz="4" w:space="0"/>
              <w:right w:val="single" w:color="000000" w:sz="4" w:space="0"/>
            </w:tcBorders>
            <w:shd w:val="clear" w:color="FFFFFF" w:fill="FFFFFF" w:themeFill="background1"/>
            <w:vAlign w:val="center"/>
          </w:tcPr>
          <w:p>
            <w:pPr>
              <w:jc w:val="center"/>
              <w:rPr>
                <w:rFonts w:ascii="宋体" w:hAnsi="宋体" w:eastAsia="宋体" w:cs="宋体"/>
                <w:color w:val="000000"/>
              </w:rPr>
            </w:pPr>
          </w:p>
        </w:tc>
        <w:tc>
          <w:tcPr>
            <w:tcW w:w="499" w:type="pct"/>
            <w:vMerge w:val="continue"/>
            <w:tcBorders>
              <w:top w:val="single" w:color="000000" w:sz="4" w:space="0"/>
              <w:left w:val="nil"/>
              <w:bottom w:val="single" w:color="000000" w:sz="4" w:space="0"/>
              <w:right w:val="single" w:color="000000" w:sz="4" w:space="0"/>
            </w:tcBorders>
            <w:shd w:val="clear" w:color="FFFFFF" w:fill="FFFFFF" w:themeFill="background1"/>
            <w:vAlign w:val="center"/>
          </w:tcPr>
          <w:p>
            <w:pPr>
              <w:jc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1663" w:type="pct"/>
            <w:gridSpan w:val="4"/>
            <w:tcBorders>
              <w:top w:val="nil"/>
              <w:left w:val="single" w:color="000000" w:sz="4" w:space="0"/>
              <w:bottom w:val="single" w:color="000000" w:sz="4" w:space="0"/>
              <w:right w:val="single" w:color="000000" w:sz="4" w:space="0"/>
            </w:tcBorders>
            <w:shd w:val="clear" w:color="auto" w:fill="FFFFFF" w:themeFill="background1"/>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栏次</w:t>
            </w:r>
          </w:p>
        </w:tc>
        <w:tc>
          <w:tcPr>
            <w:tcW w:w="521" w:type="pct"/>
            <w:tcBorders>
              <w:top w:val="nil"/>
              <w:left w:val="nil"/>
              <w:bottom w:val="single" w:color="000000" w:sz="4" w:space="0"/>
              <w:right w:val="single" w:color="000000" w:sz="4" w:space="0"/>
            </w:tcBorders>
            <w:shd w:val="clear" w:color="auto" w:fill="FFFFFF" w:themeFill="background1"/>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1</w:t>
            </w:r>
          </w:p>
        </w:tc>
        <w:tc>
          <w:tcPr>
            <w:tcW w:w="517" w:type="pct"/>
            <w:tcBorders>
              <w:top w:val="nil"/>
              <w:left w:val="nil"/>
              <w:bottom w:val="single" w:color="000000" w:sz="4" w:space="0"/>
              <w:right w:val="single" w:color="000000" w:sz="4" w:space="0"/>
            </w:tcBorders>
            <w:shd w:val="clear" w:color="auto" w:fill="FFFFFF" w:themeFill="background1"/>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2</w:t>
            </w:r>
          </w:p>
        </w:tc>
        <w:tc>
          <w:tcPr>
            <w:tcW w:w="583" w:type="pct"/>
            <w:tcBorders>
              <w:top w:val="nil"/>
              <w:left w:val="nil"/>
              <w:bottom w:val="single" w:color="000000" w:sz="4" w:space="0"/>
              <w:right w:val="single" w:color="000000" w:sz="4" w:space="0"/>
            </w:tcBorders>
            <w:shd w:val="clear" w:color="auto" w:fill="FFFFFF" w:themeFill="background1"/>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3</w:t>
            </w:r>
          </w:p>
        </w:tc>
        <w:tc>
          <w:tcPr>
            <w:tcW w:w="651" w:type="pct"/>
            <w:gridSpan w:val="2"/>
            <w:tcBorders>
              <w:top w:val="nil"/>
              <w:left w:val="nil"/>
              <w:bottom w:val="single" w:color="000000" w:sz="4" w:space="0"/>
              <w:right w:val="single" w:color="000000" w:sz="4" w:space="0"/>
            </w:tcBorders>
            <w:shd w:val="clear" w:color="auto" w:fill="FFFFFF" w:themeFill="background1"/>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4</w:t>
            </w:r>
          </w:p>
        </w:tc>
        <w:tc>
          <w:tcPr>
            <w:tcW w:w="565" w:type="pct"/>
            <w:tcBorders>
              <w:top w:val="nil"/>
              <w:left w:val="nil"/>
              <w:bottom w:val="single" w:color="000000" w:sz="4" w:space="0"/>
              <w:right w:val="single" w:color="000000" w:sz="4" w:space="0"/>
            </w:tcBorders>
            <w:shd w:val="clear" w:color="FFFFFF" w:fill="FFFFFF" w:themeFill="background1"/>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5</w:t>
            </w:r>
          </w:p>
        </w:tc>
        <w:tc>
          <w:tcPr>
            <w:tcW w:w="499" w:type="pct"/>
            <w:tcBorders>
              <w:top w:val="nil"/>
              <w:left w:val="nil"/>
              <w:bottom w:val="single" w:color="000000" w:sz="4" w:space="0"/>
              <w:right w:val="single" w:color="000000" w:sz="4" w:space="0"/>
            </w:tcBorders>
            <w:shd w:val="clear" w:color="FFFFFF" w:fill="FFFFFF" w:themeFill="background1"/>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6</w:t>
            </w:r>
          </w:p>
        </w:tc>
      </w:tr>
      <w:tr>
        <w:tblPrEx>
          <w:tblCellMar>
            <w:top w:w="0" w:type="dxa"/>
            <w:left w:w="108" w:type="dxa"/>
            <w:bottom w:w="0" w:type="dxa"/>
            <w:right w:w="108" w:type="dxa"/>
          </w:tblCellMar>
        </w:tblPrEx>
        <w:trPr>
          <w:trHeight w:val="308" w:hRule="atLeast"/>
        </w:trPr>
        <w:tc>
          <w:tcPr>
            <w:tcW w:w="1663" w:type="pct"/>
            <w:gridSpan w:val="4"/>
            <w:tcBorders>
              <w:top w:val="nil"/>
              <w:left w:val="single" w:color="000000" w:sz="4" w:space="0"/>
              <w:bottom w:val="single" w:color="000000" w:sz="4" w:space="0"/>
              <w:right w:val="single" w:color="000000" w:sz="4" w:space="0"/>
            </w:tcBorders>
            <w:shd w:val="clear" w:color="auto" w:fill="FFFFFF" w:themeFill="background1"/>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合计</w:t>
            </w:r>
          </w:p>
        </w:tc>
        <w:tc>
          <w:tcPr>
            <w:tcW w:w="521" w:type="pct"/>
            <w:tcBorders>
              <w:top w:val="nil"/>
              <w:left w:val="nil"/>
              <w:bottom w:val="single" w:color="000000" w:sz="4" w:space="0"/>
              <w:right w:val="single" w:color="000000" w:sz="4" w:space="0"/>
            </w:tcBorders>
            <w:shd w:val="clear" w:color="auto" w:fill="FFFFFF" w:themeFill="background1"/>
            <w:noWrap/>
            <w:vAlign w:val="center"/>
          </w:tcPr>
          <w:p>
            <w:pPr>
              <w:spacing w:line="280" w:lineRule="exact"/>
              <w:jc w:val="center"/>
              <w:textAlignment w:val="center"/>
              <w:rPr>
                <w:rFonts w:ascii="宋体" w:hAnsi="宋体" w:eastAsia="宋体" w:cs="宋体"/>
                <w:b/>
                <w:bCs/>
                <w:color w:val="000000"/>
              </w:rPr>
            </w:pPr>
            <w:r>
              <w:rPr>
                <w:rFonts w:hint="eastAsia" w:ascii="宋体" w:hAnsi="宋体" w:eastAsia="宋体" w:cs="宋体"/>
                <w:b/>
                <w:bCs/>
                <w:color w:val="000000"/>
                <w:lang w:eastAsia="zh-CN"/>
              </w:rPr>
              <w:t>0.00</w:t>
            </w:r>
          </w:p>
        </w:tc>
        <w:tc>
          <w:tcPr>
            <w:tcW w:w="517" w:type="pct"/>
            <w:tcBorders>
              <w:top w:val="nil"/>
              <w:left w:val="nil"/>
              <w:bottom w:val="single" w:color="000000" w:sz="4" w:space="0"/>
              <w:right w:val="single" w:color="000000" w:sz="4" w:space="0"/>
            </w:tcBorders>
            <w:shd w:val="clear" w:color="auto" w:fill="FFFFFF" w:themeFill="background1"/>
            <w:noWrap/>
            <w:vAlign w:val="center"/>
          </w:tcPr>
          <w:p>
            <w:pPr>
              <w:spacing w:line="280" w:lineRule="exact"/>
              <w:jc w:val="center"/>
              <w:textAlignment w:val="center"/>
              <w:rPr>
                <w:rFonts w:ascii="宋体" w:hAnsi="宋体" w:eastAsia="宋体" w:cs="宋体"/>
                <w:b/>
                <w:bCs/>
                <w:color w:val="000000"/>
              </w:rPr>
            </w:pPr>
            <w:r>
              <w:rPr>
                <w:rFonts w:hint="eastAsia" w:ascii="宋体" w:hAnsi="宋体" w:eastAsia="宋体" w:cs="宋体"/>
                <w:b/>
                <w:bCs/>
                <w:color w:val="000000"/>
                <w:lang w:eastAsia="zh-CN"/>
              </w:rPr>
              <w:t>8.00</w:t>
            </w:r>
          </w:p>
        </w:tc>
        <w:tc>
          <w:tcPr>
            <w:tcW w:w="583" w:type="pct"/>
            <w:tcBorders>
              <w:top w:val="nil"/>
              <w:left w:val="nil"/>
              <w:bottom w:val="single" w:color="000000" w:sz="4" w:space="0"/>
              <w:right w:val="single" w:color="000000" w:sz="4" w:space="0"/>
            </w:tcBorders>
            <w:shd w:val="clear" w:color="auto" w:fill="FFFFFF" w:themeFill="background1"/>
            <w:noWrap/>
            <w:vAlign w:val="center"/>
          </w:tcPr>
          <w:p>
            <w:pPr>
              <w:spacing w:line="280" w:lineRule="exact"/>
              <w:jc w:val="center"/>
              <w:textAlignment w:val="center"/>
              <w:rPr>
                <w:rFonts w:ascii="宋体" w:hAnsi="宋体" w:eastAsia="宋体" w:cs="宋体"/>
                <w:b/>
                <w:bCs/>
                <w:color w:val="000000"/>
              </w:rPr>
            </w:pPr>
            <w:r>
              <w:rPr>
                <w:rFonts w:hint="eastAsia" w:ascii="宋体" w:hAnsi="宋体" w:eastAsia="宋体" w:cs="宋体"/>
                <w:b/>
                <w:bCs/>
                <w:color w:val="000000"/>
                <w:lang w:eastAsia="zh-CN"/>
              </w:rPr>
              <w:t>8.00</w:t>
            </w:r>
          </w:p>
        </w:tc>
        <w:tc>
          <w:tcPr>
            <w:tcW w:w="651" w:type="pct"/>
            <w:gridSpan w:val="2"/>
            <w:tcBorders>
              <w:top w:val="nil"/>
              <w:left w:val="nil"/>
              <w:bottom w:val="single" w:color="000000" w:sz="4" w:space="0"/>
              <w:right w:val="single" w:color="000000" w:sz="4" w:space="0"/>
            </w:tcBorders>
            <w:shd w:val="clear" w:color="auto" w:fill="FFFFFF" w:themeFill="background1"/>
            <w:noWrap/>
            <w:vAlign w:val="center"/>
          </w:tcPr>
          <w:p>
            <w:pPr>
              <w:spacing w:line="280" w:lineRule="exact"/>
              <w:jc w:val="center"/>
              <w:textAlignment w:val="center"/>
              <w:rPr>
                <w:rFonts w:ascii="宋体" w:hAnsi="宋体" w:eastAsia="宋体" w:cs="宋体"/>
                <w:b/>
                <w:bCs/>
                <w:color w:val="000000"/>
              </w:rPr>
            </w:pPr>
            <w:r>
              <w:rPr>
                <w:rFonts w:hint="eastAsia" w:ascii="宋体" w:hAnsi="宋体" w:eastAsia="宋体" w:cs="宋体"/>
                <w:b/>
                <w:bCs/>
                <w:color w:val="000000"/>
                <w:lang w:eastAsia="zh-CN"/>
              </w:rPr>
              <w:t>8.00</w:t>
            </w:r>
          </w:p>
        </w:tc>
        <w:tc>
          <w:tcPr>
            <w:tcW w:w="565"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b/>
                <w:bCs/>
                <w:color w:val="000000"/>
              </w:rPr>
            </w:pPr>
            <w:r>
              <w:rPr>
                <w:rFonts w:hint="eastAsia" w:ascii="宋体" w:hAnsi="宋体" w:eastAsia="宋体" w:cs="宋体"/>
                <w:b/>
                <w:bCs/>
                <w:color w:val="000000"/>
                <w:lang w:eastAsia="zh-CN"/>
              </w:rPr>
              <w:t>0.00</w:t>
            </w:r>
          </w:p>
        </w:tc>
        <w:tc>
          <w:tcPr>
            <w:tcW w:w="499"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b/>
                <w:bCs/>
                <w:color w:val="000000"/>
              </w:rPr>
            </w:pPr>
            <w:r>
              <w:rPr>
                <w:rFonts w:hint="eastAsia" w:ascii="宋体" w:hAnsi="宋体" w:eastAsia="宋体" w:cs="宋体"/>
                <w:b/>
                <w:bCs/>
                <w:color w:val="000000"/>
                <w:lang w:eastAsia="zh-CN"/>
              </w:rPr>
              <w:t>0.00</w:t>
            </w:r>
          </w:p>
        </w:tc>
      </w:tr>
      <w:tr>
        <w:tblPrEx>
          <w:tblCellMar>
            <w:top w:w="0" w:type="dxa"/>
            <w:left w:w="108" w:type="dxa"/>
            <w:bottom w:w="0" w:type="dxa"/>
            <w:right w:w="108" w:type="dxa"/>
          </w:tblCellMar>
        </w:tblPrEx>
        <w:trPr>
          <w:trHeight w:val="308" w:hRule="atLeast"/>
        </w:trPr>
        <w:tc>
          <w:tcPr>
            <w:tcW w:w="423" w:type="pct"/>
            <w:gridSpan w:val="3"/>
            <w:tcBorders>
              <w:top w:val="nil"/>
              <w:left w:val="single" w:color="000000" w:sz="4" w:space="0"/>
              <w:bottom w:val="single" w:color="000000" w:sz="4" w:space="0"/>
              <w:right w:val="single" w:color="000000" w:sz="4" w:space="0"/>
            </w:tcBorders>
            <w:shd w:val="clear" w:color="auto" w:fill="auto"/>
            <w:noWrap/>
            <w:vAlign w:val="center"/>
          </w:tcPr>
          <w:p>
            <w:pPr>
              <w:spacing w:line="280" w:lineRule="exact"/>
              <w:textAlignment w:val="center"/>
              <w:rPr>
                <w:rFonts w:ascii="宋体" w:hAnsi="宋体" w:eastAsia="宋体" w:cs="宋体"/>
                <w:color w:val="000000"/>
              </w:rPr>
            </w:pPr>
            <w:r>
              <w:rPr>
                <w:rFonts w:hint="eastAsia" w:ascii="宋体" w:hAnsi="宋体" w:eastAsia="宋体" w:cs="宋体"/>
                <w:color w:val="000000"/>
                <w:lang w:eastAsia="zh-CN"/>
              </w:rPr>
              <w:t>229</w:t>
            </w:r>
          </w:p>
        </w:tc>
        <w:tc>
          <w:tcPr>
            <w:tcW w:w="1241" w:type="pct"/>
            <w:tcBorders>
              <w:top w:val="nil"/>
              <w:left w:val="nil"/>
              <w:bottom w:val="single" w:color="000000" w:sz="4" w:space="0"/>
              <w:right w:val="single" w:color="000000" w:sz="4" w:space="0"/>
            </w:tcBorders>
            <w:shd w:val="clear" w:color="auto" w:fill="auto"/>
            <w:noWrap/>
            <w:vAlign w:val="center"/>
          </w:tcPr>
          <w:p>
            <w:pPr>
              <w:spacing w:line="280" w:lineRule="exact"/>
              <w:textAlignment w:val="center"/>
              <w:rPr>
                <w:rFonts w:ascii="宋体" w:hAnsi="宋体" w:eastAsia="宋体" w:cs="宋体"/>
                <w:color w:val="000000"/>
              </w:rPr>
            </w:pPr>
            <w:r>
              <w:rPr>
                <w:rFonts w:hint="eastAsia" w:ascii="宋体" w:hAnsi="宋体" w:eastAsia="宋体" w:cs="宋体"/>
                <w:color w:val="000000"/>
                <w:lang w:eastAsia="zh-CN"/>
              </w:rPr>
              <w:t>其他支出</w:t>
            </w:r>
          </w:p>
        </w:tc>
        <w:tc>
          <w:tcPr>
            <w:tcW w:w="521"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517"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8.00</w:t>
            </w:r>
          </w:p>
        </w:tc>
        <w:tc>
          <w:tcPr>
            <w:tcW w:w="583"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8.00</w:t>
            </w:r>
          </w:p>
        </w:tc>
        <w:tc>
          <w:tcPr>
            <w:tcW w:w="651" w:type="pct"/>
            <w:gridSpan w:val="2"/>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8.00</w:t>
            </w:r>
          </w:p>
        </w:tc>
        <w:tc>
          <w:tcPr>
            <w:tcW w:w="565"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499"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08" w:hRule="atLeast"/>
        </w:trPr>
        <w:tc>
          <w:tcPr>
            <w:tcW w:w="423" w:type="pct"/>
            <w:gridSpan w:val="3"/>
            <w:tcBorders>
              <w:top w:val="nil"/>
              <w:left w:val="single" w:color="000000" w:sz="4" w:space="0"/>
              <w:bottom w:val="single" w:color="000000" w:sz="4" w:space="0"/>
              <w:right w:val="single" w:color="000000" w:sz="4" w:space="0"/>
            </w:tcBorders>
            <w:shd w:val="clear" w:color="auto" w:fill="auto"/>
            <w:noWrap/>
            <w:vAlign w:val="center"/>
          </w:tcPr>
          <w:p>
            <w:pPr>
              <w:spacing w:line="280" w:lineRule="exact"/>
              <w:textAlignment w:val="center"/>
              <w:rPr>
                <w:rFonts w:ascii="宋体" w:hAnsi="宋体" w:eastAsia="宋体" w:cs="宋体"/>
                <w:color w:val="000000"/>
              </w:rPr>
            </w:pPr>
            <w:r>
              <w:rPr>
                <w:rFonts w:hint="eastAsia" w:ascii="宋体" w:hAnsi="宋体" w:eastAsia="宋体" w:cs="宋体"/>
                <w:color w:val="000000"/>
                <w:lang w:eastAsia="zh-CN"/>
              </w:rPr>
              <w:t>22960</w:t>
            </w:r>
          </w:p>
        </w:tc>
        <w:tc>
          <w:tcPr>
            <w:tcW w:w="1241" w:type="pct"/>
            <w:tcBorders>
              <w:top w:val="nil"/>
              <w:left w:val="nil"/>
              <w:bottom w:val="single" w:color="000000" w:sz="4" w:space="0"/>
              <w:right w:val="single" w:color="000000" w:sz="4" w:space="0"/>
            </w:tcBorders>
            <w:shd w:val="clear" w:color="auto" w:fill="auto"/>
            <w:noWrap/>
            <w:vAlign w:val="center"/>
          </w:tcPr>
          <w:p>
            <w:pPr>
              <w:spacing w:line="280" w:lineRule="exact"/>
              <w:textAlignment w:val="center"/>
              <w:rPr>
                <w:rFonts w:ascii="宋体" w:hAnsi="宋体" w:eastAsia="宋体" w:cs="宋体"/>
                <w:color w:val="000000"/>
              </w:rPr>
            </w:pPr>
            <w:r>
              <w:rPr>
                <w:rFonts w:hint="eastAsia" w:ascii="宋体" w:hAnsi="宋体" w:eastAsia="宋体" w:cs="宋体"/>
                <w:color w:val="000000"/>
                <w:lang w:eastAsia="zh-CN"/>
              </w:rPr>
              <w:t>彩票公益金安排的支出</w:t>
            </w:r>
          </w:p>
        </w:tc>
        <w:tc>
          <w:tcPr>
            <w:tcW w:w="521"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517"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8.00</w:t>
            </w:r>
          </w:p>
        </w:tc>
        <w:tc>
          <w:tcPr>
            <w:tcW w:w="583"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8.00</w:t>
            </w:r>
          </w:p>
        </w:tc>
        <w:tc>
          <w:tcPr>
            <w:tcW w:w="651" w:type="pct"/>
            <w:gridSpan w:val="2"/>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8.00</w:t>
            </w:r>
          </w:p>
        </w:tc>
        <w:tc>
          <w:tcPr>
            <w:tcW w:w="565"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499"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08" w:hRule="atLeast"/>
        </w:trPr>
        <w:tc>
          <w:tcPr>
            <w:tcW w:w="423" w:type="pct"/>
            <w:gridSpan w:val="3"/>
            <w:tcBorders>
              <w:top w:val="nil"/>
              <w:left w:val="single" w:color="000000" w:sz="4" w:space="0"/>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2296002</w:t>
            </w:r>
          </w:p>
        </w:tc>
        <w:tc>
          <w:tcPr>
            <w:tcW w:w="1241" w:type="pct"/>
            <w:tcBorders>
              <w:top w:val="nil"/>
              <w:left w:val="nil"/>
              <w:bottom w:val="single" w:color="000000" w:sz="4" w:space="0"/>
              <w:right w:val="single" w:color="000000" w:sz="4" w:space="0"/>
            </w:tcBorders>
            <w:shd w:val="clear" w:color="auto" w:fill="auto"/>
            <w:noWrap/>
            <w:vAlign w:val="center"/>
          </w:tcPr>
          <w:p>
            <w:pPr>
              <w:spacing w:after="0" w:line="240" w:lineRule="auto"/>
              <w:rPr>
                <w:rFonts w:ascii="宋体" w:hAnsi="宋体" w:eastAsia="宋体" w:cs="Arial"/>
                <w:color w:val="000000"/>
                <w:lang w:eastAsia="zh-CN" w:bidi="ar-SA"/>
              </w:rPr>
            </w:pPr>
            <w:r>
              <w:rPr>
                <w:rFonts w:hint="eastAsia" w:ascii="宋体" w:hAnsi="宋体" w:eastAsia="宋体" w:cs="Arial"/>
                <w:color w:val="000000"/>
                <w:lang w:eastAsia="zh-CN" w:bidi="ar-SA"/>
              </w:rPr>
              <w:t>用于其它社会公益的彩票公益金支出</w:t>
            </w:r>
          </w:p>
        </w:tc>
        <w:tc>
          <w:tcPr>
            <w:tcW w:w="521"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517"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8.00</w:t>
            </w:r>
          </w:p>
        </w:tc>
        <w:tc>
          <w:tcPr>
            <w:tcW w:w="583"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8.00</w:t>
            </w:r>
          </w:p>
        </w:tc>
        <w:tc>
          <w:tcPr>
            <w:tcW w:w="651" w:type="pct"/>
            <w:gridSpan w:val="2"/>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8.00</w:t>
            </w:r>
          </w:p>
        </w:tc>
        <w:tc>
          <w:tcPr>
            <w:tcW w:w="565"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499" w:type="pct"/>
            <w:tcBorders>
              <w:top w:val="nil"/>
              <w:left w:val="nil"/>
              <w:bottom w:val="single" w:color="000000" w:sz="4" w:space="0"/>
              <w:right w:val="single" w:color="000000" w:sz="4" w:space="0"/>
            </w:tcBorders>
            <w:shd w:val="clear" w:color="auto" w:fill="auto"/>
            <w:noWrap/>
            <w:vAlign w:val="center"/>
          </w:tcPr>
          <w:p>
            <w:pPr>
              <w:spacing w:line="280" w:lineRule="exact"/>
              <w:jc w:val="center"/>
              <w:textAlignment w:val="center"/>
              <w:rPr>
                <w:rFonts w:ascii="宋体" w:hAnsi="宋体" w:eastAsia="宋体" w:cs="宋体"/>
                <w:color w:val="000000"/>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08" w:hRule="atLeast"/>
        </w:trPr>
        <w:tc>
          <w:tcPr>
            <w:tcW w:w="5000" w:type="pct"/>
            <w:gridSpan w:val="11"/>
            <w:tcBorders>
              <w:top w:val="nil"/>
              <w:left w:val="nil"/>
              <w:bottom w:val="nil"/>
              <w:right w:val="nil"/>
            </w:tcBorders>
            <w:shd w:val="clear" w:color="auto" w:fill="auto"/>
            <w:noWrap/>
            <w:vAlign w:val="center"/>
          </w:tcPr>
          <w:p>
            <w:pPr>
              <w:textAlignment w:val="center"/>
              <w:rPr>
                <w:rFonts w:ascii="宋体" w:hAnsi="宋体" w:eastAsia="宋体" w:cs="宋体"/>
                <w:color w:val="000000"/>
                <w:lang w:eastAsia="zh-CN"/>
              </w:rPr>
            </w:pPr>
            <w:r>
              <w:rPr>
                <w:rFonts w:hint="eastAsia" w:ascii="宋体" w:hAnsi="宋体" w:eastAsia="宋体" w:cs="宋体"/>
                <w:color w:val="000000"/>
                <w:lang w:eastAsia="zh-CN"/>
              </w:rPr>
              <w:t>注：本表反映部门本年度政府性基金预算财政拨款收入、支出及结转和结余情况。</w:t>
            </w:r>
          </w:p>
        </w:tc>
      </w:tr>
    </w:tbl>
    <w:p>
      <w:pPr>
        <w:rPr>
          <w:rFonts w:ascii="黑体" w:hAnsi="黑体" w:eastAsia="黑体" w:cstheme="minorEastAsia"/>
          <w:color w:val="000000" w:themeColor="text1"/>
          <w:sz w:val="28"/>
          <w:szCs w:val="28"/>
          <w:lang w:eastAsia="zh-CN"/>
          <w14:textFill>
            <w14:solidFill>
              <w14:schemeClr w14:val="tx1"/>
            </w14:solidFill>
          </w14:textFill>
        </w:rPr>
      </w:pPr>
    </w:p>
    <w:tbl>
      <w:tblPr>
        <w:tblStyle w:val="18"/>
        <w:tblW w:w="4996" w:type="pct"/>
        <w:tblInd w:w="0" w:type="dxa"/>
        <w:tblLayout w:type="autofit"/>
        <w:tblCellMar>
          <w:top w:w="0" w:type="dxa"/>
          <w:left w:w="108" w:type="dxa"/>
          <w:bottom w:w="0" w:type="dxa"/>
          <w:right w:w="108" w:type="dxa"/>
        </w:tblCellMar>
      </w:tblPr>
      <w:tblGrid>
        <w:gridCol w:w="3016"/>
        <w:gridCol w:w="222"/>
        <w:gridCol w:w="223"/>
        <w:gridCol w:w="2613"/>
        <w:gridCol w:w="5313"/>
        <w:gridCol w:w="1156"/>
        <w:gridCol w:w="1620"/>
      </w:tblGrid>
      <w:tr>
        <w:tblPrEx>
          <w:tblCellMar>
            <w:top w:w="0" w:type="dxa"/>
            <w:left w:w="108" w:type="dxa"/>
            <w:bottom w:w="0" w:type="dxa"/>
            <w:right w:w="108" w:type="dxa"/>
          </w:tblCellMar>
        </w:tblPrEx>
        <w:trPr>
          <w:trHeight w:val="390" w:hRule="atLeast"/>
        </w:trPr>
        <w:tc>
          <w:tcPr>
            <w:tcW w:w="5000" w:type="pct"/>
            <w:gridSpan w:val="7"/>
            <w:tcBorders>
              <w:top w:val="nil"/>
              <w:left w:val="nil"/>
              <w:bottom w:val="nil"/>
              <w:right w:val="nil"/>
            </w:tcBorders>
            <w:shd w:val="clear" w:color="auto" w:fill="auto"/>
            <w:noWrap/>
            <w:vAlign w:val="bottom"/>
          </w:tcPr>
          <w:p>
            <w:pPr>
              <w:jc w:val="center"/>
              <w:rPr>
                <w:rFonts w:ascii="Arial" w:hAnsi="Arial" w:cs="Arial"/>
                <w:color w:val="000000"/>
                <w:sz w:val="20"/>
                <w:szCs w:val="20"/>
                <w:lang w:eastAsia="zh-CN"/>
              </w:rPr>
            </w:pPr>
            <w:r>
              <w:rPr>
                <w:rFonts w:hint="eastAsia" w:ascii="宋体" w:hAnsi="宋体" w:eastAsia="宋体" w:cs="宋体"/>
                <w:color w:val="000000"/>
                <w:sz w:val="30"/>
                <w:szCs w:val="30"/>
                <w:lang w:eastAsia="zh-CN"/>
              </w:rPr>
              <w:t>国有资本经营预算财政拨款支出决算表</w:t>
            </w:r>
          </w:p>
        </w:tc>
      </w:tr>
      <w:tr>
        <w:tblPrEx>
          <w:tblCellMar>
            <w:top w:w="0" w:type="dxa"/>
            <w:left w:w="108" w:type="dxa"/>
            <w:bottom w:w="0" w:type="dxa"/>
            <w:right w:w="108" w:type="dxa"/>
          </w:tblCellMar>
        </w:tblPrEx>
        <w:trPr>
          <w:trHeight w:val="255" w:hRule="atLeast"/>
        </w:trPr>
        <w:tc>
          <w:tcPr>
            <w:tcW w:w="1064"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78"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78"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922"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1876"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408"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570" w:type="pct"/>
            <w:tcBorders>
              <w:top w:val="nil"/>
              <w:left w:val="nil"/>
              <w:bottom w:val="nil"/>
              <w:right w:val="nil"/>
            </w:tcBorders>
            <w:shd w:val="clear" w:color="auto" w:fill="auto"/>
            <w:noWrap/>
            <w:vAlign w:val="bottom"/>
          </w:tcPr>
          <w:p>
            <w:pPr>
              <w:jc w:val="right"/>
              <w:textAlignment w:val="bottom"/>
              <w:rPr>
                <w:rFonts w:ascii="宋体" w:hAnsi="宋体" w:eastAsia="宋体" w:cs="宋体"/>
                <w:color w:val="000000"/>
                <w:sz w:val="20"/>
                <w:szCs w:val="20"/>
              </w:rPr>
            </w:pPr>
            <w:r>
              <w:rPr>
                <w:rFonts w:hint="eastAsia" w:ascii="宋体" w:hAnsi="宋体" w:eastAsia="宋体" w:cs="宋体"/>
                <w:color w:val="000000"/>
                <w:sz w:val="20"/>
                <w:szCs w:val="20"/>
                <w:lang w:eastAsia="zh-CN"/>
              </w:rPr>
              <w:t>公开09表</w:t>
            </w:r>
          </w:p>
        </w:tc>
      </w:tr>
      <w:tr>
        <w:tblPrEx>
          <w:tblCellMar>
            <w:top w:w="0" w:type="dxa"/>
            <w:left w:w="108" w:type="dxa"/>
            <w:bottom w:w="0" w:type="dxa"/>
            <w:right w:w="108" w:type="dxa"/>
          </w:tblCellMar>
        </w:tblPrEx>
        <w:trPr>
          <w:trHeight w:val="255" w:hRule="atLeast"/>
        </w:trPr>
        <w:tc>
          <w:tcPr>
            <w:tcW w:w="1064" w:type="pct"/>
            <w:tcBorders>
              <w:top w:val="nil"/>
              <w:left w:val="nil"/>
              <w:bottom w:val="nil"/>
              <w:right w:val="nil"/>
            </w:tcBorders>
            <w:shd w:val="clear" w:color="auto" w:fill="auto"/>
            <w:noWrap/>
            <w:vAlign w:val="bottom"/>
          </w:tcPr>
          <w:p>
            <w:pPr>
              <w:textAlignment w:val="bottom"/>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部门：湘潭县云湖桥镇人民政府</w:t>
            </w:r>
          </w:p>
        </w:tc>
        <w:tc>
          <w:tcPr>
            <w:tcW w:w="78"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78"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922"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1876"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408" w:type="pct"/>
            <w:tcBorders>
              <w:top w:val="nil"/>
              <w:left w:val="nil"/>
              <w:bottom w:val="nil"/>
              <w:right w:val="nil"/>
            </w:tcBorders>
            <w:shd w:val="clear" w:color="auto" w:fill="auto"/>
            <w:noWrap/>
            <w:vAlign w:val="bottom"/>
          </w:tcPr>
          <w:p>
            <w:pPr>
              <w:rPr>
                <w:rFonts w:ascii="Arial" w:hAnsi="Arial" w:cs="Arial"/>
                <w:color w:val="000000"/>
                <w:sz w:val="20"/>
                <w:szCs w:val="20"/>
                <w:lang w:eastAsia="zh-CN"/>
              </w:rPr>
            </w:pPr>
          </w:p>
        </w:tc>
        <w:tc>
          <w:tcPr>
            <w:tcW w:w="570" w:type="pct"/>
            <w:tcBorders>
              <w:top w:val="nil"/>
              <w:left w:val="nil"/>
              <w:bottom w:val="nil"/>
              <w:right w:val="nil"/>
            </w:tcBorders>
            <w:shd w:val="clear" w:color="auto" w:fill="auto"/>
            <w:noWrap/>
            <w:vAlign w:val="bottom"/>
          </w:tcPr>
          <w:p>
            <w:pPr>
              <w:jc w:val="right"/>
              <w:textAlignment w:val="bottom"/>
              <w:rPr>
                <w:rFonts w:ascii="宋体" w:hAnsi="宋体" w:eastAsia="宋体" w:cs="宋体"/>
                <w:color w:val="000000"/>
                <w:sz w:val="20"/>
                <w:szCs w:val="20"/>
              </w:rPr>
            </w:pPr>
            <w:r>
              <w:rPr>
                <w:rFonts w:hint="eastAsia" w:ascii="宋体" w:hAnsi="宋体" w:eastAsia="宋体" w:cs="宋体"/>
                <w:color w:val="000000"/>
                <w:sz w:val="20"/>
                <w:szCs w:val="20"/>
                <w:lang w:eastAsia="zh-CN"/>
              </w:rPr>
              <w:t>金额单位：万元</w:t>
            </w:r>
          </w:p>
        </w:tc>
      </w:tr>
      <w:tr>
        <w:tblPrEx>
          <w:tblCellMar>
            <w:top w:w="0" w:type="dxa"/>
            <w:left w:w="108" w:type="dxa"/>
            <w:bottom w:w="0" w:type="dxa"/>
            <w:right w:w="108" w:type="dxa"/>
          </w:tblCellMar>
        </w:tblPrEx>
        <w:trPr>
          <w:trHeight w:val="308" w:hRule="atLeast"/>
        </w:trPr>
        <w:tc>
          <w:tcPr>
            <w:tcW w:w="2144" w:type="pct"/>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项目</w:t>
            </w:r>
          </w:p>
        </w:tc>
        <w:tc>
          <w:tcPr>
            <w:tcW w:w="2855" w:type="pct"/>
            <w:gridSpan w:val="3"/>
            <w:tcBorders>
              <w:top w:val="single" w:color="000000" w:sz="4" w:space="0"/>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本年支出</w:t>
            </w:r>
          </w:p>
        </w:tc>
      </w:tr>
      <w:tr>
        <w:tblPrEx>
          <w:tblCellMar>
            <w:top w:w="0" w:type="dxa"/>
            <w:left w:w="108" w:type="dxa"/>
            <w:bottom w:w="0" w:type="dxa"/>
            <w:right w:w="108" w:type="dxa"/>
          </w:tblCellMar>
        </w:tblPrEx>
        <w:trPr>
          <w:trHeight w:val="559" w:hRule="atLeast"/>
        </w:trPr>
        <w:tc>
          <w:tcPr>
            <w:tcW w:w="1221" w:type="pct"/>
            <w:gridSpan w:val="3"/>
            <w:vMerge w:val="restart"/>
            <w:tcBorders>
              <w:top w:val="nil"/>
              <w:left w:val="single" w:color="000000" w:sz="4" w:space="0"/>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功能分类科目编码</w:t>
            </w:r>
          </w:p>
        </w:tc>
        <w:tc>
          <w:tcPr>
            <w:tcW w:w="922" w:type="pct"/>
            <w:vMerge w:val="restart"/>
            <w:tcBorders>
              <w:top w:val="nil"/>
              <w:left w:val="nil"/>
              <w:bottom w:val="single" w:color="000000" w:sz="4" w:space="0"/>
              <w:right w:val="single" w:color="000000" w:sz="4" w:space="0"/>
            </w:tcBorders>
            <w:shd w:val="clear" w:color="auto" w:fill="FFFFFF" w:themeFill="background1"/>
            <w:noWrap/>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科目名称</w:t>
            </w:r>
          </w:p>
        </w:tc>
        <w:tc>
          <w:tcPr>
            <w:tcW w:w="1876" w:type="pct"/>
            <w:vMerge w:val="restar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合计</w:t>
            </w:r>
          </w:p>
        </w:tc>
        <w:tc>
          <w:tcPr>
            <w:tcW w:w="408" w:type="pct"/>
            <w:vMerge w:val="restar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基本支出</w:t>
            </w:r>
          </w:p>
        </w:tc>
        <w:tc>
          <w:tcPr>
            <w:tcW w:w="570" w:type="pct"/>
            <w:vMerge w:val="restart"/>
            <w:tcBorders>
              <w:top w:val="nil"/>
              <w:left w:val="nil"/>
              <w:bottom w:val="single" w:color="000000" w:sz="4" w:space="0"/>
              <w:right w:val="single" w:color="000000" w:sz="4" w:space="0"/>
            </w:tcBorders>
            <w:shd w:val="clear" w:color="auto" w:fill="FFFFFF" w:themeFill="background1"/>
            <w:vAlign w:val="center"/>
          </w:tcPr>
          <w:p>
            <w:pPr>
              <w:jc w:val="center"/>
              <w:textAlignment w:val="center"/>
              <w:rPr>
                <w:rFonts w:ascii="宋体" w:hAnsi="宋体" w:eastAsia="宋体" w:cs="宋体"/>
                <w:color w:val="000000"/>
              </w:rPr>
            </w:pPr>
            <w:r>
              <w:rPr>
                <w:rFonts w:hint="eastAsia" w:ascii="宋体" w:hAnsi="宋体" w:eastAsia="宋体" w:cs="宋体"/>
                <w:color w:val="000000"/>
                <w:lang w:eastAsia="zh-CN"/>
              </w:rPr>
              <w:t>项目支出</w:t>
            </w:r>
          </w:p>
        </w:tc>
      </w:tr>
      <w:tr>
        <w:tblPrEx>
          <w:tblCellMar>
            <w:top w:w="0" w:type="dxa"/>
            <w:left w:w="108" w:type="dxa"/>
            <w:bottom w:w="0" w:type="dxa"/>
            <w:right w:w="108" w:type="dxa"/>
          </w:tblCellMar>
        </w:tblPrEx>
        <w:trPr>
          <w:trHeight w:val="559" w:hRule="atLeast"/>
        </w:trPr>
        <w:tc>
          <w:tcPr>
            <w:tcW w:w="1221" w:type="pct"/>
            <w:gridSpan w:val="3"/>
            <w:vMerge w:val="continue"/>
            <w:tcBorders>
              <w:top w:val="nil"/>
              <w:left w:val="single" w:color="000000" w:sz="4" w:space="0"/>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922" w:type="pct"/>
            <w:vMerge w:val="continue"/>
            <w:tcBorders>
              <w:top w:val="nil"/>
              <w:left w:val="nil"/>
              <w:bottom w:val="single" w:color="000000" w:sz="4" w:space="0"/>
              <w:right w:val="single" w:color="000000" w:sz="4" w:space="0"/>
            </w:tcBorders>
            <w:shd w:val="clear" w:color="auto" w:fill="FFFFFF" w:themeFill="background1"/>
            <w:noWrap/>
            <w:vAlign w:val="center"/>
          </w:tcPr>
          <w:p>
            <w:pPr>
              <w:jc w:val="center"/>
              <w:rPr>
                <w:rFonts w:ascii="宋体" w:hAnsi="宋体" w:eastAsia="宋体" w:cs="宋体"/>
                <w:color w:val="000000"/>
              </w:rPr>
            </w:pPr>
          </w:p>
        </w:tc>
        <w:tc>
          <w:tcPr>
            <w:tcW w:w="1876" w:type="pct"/>
            <w:vMerge w:val="continue"/>
            <w:tcBorders>
              <w:top w:val="nil"/>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408" w:type="pct"/>
            <w:vMerge w:val="continue"/>
            <w:tcBorders>
              <w:top w:val="nil"/>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570" w:type="pct"/>
            <w:vMerge w:val="continue"/>
            <w:tcBorders>
              <w:top w:val="nil"/>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r>
      <w:tr>
        <w:tblPrEx>
          <w:tblCellMar>
            <w:top w:w="0" w:type="dxa"/>
            <w:left w:w="108" w:type="dxa"/>
            <w:bottom w:w="0" w:type="dxa"/>
            <w:right w:w="108" w:type="dxa"/>
          </w:tblCellMar>
        </w:tblPrEx>
        <w:trPr>
          <w:trHeight w:val="559" w:hRule="atLeast"/>
        </w:trPr>
        <w:tc>
          <w:tcPr>
            <w:tcW w:w="1221" w:type="pct"/>
            <w:gridSpan w:val="3"/>
            <w:vMerge w:val="continue"/>
            <w:tcBorders>
              <w:top w:val="nil"/>
              <w:left w:val="single" w:color="000000" w:sz="4" w:space="0"/>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922" w:type="pct"/>
            <w:vMerge w:val="continue"/>
            <w:tcBorders>
              <w:top w:val="nil"/>
              <w:left w:val="nil"/>
              <w:bottom w:val="single" w:color="000000" w:sz="4" w:space="0"/>
              <w:right w:val="single" w:color="000000" w:sz="4" w:space="0"/>
            </w:tcBorders>
            <w:shd w:val="clear" w:color="auto" w:fill="FFFFFF" w:themeFill="background1"/>
            <w:noWrap/>
            <w:vAlign w:val="center"/>
          </w:tcPr>
          <w:p>
            <w:pPr>
              <w:jc w:val="center"/>
              <w:rPr>
                <w:rFonts w:ascii="宋体" w:hAnsi="宋体" w:eastAsia="宋体" w:cs="宋体"/>
                <w:color w:val="000000"/>
              </w:rPr>
            </w:pPr>
          </w:p>
        </w:tc>
        <w:tc>
          <w:tcPr>
            <w:tcW w:w="1876" w:type="pct"/>
            <w:vMerge w:val="continue"/>
            <w:tcBorders>
              <w:top w:val="nil"/>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408" w:type="pct"/>
            <w:vMerge w:val="continue"/>
            <w:tcBorders>
              <w:top w:val="nil"/>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c>
          <w:tcPr>
            <w:tcW w:w="570" w:type="pct"/>
            <w:vMerge w:val="continue"/>
            <w:tcBorders>
              <w:top w:val="nil"/>
              <w:left w:val="nil"/>
              <w:bottom w:val="single" w:color="000000" w:sz="4" w:space="0"/>
              <w:right w:val="single" w:color="000000" w:sz="4" w:space="0"/>
            </w:tcBorders>
            <w:shd w:val="clear" w:color="auto" w:fill="FFFFFF" w:themeFill="background1"/>
            <w:vAlign w:val="center"/>
          </w:tcPr>
          <w:p>
            <w:pPr>
              <w:jc w:val="center"/>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2144" w:type="pct"/>
            <w:gridSpan w:val="4"/>
            <w:tcBorders>
              <w:top w:val="nil"/>
              <w:left w:val="single" w:color="000000" w:sz="4" w:space="0"/>
              <w:bottom w:val="single" w:color="000000" w:sz="4" w:space="0"/>
              <w:right w:val="single" w:color="000000" w:sz="4" w:space="0"/>
            </w:tcBorders>
            <w:shd w:val="clear" w:color="auto" w:fill="FFFFFF" w:themeFill="background1"/>
            <w:noWrap/>
            <w:vAlign w:val="center"/>
          </w:tcPr>
          <w:p>
            <w:pPr>
              <w:spacing w:line="200" w:lineRule="exact"/>
              <w:jc w:val="center"/>
              <w:textAlignment w:val="center"/>
              <w:rPr>
                <w:rFonts w:ascii="宋体" w:hAnsi="宋体" w:eastAsia="宋体" w:cs="宋体"/>
                <w:color w:val="000000"/>
              </w:rPr>
            </w:pPr>
            <w:r>
              <w:rPr>
                <w:rFonts w:hint="eastAsia" w:ascii="宋体" w:hAnsi="宋体" w:eastAsia="宋体" w:cs="宋体"/>
                <w:color w:val="000000"/>
                <w:lang w:eastAsia="zh-CN"/>
              </w:rPr>
              <w:t>栏次</w:t>
            </w:r>
          </w:p>
        </w:tc>
        <w:tc>
          <w:tcPr>
            <w:tcW w:w="1876" w:type="pct"/>
            <w:tcBorders>
              <w:top w:val="nil"/>
              <w:left w:val="nil"/>
              <w:bottom w:val="single" w:color="000000" w:sz="4" w:space="0"/>
              <w:right w:val="single" w:color="000000" w:sz="4" w:space="0"/>
            </w:tcBorders>
            <w:shd w:val="clear" w:color="auto" w:fill="FFFFFF" w:themeFill="background1"/>
            <w:noWrap/>
            <w:vAlign w:val="center"/>
          </w:tcPr>
          <w:p>
            <w:pPr>
              <w:spacing w:line="200" w:lineRule="exact"/>
              <w:jc w:val="center"/>
              <w:textAlignment w:val="center"/>
              <w:rPr>
                <w:rFonts w:ascii="宋体" w:hAnsi="宋体" w:eastAsia="宋体" w:cs="宋体"/>
                <w:color w:val="000000"/>
              </w:rPr>
            </w:pPr>
            <w:r>
              <w:rPr>
                <w:rFonts w:hint="eastAsia" w:ascii="宋体" w:hAnsi="宋体" w:eastAsia="宋体" w:cs="宋体"/>
                <w:color w:val="000000"/>
                <w:lang w:eastAsia="zh-CN"/>
              </w:rPr>
              <w:t>1</w:t>
            </w:r>
          </w:p>
        </w:tc>
        <w:tc>
          <w:tcPr>
            <w:tcW w:w="408" w:type="pct"/>
            <w:tcBorders>
              <w:top w:val="nil"/>
              <w:left w:val="nil"/>
              <w:bottom w:val="single" w:color="000000" w:sz="4" w:space="0"/>
              <w:right w:val="single" w:color="000000" w:sz="4" w:space="0"/>
            </w:tcBorders>
            <w:shd w:val="clear" w:color="auto" w:fill="FFFFFF" w:themeFill="background1"/>
            <w:noWrap/>
            <w:vAlign w:val="center"/>
          </w:tcPr>
          <w:p>
            <w:pPr>
              <w:spacing w:line="200" w:lineRule="exact"/>
              <w:jc w:val="center"/>
              <w:textAlignment w:val="center"/>
              <w:rPr>
                <w:rFonts w:ascii="宋体" w:hAnsi="宋体" w:eastAsia="宋体" w:cs="宋体"/>
                <w:color w:val="000000"/>
              </w:rPr>
            </w:pPr>
            <w:r>
              <w:rPr>
                <w:rFonts w:hint="eastAsia" w:ascii="宋体" w:hAnsi="宋体" w:eastAsia="宋体" w:cs="宋体"/>
                <w:color w:val="000000"/>
                <w:lang w:eastAsia="zh-CN"/>
              </w:rPr>
              <w:t>2</w:t>
            </w:r>
          </w:p>
        </w:tc>
        <w:tc>
          <w:tcPr>
            <w:tcW w:w="570" w:type="pct"/>
            <w:tcBorders>
              <w:top w:val="nil"/>
              <w:left w:val="nil"/>
              <w:bottom w:val="single" w:color="000000" w:sz="4" w:space="0"/>
              <w:right w:val="single" w:color="000000" w:sz="4" w:space="0"/>
            </w:tcBorders>
            <w:shd w:val="clear" w:color="auto" w:fill="FFFFFF" w:themeFill="background1"/>
            <w:noWrap/>
            <w:vAlign w:val="center"/>
          </w:tcPr>
          <w:p>
            <w:pPr>
              <w:spacing w:line="200" w:lineRule="exact"/>
              <w:jc w:val="center"/>
              <w:textAlignment w:val="center"/>
              <w:rPr>
                <w:rFonts w:ascii="宋体" w:hAnsi="宋体" w:eastAsia="宋体" w:cs="宋体"/>
                <w:color w:val="000000"/>
              </w:rPr>
            </w:pPr>
            <w:r>
              <w:rPr>
                <w:rFonts w:hint="eastAsia" w:ascii="宋体" w:hAnsi="宋体" w:eastAsia="宋体" w:cs="宋体"/>
                <w:color w:val="000000"/>
                <w:lang w:eastAsia="zh-CN"/>
              </w:rPr>
              <w:t>3</w:t>
            </w:r>
          </w:p>
        </w:tc>
      </w:tr>
      <w:tr>
        <w:tblPrEx>
          <w:tblCellMar>
            <w:top w:w="0" w:type="dxa"/>
            <w:left w:w="108" w:type="dxa"/>
            <w:bottom w:w="0" w:type="dxa"/>
            <w:right w:w="108" w:type="dxa"/>
          </w:tblCellMar>
        </w:tblPrEx>
        <w:trPr>
          <w:trHeight w:val="308" w:hRule="atLeast"/>
        </w:trPr>
        <w:tc>
          <w:tcPr>
            <w:tcW w:w="2144" w:type="pct"/>
            <w:gridSpan w:val="4"/>
            <w:tcBorders>
              <w:top w:val="nil"/>
              <w:left w:val="single" w:color="000000" w:sz="4" w:space="0"/>
              <w:bottom w:val="single" w:color="000000" w:sz="4" w:space="0"/>
              <w:right w:val="single" w:color="000000" w:sz="4" w:space="0"/>
            </w:tcBorders>
            <w:shd w:val="clear" w:color="auto" w:fill="FFFFFF" w:themeFill="background1"/>
            <w:noWrap/>
            <w:vAlign w:val="center"/>
          </w:tcPr>
          <w:p>
            <w:pPr>
              <w:spacing w:line="200" w:lineRule="exact"/>
              <w:jc w:val="center"/>
              <w:textAlignment w:val="center"/>
              <w:rPr>
                <w:rFonts w:ascii="宋体" w:hAnsi="宋体" w:eastAsia="宋体" w:cs="宋体"/>
                <w:color w:val="000000"/>
              </w:rPr>
            </w:pPr>
            <w:r>
              <w:rPr>
                <w:rFonts w:hint="eastAsia" w:ascii="宋体" w:hAnsi="宋体" w:eastAsia="宋体" w:cs="宋体"/>
                <w:color w:val="000000"/>
                <w:lang w:eastAsia="zh-CN"/>
              </w:rPr>
              <w:t>合计</w:t>
            </w:r>
          </w:p>
        </w:tc>
        <w:tc>
          <w:tcPr>
            <w:tcW w:w="1876" w:type="pct"/>
            <w:tcBorders>
              <w:top w:val="nil"/>
              <w:left w:val="nil"/>
              <w:bottom w:val="single" w:color="000000" w:sz="4" w:space="0"/>
              <w:right w:val="single" w:color="000000" w:sz="4" w:space="0"/>
            </w:tcBorders>
            <w:shd w:val="clear" w:color="auto" w:fill="FFFFFF" w:themeFill="background1"/>
            <w:noWrap/>
            <w:vAlign w:val="center"/>
          </w:tcPr>
          <w:p>
            <w:pPr>
              <w:spacing w:line="200" w:lineRule="exact"/>
              <w:jc w:val="right"/>
              <w:rPr>
                <w:rFonts w:ascii="宋体" w:hAnsi="宋体" w:eastAsia="宋体" w:cs="宋体"/>
                <w:b/>
                <w:bCs/>
                <w:color w:val="000000"/>
              </w:rPr>
            </w:pPr>
            <w:r>
              <w:rPr>
                <w:rFonts w:hint="eastAsia" w:ascii="宋体" w:hAnsi="宋体" w:eastAsia="宋体" w:cs="宋体"/>
                <w:color w:val="000000"/>
                <w:lang w:eastAsia="zh-CN"/>
              </w:rPr>
              <w:t>本表无数据</w:t>
            </w:r>
          </w:p>
        </w:tc>
        <w:tc>
          <w:tcPr>
            <w:tcW w:w="408" w:type="pct"/>
            <w:tcBorders>
              <w:top w:val="nil"/>
              <w:left w:val="nil"/>
              <w:bottom w:val="single" w:color="000000" w:sz="4" w:space="0"/>
              <w:right w:val="single" w:color="000000" w:sz="4" w:space="0"/>
            </w:tcBorders>
            <w:shd w:val="clear" w:color="auto" w:fill="FFFFFF" w:themeFill="background1"/>
            <w:noWrap/>
            <w:vAlign w:val="center"/>
          </w:tcPr>
          <w:p>
            <w:pPr>
              <w:spacing w:line="200" w:lineRule="exact"/>
              <w:jc w:val="right"/>
              <w:rPr>
                <w:rFonts w:ascii="宋体" w:hAnsi="宋体" w:eastAsia="宋体" w:cs="宋体"/>
                <w:b/>
                <w:bCs/>
                <w:color w:val="000000"/>
              </w:rPr>
            </w:pPr>
          </w:p>
        </w:tc>
        <w:tc>
          <w:tcPr>
            <w:tcW w:w="570" w:type="pct"/>
            <w:tcBorders>
              <w:top w:val="nil"/>
              <w:left w:val="nil"/>
              <w:bottom w:val="single" w:color="000000" w:sz="4" w:space="0"/>
              <w:right w:val="single" w:color="000000" w:sz="4" w:space="0"/>
            </w:tcBorders>
            <w:shd w:val="clear" w:color="auto" w:fill="FFFFFF" w:themeFill="background1"/>
            <w:noWrap/>
            <w:vAlign w:val="center"/>
          </w:tcPr>
          <w:p>
            <w:pPr>
              <w:spacing w:line="200" w:lineRule="exact"/>
              <w:jc w:val="right"/>
              <w:rPr>
                <w:rFonts w:ascii="宋体" w:hAnsi="宋体" w:eastAsia="宋体" w:cs="宋体"/>
                <w:b/>
                <w:bCs/>
                <w:color w:val="000000"/>
              </w:rPr>
            </w:pPr>
          </w:p>
        </w:tc>
      </w:tr>
      <w:tr>
        <w:tblPrEx>
          <w:tblCellMar>
            <w:top w:w="0" w:type="dxa"/>
            <w:left w:w="108" w:type="dxa"/>
            <w:bottom w:w="0" w:type="dxa"/>
            <w:right w:w="108" w:type="dxa"/>
          </w:tblCellMar>
        </w:tblPrEx>
        <w:trPr>
          <w:trHeight w:val="308" w:hRule="atLeast"/>
        </w:trPr>
        <w:tc>
          <w:tcPr>
            <w:tcW w:w="1221" w:type="pct"/>
            <w:gridSpan w:val="3"/>
            <w:tcBorders>
              <w:top w:val="nil"/>
              <w:left w:val="single" w:color="000000" w:sz="4" w:space="0"/>
              <w:bottom w:val="single" w:color="000000" w:sz="4" w:space="0"/>
              <w:right w:val="single" w:color="000000" w:sz="4" w:space="0"/>
            </w:tcBorders>
            <w:shd w:val="clear" w:color="auto" w:fill="auto"/>
            <w:noWrap/>
            <w:vAlign w:val="center"/>
          </w:tcPr>
          <w:p>
            <w:pPr>
              <w:spacing w:line="200" w:lineRule="exact"/>
              <w:rPr>
                <w:rFonts w:ascii="宋体" w:hAnsi="宋体" w:eastAsia="宋体" w:cs="宋体"/>
                <w:color w:val="000000"/>
              </w:rPr>
            </w:pPr>
          </w:p>
        </w:tc>
        <w:tc>
          <w:tcPr>
            <w:tcW w:w="922" w:type="pct"/>
            <w:tcBorders>
              <w:top w:val="nil"/>
              <w:left w:val="nil"/>
              <w:bottom w:val="single" w:color="000000" w:sz="4" w:space="0"/>
              <w:right w:val="single" w:color="000000" w:sz="4" w:space="0"/>
            </w:tcBorders>
            <w:shd w:val="clear" w:color="auto" w:fill="auto"/>
            <w:noWrap/>
            <w:vAlign w:val="center"/>
          </w:tcPr>
          <w:p>
            <w:pPr>
              <w:spacing w:line="200" w:lineRule="exact"/>
              <w:rPr>
                <w:rFonts w:ascii="宋体" w:hAnsi="宋体" w:eastAsia="宋体" w:cs="宋体"/>
                <w:color w:val="000000"/>
              </w:rPr>
            </w:pPr>
          </w:p>
        </w:tc>
        <w:tc>
          <w:tcPr>
            <w:tcW w:w="1876"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lang w:eastAsia="zh-CN"/>
              </w:rPr>
            </w:pPr>
            <w:r>
              <w:rPr>
                <w:rFonts w:hint="eastAsia" w:ascii="宋体" w:hAnsi="宋体" w:eastAsia="宋体" w:cs="宋体"/>
                <w:color w:val="000000"/>
                <w:lang w:eastAsia="zh-CN"/>
              </w:rPr>
              <w:t>本表无数据</w:t>
            </w:r>
          </w:p>
        </w:tc>
        <w:tc>
          <w:tcPr>
            <w:tcW w:w="408"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rPr>
            </w:pPr>
          </w:p>
        </w:tc>
        <w:tc>
          <w:tcPr>
            <w:tcW w:w="570"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1221" w:type="pct"/>
            <w:gridSpan w:val="3"/>
            <w:tcBorders>
              <w:top w:val="nil"/>
              <w:left w:val="single" w:color="000000" w:sz="4" w:space="0"/>
              <w:bottom w:val="single" w:color="000000" w:sz="4" w:space="0"/>
              <w:right w:val="single" w:color="000000" w:sz="4" w:space="0"/>
            </w:tcBorders>
            <w:shd w:val="clear" w:color="auto" w:fill="auto"/>
            <w:noWrap/>
            <w:vAlign w:val="center"/>
          </w:tcPr>
          <w:p>
            <w:pPr>
              <w:spacing w:line="200" w:lineRule="exact"/>
              <w:rPr>
                <w:rFonts w:ascii="宋体" w:hAnsi="宋体" w:eastAsia="宋体" w:cs="宋体"/>
                <w:color w:val="000000"/>
              </w:rPr>
            </w:pPr>
          </w:p>
        </w:tc>
        <w:tc>
          <w:tcPr>
            <w:tcW w:w="922" w:type="pct"/>
            <w:tcBorders>
              <w:top w:val="nil"/>
              <w:left w:val="nil"/>
              <w:bottom w:val="single" w:color="000000" w:sz="4" w:space="0"/>
              <w:right w:val="single" w:color="000000" w:sz="4" w:space="0"/>
            </w:tcBorders>
            <w:shd w:val="clear" w:color="auto" w:fill="auto"/>
            <w:noWrap/>
            <w:vAlign w:val="center"/>
          </w:tcPr>
          <w:p>
            <w:pPr>
              <w:spacing w:line="200" w:lineRule="exact"/>
              <w:rPr>
                <w:rFonts w:ascii="宋体" w:hAnsi="宋体" w:eastAsia="宋体" w:cs="宋体"/>
                <w:color w:val="000000"/>
              </w:rPr>
            </w:pPr>
          </w:p>
        </w:tc>
        <w:tc>
          <w:tcPr>
            <w:tcW w:w="1876"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rPr>
            </w:pPr>
            <w:r>
              <w:rPr>
                <w:rFonts w:hint="eastAsia" w:ascii="宋体" w:hAnsi="宋体" w:eastAsia="宋体" w:cs="宋体"/>
                <w:color w:val="000000"/>
                <w:lang w:eastAsia="zh-CN"/>
              </w:rPr>
              <w:t>本表无数据</w:t>
            </w:r>
          </w:p>
        </w:tc>
        <w:tc>
          <w:tcPr>
            <w:tcW w:w="408"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rPr>
            </w:pPr>
          </w:p>
        </w:tc>
        <w:tc>
          <w:tcPr>
            <w:tcW w:w="570"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1221" w:type="pct"/>
            <w:gridSpan w:val="3"/>
            <w:tcBorders>
              <w:top w:val="nil"/>
              <w:left w:val="single" w:color="000000" w:sz="4" w:space="0"/>
              <w:bottom w:val="single" w:color="000000" w:sz="4" w:space="0"/>
              <w:right w:val="single" w:color="000000" w:sz="4" w:space="0"/>
            </w:tcBorders>
            <w:shd w:val="clear" w:color="auto" w:fill="auto"/>
            <w:noWrap/>
            <w:vAlign w:val="center"/>
          </w:tcPr>
          <w:p>
            <w:pPr>
              <w:spacing w:line="200" w:lineRule="exact"/>
              <w:rPr>
                <w:rFonts w:ascii="宋体" w:hAnsi="宋体" w:eastAsia="宋体" w:cs="宋体"/>
                <w:color w:val="000000"/>
              </w:rPr>
            </w:pPr>
          </w:p>
        </w:tc>
        <w:tc>
          <w:tcPr>
            <w:tcW w:w="922" w:type="pct"/>
            <w:tcBorders>
              <w:top w:val="nil"/>
              <w:left w:val="nil"/>
              <w:bottom w:val="single" w:color="000000" w:sz="4" w:space="0"/>
              <w:right w:val="single" w:color="000000" w:sz="4" w:space="0"/>
            </w:tcBorders>
            <w:shd w:val="clear" w:color="auto" w:fill="auto"/>
            <w:noWrap/>
            <w:vAlign w:val="center"/>
          </w:tcPr>
          <w:p>
            <w:pPr>
              <w:spacing w:line="200" w:lineRule="exact"/>
              <w:rPr>
                <w:rFonts w:ascii="宋体" w:hAnsi="宋体" w:eastAsia="宋体" w:cs="宋体"/>
                <w:color w:val="000000"/>
              </w:rPr>
            </w:pPr>
          </w:p>
        </w:tc>
        <w:tc>
          <w:tcPr>
            <w:tcW w:w="1876"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rPr>
            </w:pPr>
            <w:r>
              <w:rPr>
                <w:rFonts w:hint="eastAsia" w:ascii="宋体" w:hAnsi="宋体" w:eastAsia="宋体" w:cs="宋体"/>
                <w:color w:val="000000"/>
                <w:lang w:eastAsia="zh-CN"/>
              </w:rPr>
              <w:t>本表无数据</w:t>
            </w:r>
          </w:p>
        </w:tc>
        <w:tc>
          <w:tcPr>
            <w:tcW w:w="408"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rPr>
            </w:pPr>
          </w:p>
        </w:tc>
        <w:tc>
          <w:tcPr>
            <w:tcW w:w="570"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1221" w:type="pct"/>
            <w:gridSpan w:val="3"/>
            <w:tcBorders>
              <w:top w:val="nil"/>
              <w:left w:val="single" w:color="000000" w:sz="4" w:space="0"/>
              <w:bottom w:val="single" w:color="000000" w:sz="4" w:space="0"/>
              <w:right w:val="single" w:color="000000" w:sz="4" w:space="0"/>
            </w:tcBorders>
            <w:shd w:val="clear" w:color="auto" w:fill="auto"/>
            <w:noWrap/>
            <w:vAlign w:val="center"/>
          </w:tcPr>
          <w:p>
            <w:pPr>
              <w:spacing w:line="200" w:lineRule="exact"/>
              <w:rPr>
                <w:rFonts w:ascii="宋体" w:hAnsi="宋体" w:eastAsia="宋体" w:cs="宋体"/>
                <w:color w:val="000000"/>
              </w:rPr>
            </w:pPr>
          </w:p>
        </w:tc>
        <w:tc>
          <w:tcPr>
            <w:tcW w:w="922" w:type="pct"/>
            <w:tcBorders>
              <w:top w:val="nil"/>
              <w:left w:val="nil"/>
              <w:bottom w:val="single" w:color="000000" w:sz="4" w:space="0"/>
              <w:right w:val="single" w:color="000000" w:sz="4" w:space="0"/>
            </w:tcBorders>
            <w:shd w:val="clear" w:color="auto" w:fill="auto"/>
            <w:noWrap/>
            <w:vAlign w:val="center"/>
          </w:tcPr>
          <w:p>
            <w:pPr>
              <w:spacing w:line="200" w:lineRule="exact"/>
              <w:rPr>
                <w:rFonts w:ascii="宋体" w:hAnsi="宋体" w:eastAsia="宋体" w:cs="宋体"/>
                <w:color w:val="000000"/>
              </w:rPr>
            </w:pPr>
          </w:p>
        </w:tc>
        <w:tc>
          <w:tcPr>
            <w:tcW w:w="1876"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rPr>
            </w:pPr>
            <w:r>
              <w:rPr>
                <w:rFonts w:hint="eastAsia" w:ascii="宋体" w:hAnsi="宋体" w:eastAsia="宋体" w:cs="宋体"/>
                <w:color w:val="000000"/>
                <w:lang w:eastAsia="zh-CN"/>
              </w:rPr>
              <w:t>本表无数据</w:t>
            </w:r>
          </w:p>
        </w:tc>
        <w:tc>
          <w:tcPr>
            <w:tcW w:w="408"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rPr>
            </w:pPr>
          </w:p>
        </w:tc>
        <w:tc>
          <w:tcPr>
            <w:tcW w:w="570"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1221" w:type="pct"/>
            <w:gridSpan w:val="3"/>
            <w:tcBorders>
              <w:top w:val="nil"/>
              <w:left w:val="single" w:color="000000" w:sz="4" w:space="0"/>
              <w:bottom w:val="single" w:color="000000" w:sz="4" w:space="0"/>
              <w:right w:val="single" w:color="000000" w:sz="4" w:space="0"/>
            </w:tcBorders>
            <w:shd w:val="clear" w:color="auto" w:fill="auto"/>
            <w:noWrap/>
            <w:vAlign w:val="center"/>
          </w:tcPr>
          <w:p>
            <w:pPr>
              <w:spacing w:line="200" w:lineRule="exact"/>
              <w:rPr>
                <w:rFonts w:ascii="宋体" w:hAnsi="宋体" w:eastAsia="宋体" w:cs="宋体"/>
                <w:color w:val="000000"/>
              </w:rPr>
            </w:pPr>
          </w:p>
        </w:tc>
        <w:tc>
          <w:tcPr>
            <w:tcW w:w="922" w:type="pct"/>
            <w:tcBorders>
              <w:top w:val="nil"/>
              <w:left w:val="nil"/>
              <w:bottom w:val="single" w:color="000000" w:sz="4" w:space="0"/>
              <w:right w:val="single" w:color="000000" w:sz="4" w:space="0"/>
            </w:tcBorders>
            <w:shd w:val="clear" w:color="auto" w:fill="auto"/>
            <w:noWrap/>
            <w:vAlign w:val="center"/>
          </w:tcPr>
          <w:p>
            <w:pPr>
              <w:spacing w:line="200" w:lineRule="exact"/>
              <w:rPr>
                <w:rFonts w:ascii="宋体" w:hAnsi="宋体" w:eastAsia="宋体" w:cs="宋体"/>
                <w:color w:val="000000"/>
              </w:rPr>
            </w:pPr>
          </w:p>
        </w:tc>
        <w:tc>
          <w:tcPr>
            <w:tcW w:w="1876"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rPr>
            </w:pPr>
          </w:p>
        </w:tc>
        <w:tc>
          <w:tcPr>
            <w:tcW w:w="408"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rPr>
            </w:pPr>
          </w:p>
        </w:tc>
        <w:tc>
          <w:tcPr>
            <w:tcW w:w="570"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1221" w:type="pct"/>
            <w:gridSpan w:val="3"/>
            <w:tcBorders>
              <w:top w:val="nil"/>
              <w:left w:val="single" w:color="000000" w:sz="4" w:space="0"/>
              <w:bottom w:val="single" w:color="000000" w:sz="4" w:space="0"/>
              <w:right w:val="single" w:color="000000" w:sz="4" w:space="0"/>
            </w:tcBorders>
            <w:shd w:val="clear" w:color="auto" w:fill="auto"/>
            <w:noWrap/>
            <w:vAlign w:val="center"/>
          </w:tcPr>
          <w:p>
            <w:pPr>
              <w:spacing w:line="200" w:lineRule="exact"/>
              <w:rPr>
                <w:rFonts w:ascii="宋体" w:hAnsi="宋体" w:eastAsia="宋体" w:cs="宋体"/>
                <w:color w:val="000000"/>
              </w:rPr>
            </w:pPr>
          </w:p>
        </w:tc>
        <w:tc>
          <w:tcPr>
            <w:tcW w:w="922" w:type="pct"/>
            <w:tcBorders>
              <w:top w:val="nil"/>
              <w:left w:val="nil"/>
              <w:bottom w:val="single" w:color="000000" w:sz="4" w:space="0"/>
              <w:right w:val="single" w:color="000000" w:sz="4" w:space="0"/>
            </w:tcBorders>
            <w:shd w:val="clear" w:color="auto" w:fill="auto"/>
            <w:noWrap/>
            <w:vAlign w:val="center"/>
          </w:tcPr>
          <w:p>
            <w:pPr>
              <w:spacing w:line="200" w:lineRule="exact"/>
              <w:rPr>
                <w:rFonts w:ascii="宋体" w:hAnsi="宋体" w:eastAsia="宋体" w:cs="宋体"/>
                <w:color w:val="000000"/>
              </w:rPr>
            </w:pPr>
          </w:p>
        </w:tc>
        <w:tc>
          <w:tcPr>
            <w:tcW w:w="1876"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highlight w:val="yellow"/>
              </w:rPr>
            </w:pPr>
            <w:r>
              <w:rPr>
                <w:rFonts w:hint="eastAsia" w:ascii="宋体" w:hAnsi="宋体" w:eastAsia="宋体" w:cs="宋体"/>
                <w:color w:val="000000"/>
                <w:lang w:eastAsia="zh-CN"/>
              </w:rPr>
              <w:t>本表无数据</w:t>
            </w:r>
          </w:p>
        </w:tc>
        <w:tc>
          <w:tcPr>
            <w:tcW w:w="408"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highlight w:val="yellow"/>
              </w:rPr>
            </w:pPr>
          </w:p>
        </w:tc>
        <w:tc>
          <w:tcPr>
            <w:tcW w:w="570" w:type="pct"/>
            <w:tcBorders>
              <w:top w:val="nil"/>
              <w:left w:val="nil"/>
              <w:bottom w:val="single" w:color="000000" w:sz="4" w:space="0"/>
              <w:right w:val="single" w:color="000000" w:sz="4" w:space="0"/>
            </w:tcBorders>
            <w:shd w:val="clear" w:color="auto" w:fill="auto"/>
            <w:noWrap/>
            <w:vAlign w:val="center"/>
          </w:tcPr>
          <w:p>
            <w:pPr>
              <w:spacing w:line="200" w:lineRule="exact"/>
              <w:jc w:val="right"/>
              <w:rPr>
                <w:rFonts w:ascii="宋体" w:hAnsi="宋体" w:eastAsia="宋体" w:cs="宋体"/>
                <w:color w:val="000000"/>
              </w:rPr>
            </w:pPr>
          </w:p>
        </w:tc>
      </w:tr>
      <w:tr>
        <w:tblPrEx>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pPr>
              <w:textAlignment w:val="center"/>
              <w:rPr>
                <w:rFonts w:ascii="宋体" w:hAnsi="宋体" w:eastAsia="宋体" w:cs="宋体"/>
                <w:color w:val="000000"/>
                <w:lang w:eastAsia="zh-CN"/>
              </w:rPr>
            </w:pPr>
            <w:r>
              <w:rPr>
                <w:rFonts w:hint="eastAsia" w:ascii="宋体" w:hAnsi="宋体" w:eastAsia="宋体" w:cs="宋体"/>
                <w:color w:val="000000"/>
                <w:lang w:eastAsia="zh-CN"/>
              </w:rPr>
              <w:t>注：本表反映部门本年度国有资本经营预算财政拨款支出情况。</w:t>
            </w:r>
          </w:p>
        </w:tc>
      </w:tr>
    </w:tbl>
    <w:p>
      <w:pPr>
        <w:rPr>
          <w:rFonts w:ascii="黑体" w:hAnsi="黑体" w:eastAsia="黑体" w:cstheme="minorEastAsia"/>
          <w:color w:val="000000" w:themeColor="text1"/>
          <w:sz w:val="28"/>
          <w:szCs w:val="28"/>
          <w:lang w:eastAsia="zh-CN"/>
          <w14:textFill>
            <w14:solidFill>
              <w14:schemeClr w14:val="tx1"/>
            </w14:solidFill>
          </w14:textFill>
        </w:rPr>
        <w:sectPr>
          <w:pgSz w:w="16838" w:h="11906" w:orient="landscape"/>
          <w:pgMar w:top="1800" w:right="1440" w:bottom="1800" w:left="1440" w:header="851" w:footer="992" w:gutter="0"/>
          <w:cols w:space="720" w:num="1"/>
          <w:docGrid w:type="lines" w:linePitch="312" w:charSpace="0"/>
        </w:sectPr>
      </w:pPr>
    </w:p>
    <w:p>
      <w:pPr>
        <w:autoSpaceDE w:val="0"/>
        <w:autoSpaceDN w:val="0"/>
        <w:adjustRightInd w:val="0"/>
        <w:spacing w:line="460" w:lineRule="exact"/>
        <w:jc w:val="center"/>
        <w:rPr>
          <w:rFonts w:ascii="黑体" w:eastAsia="黑体" w:cs="黑体"/>
          <w:color w:val="000000"/>
          <w:sz w:val="70"/>
          <w:szCs w:val="70"/>
          <w:lang w:eastAsia="zh-CN"/>
        </w:rPr>
      </w:pPr>
      <w:r>
        <w:rPr>
          <w:rFonts w:hint="eastAsia" w:ascii="黑体" w:hAnsi="黑体" w:eastAsia="黑体" w:cs="黑体"/>
          <w:b/>
          <w:sz w:val="44"/>
          <w:szCs w:val="44"/>
          <w:lang w:eastAsia="zh-CN"/>
        </w:rPr>
        <w:t>第三部分 2021年度部门决算情况说明</w:t>
      </w:r>
    </w:p>
    <w:p>
      <w:pPr>
        <w:pStyle w:val="51"/>
        <w:spacing w:line="600" w:lineRule="exact"/>
        <w:ind w:firstLine="643" w:firstLineChars="200"/>
        <w:outlineLvl w:val="1"/>
        <w:rPr>
          <w:rFonts w:hAnsi="黑体" w:cs="Times New Roman"/>
          <w:b/>
          <w:bCs/>
          <w:color w:val="auto"/>
          <w:sz w:val="32"/>
          <w:szCs w:val="32"/>
        </w:rPr>
      </w:pPr>
      <w:r>
        <w:rPr>
          <w:rFonts w:hAnsi="黑体" w:cs="Times New Roman"/>
          <w:b/>
          <w:bCs/>
          <w:color w:val="auto"/>
          <w:sz w:val="32"/>
          <w:szCs w:val="32"/>
        </w:rPr>
        <w:t>一、收入支出决算总体情况说明</w:t>
      </w:r>
    </w:p>
    <w:p>
      <w:pPr>
        <w:pStyle w:val="51"/>
        <w:spacing w:line="600" w:lineRule="exact"/>
        <w:ind w:firstLine="640" w:firstLineChars="200"/>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2021年度收、支总计8285.36万元。与2020年相比，增加2372.87万元，增长40%，主要是因为疫情的影响比2020年小，税收收入增加。</w:t>
      </w:r>
    </w:p>
    <w:p>
      <w:pPr>
        <w:pStyle w:val="51"/>
        <w:spacing w:line="600" w:lineRule="exact"/>
        <w:ind w:firstLine="643" w:firstLineChars="200"/>
        <w:outlineLvl w:val="1"/>
        <w:rPr>
          <w:rFonts w:hAnsi="黑体" w:cs="Times New Roman"/>
          <w:b/>
          <w:bCs/>
          <w:color w:val="auto"/>
          <w:sz w:val="32"/>
          <w:szCs w:val="32"/>
        </w:rPr>
      </w:pPr>
      <w:r>
        <w:rPr>
          <w:rFonts w:hAnsi="黑体" w:cs="Times New Roman"/>
          <w:b/>
          <w:bCs/>
          <w:color w:val="auto"/>
          <w:sz w:val="32"/>
          <w:szCs w:val="32"/>
        </w:rPr>
        <w:t>二、收入决算情况说明</w:t>
      </w:r>
    </w:p>
    <w:p>
      <w:pPr>
        <w:pStyle w:val="51"/>
        <w:spacing w:line="600" w:lineRule="exact"/>
        <w:ind w:firstLine="640" w:firstLineChars="200"/>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本年收入合计8285.36万元，主要是因为疫情的影响比2020年小，税收收入增加。</w:t>
      </w:r>
    </w:p>
    <w:p>
      <w:pPr>
        <w:pStyle w:val="51"/>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b w:val="0"/>
          <w:bCs w:val="0"/>
          <w:color w:val="auto"/>
          <w:sz w:val="32"/>
          <w:szCs w:val="32"/>
        </w:rPr>
        <w:t>其中：财政拨款收入7029.03万元，占85 %；上级补助收入1256.33万元，占15 %；事业收入0万元，占%；经营收入0 万元；附属单位上缴收入0万元；其他收入0万元</w:t>
      </w:r>
      <w:r>
        <w:rPr>
          <w:rFonts w:ascii="Times New Roman" w:hAnsi="Times New Roman" w:eastAsia="仿宋_GB2312" w:cs="Times New Roman"/>
          <w:color w:val="auto"/>
          <w:sz w:val="32"/>
          <w:szCs w:val="32"/>
        </w:rPr>
        <w:t>。</w:t>
      </w:r>
    </w:p>
    <w:p>
      <w:pPr>
        <w:pStyle w:val="51"/>
        <w:spacing w:line="600" w:lineRule="exact"/>
        <w:ind w:firstLine="643" w:firstLineChars="200"/>
        <w:outlineLvl w:val="1"/>
        <w:rPr>
          <w:rFonts w:hAnsi="黑体" w:cs="Times New Roman"/>
          <w:color w:val="auto"/>
          <w:sz w:val="32"/>
          <w:szCs w:val="32"/>
        </w:rPr>
      </w:pPr>
      <w:r>
        <w:rPr>
          <w:rFonts w:hAnsi="黑体" w:cs="Times New Roman"/>
          <w:b/>
          <w:bCs/>
          <w:color w:val="auto"/>
          <w:sz w:val="32"/>
          <w:szCs w:val="32"/>
        </w:rPr>
        <w:t>三、支出决算情况说明</w:t>
      </w:r>
    </w:p>
    <w:p>
      <w:pPr>
        <w:pStyle w:val="51"/>
        <w:spacing w:line="600" w:lineRule="exact"/>
        <w:ind w:firstLine="640" w:firstLineChars="200"/>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本年支出合计 8285.36万元，主要是因为疫情的影响比2020年小，税收增加,税收成本也增加。</w:t>
      </w:r>
    </w:p>
    <w:p>
      <w:pPr>
        <w:pStyle w:val="51"/>
        <w:spacing w:line="600" w:lineRule="exact"/>
        <w:ind w:firstLine="640" w:firstLineChars="200"/>
        <w:rPr>
          <w:rFonts w:hAnsi="黑体" w:cs="Times New Roman"/>
          <w:color w:val="auto"/>
          <w:sz w:val="32"/>
          <w:szCs w:val="32"/>
        </w:rPr>
      </w:pPr>
      <w:r>
        <w:rPr>
          <w:rFonts w:hint="eastAsia" w:ascii="Times New Roman" w:hAnsi="Times New Roman" w:eastAsia="仿宋_GB2312" w:cs="Times New Roman"/>
          <w:b w:val="0"/>
          <w:bCs w:val="0"/>
          <w:color w:val="auto"/>
          <w:sz w:val="32"/>
          <w:szCs w:val="32"/>
        </w:rPr>
        <w:t>其中：基本支出8285.36万元，占100%；项目支出0万元；上缴上级支出0万元；经营支出0万元；对附属单位补助支出   0万元。</w:t>
      </w:r>
    </w:p>
    <w:p>
      <w:pPr>
        <w:pStyle w:val="51"/>
        <w:spacing w:line="600" w:lineRule="exact"/>
        <w:ind w:firstLine="643" w:firstLineChars="200"/>
        <w:outlineLvl w:val="1"/>
        <w:rPr>
          <w:rFonts w:hAnsi="黑体" w:cs="Times New Roman"/>
          <w:b/>
          <w:bCs/>
          <w:color w:val="auto"/>
          <w:sz w:val="32"/>
          <w:szCs w:val="32"/>
        </w:rPr>
      </w:pPr>
      <w:r>
        <w:rPr>
          <w:rFonts w:hAnsi="黑体" w:cs="Times New Roman"/>
          <w:b/>
          <w:bCs/>
          <w:color w:val="auto"/>
          <w:sz w:val="32"/>
          <w:szCs w:val="32"/>
        </w:rPr>
        <w:t>四、财政拨款收入支出决算总体情况说明</w:t>
      </w:r>
    </w:p>
    <w:p>
      <w:pPr>
        <w:pStyle w:val="51"/>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b w:val="0"/>
          <w:bCs w:val="0"/>
          <w:color w:val="auto"/>
          <w:sz w:val="32"/>
          <w:szCs w:val="32"/>
        </w:rPr>
        <w:t xml:space="preserve"> 2021年度财政拨款收、支总计7029.03万元，与2020年相比，增加2667万元,增长38 %，主要是因为疫情的影响比2020年小，税收收入增</w:t>
      </w:r>
      <w:r>
        <w:rPr>
          <w:rFonts w:hint="eastAsia" w:ascii="Times New Roman" w:hAnsi="Times New Roman" w:eastAsia="仿宋_GB2312" w:cs="Times New Roman"/>
          <w:color w:val="auto"/>
          <w:sz w:val="32"/>
          <w:szCs w:val="32"/>
        </w:rPr>
        <w:t>加。</w:t>
      </w:r>
    </w:p>
    <w:p>
      <w:pPr>
        <w:pStyle w:val="51"/>
        <w:spacing w:line="600" w:lineRule="exact"/>
        <w:ind w:firstLine="643" w:firstLineChars="200"/>
        <w:outlineLvl w:val="1"/>
        <w:rPr>
          <w:rFonts w:hAnsi="黑体" w:cs="Times New Roman"/>
          <w:color w:val="auto"/>
          <w:sz w:val="32"/>
          <w:szCs w:val="32"/>
        </w:rPr>
      </w:pPr>
      <w:r>
        <w:rPr>
          <w:rFonts w:hAnsi="黑体" w:cs="Times New Roman"/>
          <w:b/>
          <w:bCs/>
          <w:color w:val="auto"/>
          <w:sz w:val="32"/>
          <w:szCs w:val="32"/>
        </w:rPr>
        <w:t>五、一般公共预算财政拨款支出决算情况说明</w:t>
      </w:r>
    </w:p>
    <w:p>
      <w:pPr>
        <w:pStyle w:val="51"/>
        <w:spacing w:line="600" w:lineRule="exact"/>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（一）一般公共预算财政拨款支出决算总体情况</w:t>
      </w:r>
    </w:p>
    <w:p>
      <w:pPr>
        <w:pStyle w:val="51"/>
        <w:spacing w:line="600" w:lineRule="exact"/>
        <w:ind w:firstLine="640" w:firstLineChars="200"/>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2021年度一般公共预算财政拨款支出7021.03万元，占本年支出合计的 85%，与2020年相比，财政拨款支出增加2667万元，增长38 %，主要是因为疫情的影响比2020年小，税收增加,税收成本也增加。</w:t>
      </w:r>
    </w:p>
    <w:p>
      <w:pPr>
        <w:pStyle w:val="51"/>
        <w:spacing w:line="600" w:lineRule="exact"/>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（二）一般公共预算财政拨款支出决算结构情况</w:t>
      </w:r>
    </w:p>
    <w:p>
      <w:pPr>
        <w:pStyle w:val="29"/>
        <w:numPr>
          <w:ilvl w:val="0"/>
          <w:numId w:val="0"/>
        </w:numPr>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b w:val="0"/>
          <w:bCs w:val="0"/>
          <w:color w:val="auto"/>
          <w:sz w:val="32"/>
          <w:szCs w:val="32"/>
          <w:lang w:val="en-US" w:eastAsia="zh-CN" w:bidi="ar-SA"/>
        </w:rPr>
        <w:t>2021年度一般公共预算财政拨款支出7021.03万元，主要用于以下方面：一般公共服务（类）支出 1692.45万元，占24%；（2）文化旅游体育与传媒支出48.48万元，占0.7%；（3）社会保障和就业支出356.97万元，占5%；（4）节能环保支出208.46万元，占3%；（5）卫生健康支出134.52万元，占1.9%；（6）城乡社区支出89.43万元，占1.2%；(7)农林水支出1026.59万元，占15%；（8）资源勘探信息等支出3030万元。占43%；（9）住房保障支出281.35万元。占4%；（10）灾害防治及应急管理支出154.78万元。占2.2%；</w:t>
      </w:r>
    </w:p>
    <w:p>
      <w:pPr>
        <w:pStyle w:val="51"/>
        <w:spacing w:line="600" w:lineRule="exact"/>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（三）一般公共预算财政拨款支出决算具体情况</w:t>
      </w:r>
    </w:p>
    <w:p>
      <w:pPr>
        <w:pStyle w:val="51"/>
        <w:spacing w:line="600" w:lineRule="exact"/>
        <w:ind w:firstLine="640" w:firstLineChars="200"/>
        <w:rPr>
          <w:rFonts w:ascii="黑体" w:hAnsi="黑体" w:eastAsia="黑体" w:cstheme="minorEastAsia"/>
          <w:color w:val="000000" w:themeColor="text1"/>
          <w:sz w:val="28"/>
          <w:szCs w:val="28"/>
          <w:lang w:eastAsia="zh-CN"/>
          <w14:textFill>
            <w14:solidFill>
              <w14:schemeClr w14:val="tx1"/>
            </w14:solidFill>
          </w14:textFill>
        </w:rPr>
      </w:pPr>
      <w:r>
        <w:rPr>
          <w:rFonts w:hint="eastAsia" w:ascii="Times New Roman" w:hAnsi="Times New Roman" w:eastAsia="仿宋_GB2312" w:cs="Times New Roman"/>
          <w:b w:val="0"/>
          <w:bCs w:val="0"/>
          <w:color w:val="auto"/>
          <w:sz w:val="32"/>
          <w:szCs w:val="32"/>
          <w:lang w:val="en-US" w:eastAsia="zh-CN" w:bidi="ar-SA"/>
        </w:rPr>
        <w:t>2021年度一般公共预算财政拨款支出年初预算数为7021.03万元，支出决算数为7021.03万元，完成年初预算的100 %，</w:t>
      </w:r>
      <w:r>
        <w:rPr>
          <w:rFonts w:hint="eastAsia" w:ascii="Times New Roman" w:hAnsi="Times New Roman" w:eastAsia="仿宋_GB2312" w:cs="Times New Roman"/>
          <w:b w:val="0"/>
          <w:bCs w:val="0"/>
          <w:color w:val="auto"/>
          <w:sz w:val="32"/>
          <w:szCs w:val="32"/>
        </w:rPr>
        <w:t>其中：</w:t>
      </w:r>
    </w:p>
    <w:p>
      <w:pPr>
        <w:numPr>
          <w:ilvl w:val="0"/>
          <w:numId w:val="0"/>
        </w:numPr>
        <w:ind w:left="100" w:leftChars="0" w:firstLine="560" w:firstLineChars="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 xml:space="preserve">1、一般公共服务支出-政府办公室及相关机构事务-行政运行:年初预算数为1514.09万元,支出为1514.09万元，  完成年初预算100%；  </w:t>
      </w:r>
    </w:p>
    <w:p>
      <w:pPr>
        <w:numPr>
          <w:ilvl w:val="0"/>
          <w:numId w:val="0"/>
        </w:numPr>
        <w:ind w:left="100" w:leftChars="0" w:firstLine="560" w:firstLineChars="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2、一般公共服务支出-发展与改革事务-行政运行:年初预算103.17万元,支出为103.17万元，完成年初预算100%；</w:t>
      </w:r>
    </w:p>
    <w:p>
      <w:pPr>
        <w:numPr>
          <w:ilvl w:val="0"/>
          <w:numId w:val="0"/>
        </w:numPr>
        <w:ind w:left="100" w:leftChars="0" w:firstLine="560" w:firstLineChars="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3、一般公共服务支出-财政事务-行政运行:年初预算数为59.5万元,支出为59.5万元，完成年初预算100%；</w:t>
      </w:r>
    </w:p>
    <w:p>
      <w:pPr>
        <w:numPr>
          <w:ilvl w:val="0"/>
          <w:numId w:val="0"/>
        </w:numPr>
        <w:ind w:left="100" w:leftChars="0" w:firstLine="560" w:firstLineChars="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4、一般公共服务支出-其他一般公共服务支出-其他一般公共服务支出：年初预算数为15.7万元,支出为15.7万元，完成年初预算100%；</w:t>
      </w:r>
    </w:p>
    <w:p>
      <w:pPr>
        <w:numPr>
          <w:ilvl w:val="0"/>
          <w:numId w:val="0"/>
        </w:numPr>
        <w:ind w:left="100" w:leftChars="0" w:firstLine="560" w:firstLineChars="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5、文化旅游体育与传媒支出-文化和旅游-行政运行:年初预算数为46.48万元,支出为46.48万元，完成年初预算100%；</w:t>
      </w:r>
    </w:p>
    <w:p>
      <w:pPr>
        <w:numPr>
          <w:ilvl w:val="0"/>
          <w:numId w:val="0"/>
        </w:numPr>
        <w:ind w:left="100" w:leftChars="0" w:firstLine="560" w:firstLineChars="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6、社会保障和就业支出-人力资源和社会保障管理事务-行政运行:年初预算数为142.91万元,支出为142.91万元，完成年初预算100%；</w:t>
      </w:r>
    </w:p>
    <w:p>
      <w:pPr>
        <w:numPr>
          <w:ilvl w:val="0"/>
          <w:numId w:val="0"/>
        </w:numPr>
        <w:ind w:left="100" w:leftChars="0" w:firstLine="560" w:firstLineChars="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7、社会保障和就业支出-行政事业单位养老支出-机关事业单位基本养老保险缴费支出:年初预算数为72.43万元,支出为72.43万元，完成年初预算100%；</w:t>
      </w:r>
    </w:p>
    <w:p>
      <w:pPr>
        <w:numPr>
          <w:ilvl w:val="0"/>
          <w:numId w:val="0"/>
        </w:numPr>
        <w:ind w:left="100" w:leftChars="0" w:firstLine="560" w:firstLineChars="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8、社会保障和就业支出-行政事业单位养老支出-机关事业单位职业年金缴费支出:年初预算数为55.85万元,支出为55.85万元，完成年初预算100%；</w:t>
      </w:r>
    </w:p>
    <w:p>
      <w:pPr>
        <w:numPr>
          <w:ilvl w:val="0"/>
          <w:numId w:val="0"/>
        </w:numPr>
        <w:ind w:left="100" w:leftChars="0" w:firstLine="560" w:firstLineChars="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9、社会保障和就业支出-退役安置-退役士兵安置:年初预算数为16.6万元,支出为16.6万元，完成年初预算100%；</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10、社会保障和就业支出-抚恤-死亡抚恤: 年初预算数为57.13万元,支出为57.13万元，完成年初预算100%；</w:t>
      </w:r>
    </w:p>
    <w:p>
      <w:pPr>
        <w:numPr>
          <w:ilvl w:val="0"/>
          <w:numId w:val="0"/>
        </w:numPr>
        <w:ind w:left="100" w:leftChars="0" w:firstLine="560" w:firstLineChars="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11、社会保障和就业支出-财政对其他社会保险基金的补助-财政对失业保险基金的补助:年初预算数为5.86万元,支出为5.86万元，完成年初预算100%；</w:t>
      </w:r>
    </w:p>
    <w:p>
      <w:pPr>
        <w:numPr>
          <w:ilvl w:val="0"/>
          <w:numId w:val="0"/>
        </w:numPr>
        <w:ind w:left="100" w:leftChars="0" w:firstLine="560" w:firstLineChars="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12、社会保障和就业支出-财政对其他社会保险基金的补助-财政对工伤保险基金的补助:年初预算数为6.19万元,支出为6.19万元，完成年初预算100%；</w:t>
      </w:r>
    </w:p>
    <w:p>
      <w:pPr>
        <w:ind w:firstLine="320" w:firstLineChars="10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13、卫生健康支出-财政对基本医疗保险基金的补助-财政对职工基本医疗保险基金的补助:年初预算数为134.52万元,支出为134.52万元，完成年初预算100%；</w:t>
      </w:r>
    </w:p>
    <w:p>
      <w:pPr>
        <w:ind w:left="440" w:leftChars="20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14、节能环保支出-自然生态保护-农村环境保护:年初预算数为208.46万元,支出为208.46万元，完成年初预算100%；</w:t>
      </w:r>
    </w:p>
    <w:p>
      <w:pPr>
        <w:ind w:left="440" w:leftChars="20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15、城乡社区支出-城乡社区管理事务-城管执法:年初预算数为51.43万元,支出为51.43万元，完成年初预算100%；</w:t>
      </w:r>
    </w:p>
    <w:p>
      <w:pPr>
        <w:ind w:left="440" w:leftChars="200"/>
        <w:rPr>
          <w:rFonts w:hint="default"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16、城乡社区支出-城乡社区公共设施-其他城乡社区公共设施支出:年初预算数为38万元,支出为38万元，完成年初预算100%；</w:t>
      </w:r>
    </w:p>
    <w:p>
      <w:pPr>
        <w:ind w:left="440" w:leftChars="20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17、农林水支出-农业农村-行政运行:年初预算数为135.15万元,支出为135.15万元，完成年初预算100%；</w:t>
      </w:r>
    </w:p>
    <w:p>
      <w:pPr>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 xml:space="preserve">   18、农林水支出-农村综合改革-对村民委员会和村党支部的补助:年初预算数为552.44万元,支出为552.44万元，完成年初预算100%；</w:t>
      </w:r>
    </w:p>
    <w:p>
      <w:pPr>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 xml:space="preserve">   19、农林水支出-农村综合改革-其他农村综合改革支出: 年初预算数为339万元,支出为339万元，完成年初预算100%；</w:t>
      </w:r>
    </w:p>
    <w:p>
      <w:pPr>
        <w:ind w:left="440" w:leftChars="20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20、资源勘探信息等支出-支持中小企业发展和管理支出-其它支持中小企业发展和管理支出：年初预算数为3030万元, 支出为3030万元， 完成年初预算100%；</w:t>
      </w:r>
    </w:p>
    <w:p>
      <w:pPr>
        <w:ind w:left="440" w:leftChars="20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21、住房保障支出-住房改革支出-住房公积金：年初预算数为281.35万元,支出为281.35万元，完成年初预算100%；</w:t>
      </w:r>
    </w:p>
    <w:p>
      <w:pPr>
        <w:ind w:left="440" w:leftChars="20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22、灾害防治及应急管理支出-应急管理事务:年初预算数为154.78万元,支出为154.78万元，完成年初预算100%；</w:t>
      </w:r>
    </w:p>
    <w:p>
      <w:pPr>
        <w:pStyle w:val="51"/>
        <w:spacing w:line="600" w:lineRule="exact"/>
        <w:outlineLvl w:val="1"/>
        <w:rPr>
          <w:rFonts w:hAnsi="黑体" w:cs="Times New Roman"/>
          <w:color w:val="auto"/>
          <w:sz w:val="32"/>
          <w:szCs w:val="32"/>
        </w:rPr>
      </w:pPr>
      <w:r>
        <w:rPr>
          <w:rFonts w:hAnsi="黑体" w:cs="Times New Roman"/>
          <w:color w:val="auto"/>
          <w:sz w:val="32"/>
          <w:szCs w:val="32"/>
        </w:rPr>
        <w:t>六、一般公共预算财政拨款基本支出决算情况说明</w:t>
      </w:r>
    </w:p>
    <w:p>
      <w:pPr>
        <w:pStyle w:val="51"/>
        <w:spacing w:line="600" w:lineRule="exact"/>
        <w:ind w:firstLine="640" w:firstLineChars="200"/>
        <w:rPr>
          <w:rFonts w:hAnsi="黑体" w:cs="Times New Roman"/>
          <w:color w:val="auto"/>
          <w:sz w:val="32"/>
          <w:szCs w:val="32"/>
        </w:rPr>
      </w:pPr>
      <w:r>
        <w:rPr>
          <w:rFonts w:hint="eastAsia" w:ascii="Times New Roman" w:hAnsi="Times New Roman" w:eastAsia="仿宋_GB2312" w:cs="Times New Roman"/>
          <w:b w:val="0"/>
          <w:bCs w:val="0"/>
          <w:color w:val="auto"/>
          <w:sz w:val="32"/>
          <w:szCs w:val="32"/>
        </w:rPr>
        <w:t>2021年度一般公共预算财政拨款基本支出7021.03万元，其中：人员经费2439.1</w:t>
      </w:r>
      <w:r>
        <w:rPr>
          <w:rFonts w:hint="eastAsia" w:ascii="Times New Roman" w:hAnsi="Times New Roman" w:eastAsia="仿宋_GB2312" w:cs="Times New Roman"/>
          <w:b w:val="0"/>
          <w:bCs w:val="0"/>
          <w:color w:val="auto"/>
          <w:sz w:val="32"/>
          <w:szCs w:val="32"/>
          <w:lang w:val="en-US" w:eastAsia="zh-CN"/>
        </w:rPr>
        <w:t>2</w:t>
      </w:r>
      <w:r>
        <w:rPr>
          <w:rFonts w:hint="eastAsia" w:ascii="Times New Roman" w:hAnsi="Times New Roman" w:eastAsia="仿宋_GB2312" w:cs="Times New Roman"/>
          <w:b w:val="0"/>
          <w:bCs w:val="0"/>
          <w:color w:val="auto"/>
          <w:sz w:val="32"/>
          <w:szCs w:val="32"/>
        </w:rPr>
        <w:t>万元，占基本支出的34.7%,主要包括基本工资、津贴补贴、奖金、伙食补助费、绩效工资、机关事业单位基本养老保险缴费、职业年金缴费、职工基本医疗保险缴费、其他社会保障缴费、住房公积金、其他工资福利支出、抚恤金、医疗费补助、其他对个人和家庭的补助;公用经费 4581.91  万元，占基本支出的 65.3 %，主要包括办公费、印刷费、咨询费、手续费、电费、邮电费、差旅费、维修（护）费、租赁费、会议费、培训费、公务接待费、专用材料费、劳务费、委托业务费、其他交通费用、其他商品和服务支出。</w:t>
      </w:r>
    </w:p>
    <w:p>
      <w:pPr>
        <w:pStyle w:val="51"/>
        <w:spacing w:line="600" w:lineRule="exact"/>
        <w:ind w:firstLine="643" w:firstLineChars="200"/>
        <w:outlineLvl w:val="1"/>
        <w:rPr>
          <w:rFonts w:hAnsi="黑体" w:cs="Times New Roman"/>
          <w:b/>
          <w:bCs/>
          <w:color w:val="auto"/>
          <w:sz w:val="32"/>
          <w:szCs w:val="32"/>
        </w:rPr>
      </w:pPr>
      <w:r>
        <w:rPr>
          <w:rFonts w:hAnsi="黑体" w:cs="Times New Roman"/>
          <w:b/>
          <w:bCs/>
          <w:color w:val="auto"/>
          <w:sz w:val="32"/>
          <w:szCs w:val="32"/>
        </w:rPr>
        <w:t>七、一般公共预算财政拨款三公经费支出决算情况说明</w:t>
      </w:r>
    </w:p>
    <w:p>
      <w:pPr>
        <w:pStyle w:val="51"/>
        <w:spacing w:line="600" w:lineRule="exact"/>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pPr>
        <w:pStyle w:val="51"/>
        <w:spacing w:line="600" w:lineRule="exact"/>
        <w:ind w:firstLine="640" w:firstLineChars="200"/>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“三公”经费财政拨款支出预算为2.56万元，支出决算为2.56万元，完成预算的</w:t>
      </w:r>
      <w:r>
        <w:rPr>
          <w:rFonts w:hint="eastAsia" w:ascii="Times New Roman" w:hAnsi="Times New Roman" w:eastAsia="仿宋_GB2312" w:cs="Times New Roman"/>
          <w:b w:val="0"/>
          <w:bCs w:val="0"/>
          <w:color w:val="auto"/>
          <w:sz w:val="32"/>
          <w:szCs w:val="32"/>
          <w:lang w:val="en-US" w:eastAsia="zh-CN"/>
        </w:rPr>
        <w:t>100</w:t>
      </w:r>
      <w:r>
        <w:rPr>
          <w:rFonts w:hint="eastAsia" w:ascii="Times New Roman" w:hAnsi="Times New Roman" w:eastAsia="仿宋_GB2312" w:cs="Times New Roman"/>
          <w:b w:val="0"/>
          <w:bCs w:val="0"/>
          <w:color w:val="auto"/>
          <w:sz w:val="32"/>
          <w:szCs w:val="32"/>
        </w:rPr>
        <w:t>%，其中：</w:t>
      </w:r>
    </w:p>
    <w:p>
      <w:pPr>
        <w:pStyle w:val="51"/>
        <w:spacing w:line="600" w:lineRule="exact"/>
        <w:ind w:firstLine="640" w:firstLineChars="200"/>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因公出国（境）费支出预算为0万元，支出决算为0万元</w:t>
      </w:r>
      <w:r>
        <w:rPr>
          <w:rFonts w:hint="eastAsia" w:ascii="Times New Roman" w:hAnsi="Times New Roman" w:eastAsia="仿宋_GB2312" w:cs="Times New Roman"/>
          <w:b w:val="0"/>
          <w:bCs w:val="0"/>
          <w:color w:val="auto"/>
          <w:sz w:val="32"/>
          <w:szCs w:val="32"/>
          <w:lang w:eastAsia="zh-CN"/>
        </w:rPr>
        <w:t>，</w:t>
      </w:r>
      <w:r>
        <w:rPr>
          <w:rFonts w:hint="eastAsia" w:ascii="Times New Roman" w:hAnsi="Times New Roman" w:eastAsia="仿宋_GB2312" w:cs="Times New Roman"/>
          <w:b w:val="0"/>
          <w:bCs w:val="0"/>
          <w:color w:val="auto"/>
          <w:sz w:val="32"/>
          <w:szCs w:val="32"/>
          <w:lang w:val="en-US" w:eastAsia="zh-CN"/>
        </w:rPr>
        <w:t>与上年无变化</w:t>
      </w:r>
      <w:r>
        <w:rPr>
          <w:rFonts w:hint="eastAsia" w:ascii="Times New Roman" w:hAnsi="Times New Roman" w:eastAsia="仿宋_GB2312" w:cs="Times New Roman"/>
          <w:b w:val="0"/>
          <w:bCs w:val="0"/>
          <w:color w:val="auto"/>
          <w:sz w:val="32"/>
          <w:szCs w:val="32"/>
        </w:rPr>
        <w:t>。</w:t>
      </w:r>
    </w:p>
    <w:p>
      <w:pPr>
        <w:pStyle w:val="51"/>
        <w:spacing w:line="600" w:lineRule="exact"/>
        <w:ind w:firstLine="640" w:firstLineChars="200"/>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公务接待费支出预算2.56万元，支出决算为2.56万元，完成预算的 100 %，与上年相比增加0.31万元，增长14 %,增长的主要原因是接待上级检查次数比上年多。</w:t>
      </w:r>
    </w:p>
    <w:p>
      <w:pPr>
        <w:pStyle w:val="51"/>
        <w:spacing w:line="600" w:lineRule="exact"/>
        <w:ind w:firstLine="640" w:firstLineChars="200"/>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公务用车购置费及运行维护费支出预算为0万元，支出决算为0万元</w:t>
      </w:r>
      <w:r>
        <w:rPr>
          <w:rFonts w:hint="eastAsia" w:ascii="Times New Roman" w:hAnsi="Times New Roman" w:eastAsia="仿宋_GB2312" w:cs="Times New Roman"/>
          <w:b w:val="0"/>
          <w:bCs w:val="0"/>
          <w:color w:val="auto"/>
          <w:sz w:val="32"/>
          <w:szCs w:val="32"/>
          <w:lang w:eastAsia="zh-CN"/>
        </w:rPr>
        <w:t>，</w:t>
      </w:r>
      <w:r>
        <w:rPr>
          <w:rFonts w:hint="eastAsia" w:ascii="Times New Roman" w:hAnsi="Times New Roman" w:eastAsia="仿宋_GB2312" w:cs="Times New Roman"/>
          <w:b w:val="0"/>
          <w:bCs w:val="0"/>
          <w:color w:val="auto"/>
          <w:sz w:val="32"/>
          <w:szCs w:val="32"/>
          <w:lang w:val="en-US" w:eastAsia="zh-CN"/>
        </w:rPr>
        <w:t>与上年无变化</w:t>
      </w:r>
      <w:r>
        <w:rPr>
          <w:rFonts w:hint="eastAsia" w:ascii="Times New Roman" w:hAnsi="Times New Roman" w:eastAsia="仿宋_GB2312" w:cs="Times New Roman"/>
          <w:b w:val="0"/>
          <w:bCs w:val="0"/>
          <w:color w:val="auto"/>
          <w:sz w:val="32"/>
          <w:szCs w:val="32"/>
        </w:rPr>
        <w:t>。</w:t>
      </w:r>
    </w:p>
    <w:p>
      <w:pPr>
        <w:pStyle w:val="51"/>
        <w:spacing w:line="600" w:lineRule="exact"/>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pPr>
        <w:pStyle w:val="51"/>
        <w:spacing w:line="600" w:lineRule="exact"/>
        <w:ind w:firstLine="640" w:firstLineChars="200"/>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2021年度“三公”经费财政拨款支出决算中，公务接待费支出决算2.56万元，占</w:t>
      </w:r>
      <w:r>
        <w:rPr>
          <w:rFonts w:hint="eastAsia" w:ascii="Times New Roman" w:hAnsi="Times New Roman" w:eastAsia="仿宋_GB2312" w:cs="Times New Roman"/>
          <w:b w:val="0"/>
          <w:bCs w:val="0"/>
          <w:color w:val="auto"/>
          <w:sz w:val="32"/>
          <w:szCs w:val="32"/>
          <w:lang w:val="en-US" w:eastAsia="zh-CN"/>
        </w:rPr>
        <w:t>100</w:t>
      </w:r>
      <w:r>
        <w:rPr>
          <w:rFonts w:hint="eastAsia" w:ascii="Times New Roman" w:hAnsi="Times New Roman" w:eastAsia="仿宋_GB2312" w:cs="Times New Roman"/>
          <w:b w:val="0"/>
          <w:bCs w:val="0"/>
          <w:color w:val="auto"/>
          <w:sz w:val="32"/>
          <w:szCs w:val="32"/>
        </w:rPr>
        <w:t>%,因公出国（境）费支出决算 0  万元,公务用车购置费及运行维护费支出决算0万元。其中：</w:t>
      </w:r>
    </w:p>
    <w:p>
      <w:pPr>
        <w:pStyle w:val="51"/>
        <w:spacing w:line="600" w:lineRule="exact"/>
        <w:ind w:firstLine="640" w:firstLineChars="200"/>
        <w:rPr>
          <w:rFonts w:hint="eastAsia" w:ascii="Times New Roman" w:hAnsi="Times New Roman" w:eastAsia="仿宋_GB2312" w:cs="Times New Roman"/>
          <w:b w:val="0"/>
          <w:bCs w:val="0"/>
          <w:color w:val="auto"/>
          <w:sz w:val="32"/>
          <w:szCs w:val="32"/>
          <w:lang w:eastAsia="zh-CN"/>
        </w:rPr>
      </w:pPr>
      <w:r>
        <w:rPr>
          <w:rFonts w:hint="eastAsia" w:ascii="Times New Roman" w:hAnsi="Times New Roman" w:eastAsia="仿宋_GB2312" w:cs="Times New Roman"/>
          <w:b w:val="0"/>
          <w:bCs w:val="0"/>
          <w:color w:val="auto"/>
          <w:sz w:val="32"/>
          <w:szCs w:val="32"/>
        </w:rPr>
        <w:t>1、因公出国（境）费支出决算为0万元，全年安排因公出国（境）团组0个，累计0人次</w:t>
      </w:r>
      <w:r>
        <w:rPr>
          <w:rFonts w:hint="eastAsia" w:ascii="Times New Roman" w:hAnsi="Times New Roman" w:eastAsia="仿宋_GB2312" w:cs="Times New Roman"/>
          <w:b w:val="0"/>
          <w:bCs w:val="0"/>
          <w:color w:val="auto"/>
          <w:sz w:val="32"/>
          <w:szCs w:val="32"/>
          <w:lang w:eastAsia="zh-CN"/>
        </w:rPr>
        <w:t>。</w:t>
      </w:r>
    </w:p>
    <w:p>
      <w:pPr>
        <w:pStyle w:val="51"/>
        <w:spacing w:line="600" w:lineRule="exact"/>
        <w:ind w:firstLine="640" w:firstLineChars="200"/>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2、公务接待费支出决算为2.56万元，全年共接待来访团组120个、来宾1150人次，主要是上级单位来检查工作发生的接待支出。</w:t>
      </w:r>
    </w:p>
    <w:p>
      <w:pPr>
        <w:spacing w:line="600" w:lineRule="exact"/>
        <w:ind w:firstLine="640" w:firstLineChars="20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3、公务用车购置费及运行维护费支出决算为0万元，其中：公务用车购置费0万元，更新公务用车0辆。公务用车运行维护费0万元，截至</w:t>
      </w:r>
      <w:bookmarkStart w:id="0" w:name="_GoBack"/>
      <w:bookmarkEnd w:id="0"/>
      <w:r>
        <w:rPr>
          <w:rFonts w:hint="eastAsia" w:ascii="Times New Roman" w:hAnsi="Times New Roman" w:eastAsia="仿宋_GB2312" w:cs="Times New Roman"/>
          <w:b w:val="0"/>
          <w:bCs w:val="0"/>
          <w:color w:val="auto"/>
          <w:sz w:val="32"/>
          <w:szCs w:val="32"/>
          <w:lang w:val="en-US" w:eastAsia="zh-CN" w:bidi="ar-SA"/>
        </w:rPr>
        <w:t>2022年12月31日，我单位开支财政拨款的公务用车保有量为 0 辆。</w:t>
      </w:r>
    </w:p>
    <w:p>
      <w:pPr>
        <w:pStyle w:val="51"/>
        <w:spacing w:line="600" w:lineRule="exact"/>
        <w:ind w:firstLine="643" w:firstLineChars="200"/>
        <w:outlineLvl w:val="1"/>
        <w:rPr>
          <w:rFonts w:hAnsi="黑体" w:cs="Times New Roman"/>
          <w:b/>
          <w:bCs/>
          <w:color w:val="auto"/>
          <w:sz w:val="32"/>
          <w:szCs w:val="32"/>
        </w:rPr>
      </w:pPr>
      <w:r>
        <w:rPr>
          <w:rFonts w:hAnsi="黑体" w:cs="Times New Roman"/>
          <w:b/>
          <w:bCs/>
          <w:color w:val="auto"/>
          <w:sz w:val="32"/>
          <w:szCs w:val="32"/>
        </w:rPr>
        <w:t>八、政府性基金预算收入支出决算情况</w:t>
      </w:r>
    </w:p>
    <w:p>
      <w:pPr>
        <w:pStyle w:val="51"/>
        <w:spacing w:line="600" w:lineRule="exact"/>
        <w:ind w:firstLine="640" w:firstLineChars="200"/>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2021年度政府性基金预算财政拨款收入8万元；年初结转和结余0万元；支出8万元，其中基本支出8万元，项目支出0万元；年末结转和结余 0万元。</w:t>
      </w:r>
    </w:p>
    <w:p>
      <w:pPr>
        <w:pStyle w:val="51"/>
        <w:spacing w:line="600" w:lineRule="exact"/>
        <w:ind w:firstLine="643" w:firstLineChars="200"/>
        <w:outlineLvl w:val="1"/>
        <w:rPr>
          <w:rFonts w:hAnsi="黑体" w:cs="Times New Roman"/>
          <w:b/>
          <w:bCs/>
          <w:color w:val="auto"/>
          <w:sz w:val="32"/>
          <w:szCs w:val="32"/>
        </w:rPr>
      </w:pPr>
      <w:r>
        <w:rPr>
          <w:rFonts w:hint="eastAsia" w:hAnsi="黑体" w:cs="Times New Roman"/>
          <w:b/>
          <w:bCs/>
          <w:color w:val="auto"/>
          <w:sz w:val="32"/>
          <w:szCs w:val="32"/>
        </w:rPr>
        <w:t>九</w:t>
      </w:r>
      <w:r>
        <w:rPr>
          <w:rFonts w:hAnsi="黑体" w:cs="Times New Roman"/>
          <w:b/>
          <w:bCs/>
          <w:color w:val="auto"/>
          <w:sz w:val="32"/>
          <w:szCs w:val="32"/>
        </w:rPr>
        <w:t>、</w:t>
      </w:r>
      <w:r>
        <w:rPr>
          <w:rFonts w:hint="eastAsia" w:hAnsi="黑体" w:cs="Times New Roman"/>
          <w:b/>
          <w:bCs/>
          <w:color w:val="auto"/>
          <w:sz w:val="32"/>
          <w:szCs w:val="32"/>
        </w:rPr>
        <w:t>国有资本经营预算财政拨款支出决算情况</w:t>
      </w:r>
    </w:p>
    <w:p>
      <w:pPr>
        <w:pStyle w:val="51"/>
        <w:spacing w:line="600" w:lineRule="exact"/>
        <w:ind w:firstLine="640" w:firstLineChars="200"/>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val="0"/>
          <w:bCs w:val="0"/>
          <w:color w:val="auto"/>
          <w:sz w:val="32"/>
          <w:szCs w:val="32"/>
        </w:rPr>
        <w:t>2021年度国有资本经营预算财政拨款支出0万元，其中基本支出0万元，项目支出0万元。</w:t>
      </w:r>
    </w:p>
    <w:p>
      <w:pPr>
        <w:pStyle w:val="51"/>
        <w:spacing w:line="600" w:lineRule="exact"/>
        <w:ind w:firstLine="643" w:firstLineChars="200"/>
        <w:outlineLvl w:val="1"/>
        <w:rPr>
          <w:rFonts w:hAnsi="黑体" w:cs="Times New Roman"/>
          <w:b/>
          <w:bCs/>
          <w:color w:val="auto"/>
          <w:sz w:val="32"/>
          <w:szCs w:val="32"/>
        </w:rPr>
      </w:pPr>
      <w:r>
        <w:rPr>
          <w:rFonts w:hint="eastAsia" w:hAnsi="黑体" w:cs="Times New Roman"/>
          <w:b/>
          <w:bCs/>
          <w:color w:val="auto"/>
          <w:sz w:val="32"/>
          <w:szCs w:val="32"/>
        </w:rPr>
        <w:t>十</w:t>
      </w:r>
      <w:r>
        <w:rPr>
          <w:rFonts w:hAnsi="黑体" w:cs="Times New Roman"/>
          <w:b/>
          <w:bCs/>
          <w:color w:val="auto"/>
          <w:sz w:val="32"/>
          <w:szCs w:val="32"/>
        </w:rPr>
        <w:t>、关于</w:t>
      </w:r>
      <w:r>
        <w:rPr>
          <w:rFonts w:hint="eastAsia" w:hAnsi="黑体" w:cs="Times New Roman"/>
          <w:b/>
          <w:bCs/>
          <w:color w:val="auto"/>
          <w:sz w:val="32"/>
          <w:szCs w:val="32"/>
        </w:rPr>
        <w:t>2021</w:t>
      </w:r>
      <w:r>
        <w:rPr>
          <w:rFonts w:hAnsi="黑体" w:cs="Times New Roman"/>
          <w:b/>
          <w:bCs/>
          <w:color w:val="auto"/>
          <w:sz w:val="32"/>
          <w:szCs w:val="32"/>
        </w:rPr>
        <w:t>年度预算绩效情况说明</w:t>
      </w:r>
    </w:p>
    <w:p>
      <w:pPr>
        <w:spacing w:line="600" w:lineRule="exact"/>
        <w:ind w:firstLine="660"/>
        <w:rPr>
          <w:rFonts w:ascii="Times New Roman" w:hAnsi="Times New Roman" w:eastAsia="仿宋_GB2312" w:cs="Times New Roman"/>
          <w:color w:val="auto"/>
          <w:sz w:val="32"/>
          <w:szCs w:val="32"/>
        </w:rPr>
      </w:pPr>
      <w:r>
        <w:rPr>
          <w:rFonts w:hint="eastAsia" w:ascii="Times New Roman" w:hAnsi="Times New Roman" w:eastAsia="仿宋_GB2312" w:cs="Times New Roman"/>
          <w:b w:val="0"/>
          <w:bCs w:val="0"/>
          <w:color w:val="auto"/>
          <w:sz w:val="32"/>
          <w:szCs w:val="32"/>
          <w:lang w:val="en-US" w:eastAsia="zh-CN" w:bidi="ar-SA"/>
        </w:rPr>
        <w:t>2021年度本部门所有支出实行绩效目标管理。纳入2021年部门整体支出绩效目标的金额为 8285.36万元，其中，基本支出8285.36万元，具体绩效目标详见报表。</w:t>
      </w:r>
    </w:p>
    <w:p>
      <w:pPr>
        <w:pStyle w:val="51"/>
        <w:spacing w:line="600" w:lineRule="exact"/>
        <w:ind w:firstLine="643" w:firstLineChars="200"/>
        <w:outlineLvl w:val="1"/>
        <w:rPr>
          <w:rFonts w:ascii="楷体_GB2312" w:eastAsia="楷体_GB2312"/>
          <w:b/>
          <w:sz w:val="32"/>
          <w:szCs w:val="32"/>
          <w:lang w:eastAsia="zh-CN"/>
        </w:rPr>
      </w:pPr>
      <w:r>
        <w:rPr>
          <w:rFonts w:hAnsi="黑体" w:cs="Times New Roman"/>
          <w:b/>
          <w:bCs/>
          <w:color w:val="auto"/>
          <w:sz w:val="32"/>
          <w:szCs w:val="32"/>
        </w:rPr>
        <w:t>十</w:t>
      </w:r>
      <w:r>
        <w:rPr>
          <w:rFonts w:hint="eastAsia" w:hAnsi="黑体" w:cs="Times New Roman"/>
          <w:b/>
          <w:bCs/>
          <w:color w:val="auto"/>
          <w:sz w:val="32"/>
          <w:szCs w:val="32"/>
        </w:rPr>
        <w:t>一</w:t>
      </w:r>
      <w:r>
        <w:rPr>
          <w:rFonts w:hAnsi="黑体" w:cs="Times New Roman"/>
          <w:b/>
          <w:bCs/>
          <w:color w:val="auto"/>
          <w:sz w:val="32"/>
          <w:szCs w:val="32"/>
        </w:rPr>
        <w:t>、其他重要事项情况说明</w:t>
      </w:r>
      <w:r>
        <w:rPr>
          <w:rFonts w:hint="eastAsia" w:ascii="楷体_GB2312" w:eastAsia="楷体_GB2312"/>
          <w:b/>
          <w:sz w:val="32"/>
          <w:szCs w:val="32"/>
          <w:lang w:eastAsia="zh-CN"/>
        </w:rPr>
        <w:t xml:space="preserve">     </w:t>
      </w:r>
    </w:p>
    <w:p>
      <w:pPr>
        <w:spacing w:line="600" w:lineRule="exact"/>
        <w:ind w:firstLine="643" w:firstLineChars="200"/>
        <w:outlineLvl w:val="2"/>
        <w:rPr>
          <w:rFonts w:ascii="楷体_GB2312" w:eastAsia="楷体_GB2312"/>
          <w:b/>
          <w:sz w:val="32"/>
          <w:szCs w:val="32"/>
          <w:lang w:eastAsia="zh-CN"/>
        </w:rPr>
      </w:pPr>
      <w:r>
        <w:rPr>
          <w:rFonts w:hint="eastAsia" w:ascii="楷体_GB2312" w:eastAsia="楷体_GB2312"/>
          <w:b/>
          <w:sz w:val="32"/>
          <w:szCs w:val="32"/>
          <w:lang w:eastAsia="zh-CN"/>
        </w:rPr>
        <w:t>（一）机关运行经费支出情况</w:t>
      </w:r>
    </w:p>
    <w:p>
      <w:pPr>
        <w:spacing w:line="600" w:lineRule="exact"/>
        <w:ind w:firstLine="640" w:firstLineChars="200"/>
        <w:rPr>
          <w:rFonts w:hint="default" w:ascii="Times New Roman" w:hAnsi="Times New Roman" w:eastAsia="仿宋_GB2312" w:cs="Times New Roman"/>
          <w:b w:val="0"/>
          <w:bCs w:val="0"/>
          <w:color w:val="auto"/>
          <w:sz w:val="32"/>
          <w:szCs w:val="32"/>
          <w:highlight w:val="none"/>
          <w:lang w:val="en-US" w:eastAsia="zh-CN" w:bidi="ar-SA"/>
        </w:rPr>
      </w:pPr>
      <w:r>
        <w:rPr>
          <w:rFonts w:hint="eastAsia" w:ascii="Times New Roman" w:hAnsi="Times New Roman" w:eastAsia="仿宋_GB2312" w:cs="Times New Roman"/>
          <w:b w:val="0"/>
          <w:bCs w:val="0"/>
          <w:color w:val="auto"/>
          <w:sz w:val="32"/>
          <w:szCs w:val="32"/>
          <w:highlight w:val="none"/>
          <w:lang w:val="en-US" w:eastAsia="zh-CN" w:bidi="ar-SA"/>
        </w:rPr>
        <w:t>本部门2021年度机关运行经费支出4581.9万元，比年初预算数增加2760.9万元，增长152%。主要原因是：昌顺公司财源建设扶持多了3030万元。</w:t>
      </w:r>
    </w:p>
    <w:p>
      <w:pPr>
        <w:spacing w:line="600" w:lineRule="exact"/>
        <w:ind w:firstLine="643" w:firstLineChars="200"/>
        <w:outlineLvl w:val="2"/>
        <w:rPr>
          <w:rFonts w:ascii="楷体_GB2312" w:eastAsia="楷体_GB2312"/>
          <w:b/>
          <w:sz w:val="32"/>
          <w:szCs w:val="32"/>
          <w:lang w:eastAsia="zh-CN"/>
        </w:rPr>
      </w:pPr>
      <w:r>
        <w:rPr>
          <w:rFonts w:hint="eastAsia" w:ascii="楷体_GB2312" w:eastAsia="楷体_GB2312"/>
          <w:b/>
          <w:sz w:val="32"/>
          <w:szCs w:val="32"/>
          <w:lang w:eastAsia="zh-CN"/>
        </w:rPr>
        <w:t>（二）一般性支出情况</w:t>
      </w:r>
    </w:p>
    <w:p>
      <w:pPr>
        <w:spacing w:line="600" w:lineRule="exact"/>
        <w:ind w:firstLine="640" w:firstLineChars="20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2021年 本部门开支会议费17.5万元，用于召开镇村干部会议，人数269人，内容为疫情防控,人大,安全生产,农村环境卫生整治等；开支培训费2.23万元，用于开展镇村干部培训，人数45人，内容为村级财务；无节庆、晚会、论坛、赛事活动开支。</w:t>
      </w:r>
    </w:p>
    <w:p>
      <w:pPr>
        <w:spacing w:line="600" w:lineRule="exact"/>
        <w:ind w:firstLine="643" w:firstLineChars="200"/>
        <w:outlineLvl w:val="2"/>
        <w:rPr>
          <w:rFonts w:ascii="楷体_GB2312" w:eastAsia="楷体_GB2312"/>
          <w:b/>
          <w:sz w:val="32"/>
          <w:szCs w:val="32"/>
          <w:lang w:eastAsia="zh-CN"/>
        </w:rPr>
      </w:pPr>
      <w:r>
        <w:rPr>
          <w:rFonts w:hint="eastAsia" w:ascii="楷体_GB2312" w:eastAsia="楷体_GB2312"/>
          <w:b/>
          <w:sz w:val="32"/>
          <w:szCs w:val="32"/>
          <w:lang w:eastAsia="zh-CN"/>
        </w:rPr>
        <w:t>（三）政府采购支出情况</w:t>
      </w:r>
    </w:p>
    <w:p>
      <w:pPr>
        <w:spacing w:line="600" w:lineRule="exact"/>
        <w:ind w:firstLine="640" w:firstLineChars="20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本部门2021年度政府采购支出总额0万元，其中：政府采购货物支出 0万元、政府采购工程支出 0万元、政府采购服务支出0万元。授予中小企业合同金额0万元，其中：授予小微企业合同金额0万元。</w:t>
      </w:r>
    </w:p>
    <w:p>
      <w:pPr>
        <w:spacing w:line="600" w:lineRule="exact"/>
        <w:ind w:firstLine="643" w:firstLineChars="200"/>
        <w:outlineLvl w:val="2"/>
        <w:rPr>
          <w:rFonts w:ascii="楷体_GB2312" w:eastAsia="楷体_GB2312"/>
          <w:b/>
          <w:sz w:val="32"/>
          <w:szCs w:val="32"/>
          <w:lang w:eastAsia="zh-CN"/>
        </w:rPr>
      </w:pPr>
      <w:r>
        <w:rPr>
          <w:rFonts w:hint="eastAsia" w:ascii="楷体_GB2312" w:eastAsia="楷体_GB2312"/>
          <w:b/>
          <w:sz w:val="32"/>
          <w:szCs w:val="32"/>
          <w:lang w:eastAsia="zh-CN"/>
        </w:rPr>
        <w:t>（四）国有资产占用情况</w:t>
      </w:r>
    </w:p>
    <w:p>
      <w:pPr>
        <w:spacing w:line="600" w:lineRule="exact"/>
        <w:ind w:firstLine="640" w:firstLineChars="200"/>
        <w:rPr>
          <w:rFonts w:hint="eastAsia" w:ascii="Times New Roman" w:hAnsi="Times New Roman" w:eastAsia="仿宋_GB2312" w:cs="Times New Roman"/>
          <w:b w:val="0"/>
          <w:bCs w:val="0"/>
          <w:color w:val="auto"/>
          <w:sz w:val="32"/>
          <w:szCs w:val="32"/>
          <w:lang w:val="en-US" w:eastAsia="zh-CN" w:bidi="ar-SA"/>
        </w:rPr>
      </w:pPr>
      <w:r>
        <w:rPr>
          <w:rFonts w:hint="eastAsia" w:ascii="Times New Roman" w:hAnsi="Times New Roman" w:eastAsia="仿宋_GB2312" w:cs="Times New Roman"/>
          <w:b w:val="0"/>
          <w:bCs w:val="0"/>
          <w:color w:val="auto"/>
          <w:sz w:val="32"/>
          <w:szCs w:val="32"/>
          <w:lang w:val="en-US" w:eastAsia="zh-CN" w:bidi="ar-SA"/>
        </w:rPr>
        <w:t>截至2022年12月31日，本单位共有车辆0辆，其中，领导干部用车0辆、机要通信用车0 辆、应急保障用车0辆、执法执勤用车0辆、特种专业技术用车0 辆、其他用车0辆，；单位价值50万元以上通用设备 0台（套）；单位价值100万元以上专用设备0台（套）。</w:t>
      </w:r>
    </w:p>
    <w:p>
      <w:pPr>
        <w:spacing w:line="600" w:lineRule="exact"/>
        <w:rPr>
          <w:rFonts w:eastAsia="仿宋_GB2312"/>
          <w:color w:val="000000"/>
          <w:sz w:val="32"/>
          <w:szCs w:val="32"/>
          <w:lang w:eastAsia="zh-CN"/>
        </w:rPr>
      </w:pPr>
    </w:p>
    <w:p>
      <w:pPr>
        <w:pStyle w:val="51"/>
        <w:jc w:val="center"/>
        <w:rPr>
          <w:sz w:val="72"/>
          <w:szCs w:val="72"/>
        </w:rPr>
      </w:pPr>
    </w:p>
    <w:p>
      <w:pPr>
        <w:spacing w:line="600" w:lineRule="exact"/>
        <w:jc w:val="center"/>
        <w:outlineLvl w:val="0"/>
        <w:rPr>
          <w:rFonts w:hint="eastAsia" w:ascii="黑体" w:hAnsi="黑体" w:eastAsia="黑体" w:cs="黑体"/>
          <w:b/>
          <w:sz w:val="44"/>
          <w:szCs w:val="44"/>
          <w:lang w:eastAsia="zh-CN"/>
        </w:rPr>
      </w:pPr>
    </w:p>
    <w:p>
      <w:pPr>
        <w:spacing w:line="600" w:lineRule="exact"/>
        <w:jc w:val="center"/>
        <w:outlineLvl w:val="0"/>
        <w:rPr>
          <w:rFonts w:hint="eastAsia" w:ascii="黑体" w:hAnsi="黑体" w:eastAsia="黑体" w:cs="黑体"/>
          <w:b/>
          <w:sz w:val="44"/>
          <w:szCs w:val="44"/>
          <w:lang w:eastAsia="zh-CN"/>
        </w:rPr>
      </w:pPr>
    </w:p>
    <w:p>
      <w:pPr>
        <w:spacing w:line="600" w:lineRule="exact"/>
        <w:jc w:val="center"/>
        <w:outlineLvl w:val="0"/>
        <w:rPr>
          <w:rFonts w:hint="eastAsia" w:ascii="黑体" w:hAnsi="黑体" w:eastAsia="黑体" w:cs="黑体"/>
          <w:b/>
          <w:sz w:val="44"/>
          <w:szCs w:val="44"/>
          <w:lang w:eastAsia="zh-CN"/>
        </w:rPr>
      </w:pPr>
    </w:p>
    <w:p>
      <w:pPr>
        <w:spacing w:line="600" w:lineRule="exact"/>
        <w:jc w:val="center"/>
        <w:outlineLvl w:val="0"/>
        <w:rPr>
          <w:rFonts w:ascii="黑体" w:hAnsi="黑体" w:eastAsia="黑体" w:cs="黑体"/>
          <w:b/>
          <w:sz w:val="44"/>
          <w:szCs w:val="44"/>
          <w:lang w:eastAsia="zh-CN"/>
        </w:rPr>
      </w:pPr>
      <w:r>
        <w:rPr>
          <w:rFonts w:hint="eastAsia" w:ascii="黑体" w:hAnsi="黑体" w:eastAsia="黑体" w:cs="黑体"/>
          <w:b/>
          <w:sz w:val="44"/>
          <w:szCs w:val="44"/>
          <w:lang w:eastAsia="zh-CN"/>
        </w:rPr>
        <w:t>第四部分 名词解释</w:t>
      </w:r>
    </w:p>
    <w:p>
      <w:pPr>
        <w:rPr>
          <w:rFonts w:ascii="宋体" w:hAnsi="宋体" w:cs="黑体"/>
          <w:color w:val="000000"/>
          <w:sz w:val="32"/>
          <w:szCs w:val="32"/>
          <w:lang w:eastAsia="zh-CN"/>
        </w:rPr>
      </w:pPr>
    </w:p>
    <w:p>
      <w:pPr>
        <w:spacing w:line="600" w:lineRule="exact"/>
        <w:ind w:firstLine="660"/>
        <w:rPr>
          <w:rFonts w:eastAsia="仿宋_GB2312"/>
          <w:sz w:val="32"/>
          <w:szCs w:val="32"/>
          <w:lang w:eastAsia="zh-CN"/>
        </w:rPr>
      </w:pPr>
      <w:r>
        <w:rPr>
          <w:rFonts w:eastAsia="仿宋_GB2312"/>
          <w:sz w:val="32"/>
          <w:szCs w:val="32"/>
          <w:lang w:eastAsia="zh-CN"/>
        </w:rPr>
        <w:t>1、机关运行经费：是指各部门的公用经费，包括办公</w:t>
      </w:r>
      <w:r>
        <w:rPr>
          <w:rFonts w:hint="eastAsia" w:eastAsia="仿宋_GB2312"/>
          <w:sz w:val="32"/>
          <w:szCs w:val="32"/>
          <w:lang w:eastAsia="zh-CN"/>
        </w:rPr>
        <w:t>费</w:t>
      </w:r>
      <w:r>
        <w:rPr>
          <w:rFonts w:eastAsia="仿宋_GB2312"/>
          <w:sz w:val="32"/>
          <w:szCs w:val="32"/>
          <w:lang w:eastAsia="zh-CN"/>
        </w:rPr>
        <w:t>及印刷费、邮电费、差旅费、会议费、福利费、日常维修费、专用资料及一般设备购置费、办公用房水电费、办公用房取暖费、办公用房物业管理费、公务用车运行维护费以及其他费用。</w:t>
      </w:r>
    </w:p>
    <w:p>
      <w:pPr>
        <w:spacing w:line="600" w:lineRule="exact"/>
        <w:ind w:firstLine="660"/>
        <w:rPr>
          <w:rFonts w:eastAsia="仿宋_GB2312"/>
          <w:sz w:val="32"/>
          <w:szCs w:val="32"/>
          <w:lang w:eastAsia="zh-CN"/>
        </w:rPr>
      </w:pPr>
      <w:r>
        <w:rPr>
          <w:rFonts w:eastAsia="仿宋_GB2312"/>
          <w:sz w:val="32"/>
          <w:szCs w:val="32"/>
          <w:lang w:eastAsia="zh-CN"/>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ind w:firstLine="440" w:firstLineChars="200"/>
        <w:rPr>
          <w:lang w:eastAsia="zh-CN"/>
        </w:rPr>
      </w:pPr>
    </w:p>
    <w:p>
      <w:pPr>
        <w:rPr>
          <w:rFonts w:ascii="宋体" w:hAnsi="宋体" w:cs="黑体"/>
          <w:color w:val="000000"/>
          <w:sz w:val="32"/>
          <w:szCs w:val="32"/>
          <w:lang w:eastAsia="zh-CN"/>
        </w:rPr>
      </w:pPr>
    </w:p>
    <w:p>
      <w:pPr>
        <w:rPr>
          <w:rFonts w:ascii="宋体" w:hAnsi="宋体"/>
          <w:i/>
          <w:color w:val="FF0000"/>
          <w:sz w:val="32"/>
          <w:szCs w:val="32"/>
          <w:lang w:eastAsia="zh-CN"/>
        </w:rPr>
      </w:pPr>
    </w:p>
    <w:p>
      <w:pPr>
        <w:spacing w:line="600" w:lineRule="exact"/>
        <w:jc w:val="center"/>
        <w:rPr>
          <w:rFonts w:eastAsia="方正小标宋_GBK"/>
          <w:bCs/>
          <w:sz w:val="36"/>
          <w:szCs w:val="36"/>
          <w:lang w:eastAsia="zh-CN"/>
        </w:rPr>
      </w:pPr>
    </w:p>
    <w:p>
      <w:pPr>
        <w:spacing w:line="600" w:lineRule="exact"/>
        <w:jc w:val="center"/>
        <w:outlineLvl w:val="0"/>
        <w:rPr>
          <w:rFonts w:hint="eastAsia" w:ascii="黑体" w:hAnsi="黑体" w:eastAsia="黑体" w:cs="黑体"/>
          <w:b/>
          <w:sz w:val="44"/>
          <w:szCs w:val="44"/>
          <w:lang w:eastAsia="zh-CN"/>
        </w:rPr>
      </w:pPr>
    </w:p>
    <w:p>
      <w:pPr>
        <w:spacing w:line="600" w:lineRule="exact"/>
        <w:jc w:val="center"/>
        <w:outlineLvl w:val="0"/>
        <w:rPr>
          <w:rFonts w:ascii="黑体" w:eastAsia="黑体" w:cs="黑体"/>
          <w:color w:val="000000"/>
          <w:sz w:val="70"/>
          <w:szCs w:val="70"/>
          <w:lang w:eastAsia="zh-CN"/>
        </w:rPr>
      </w:pPr>
      <w:r>
        <w:rPr>
          <w:rFonts w:hint="eastAsia" w:ascii="黑体" w:hAnsi="黑体" w:eastAsia="黑体" w:cs="黑体"/>
          <w:b/>
          <w:sz w:val="44"/>
          <w:szCs w:val="44"/>
          <w:lang w:eastAsia="zh-CN"/>
        </w:rPr>
        <w:t>第五部分 附件</w:t>
      </w:r>
    </w:p>
    <w:p>
      <w:pPr>
        <w:jc w:val="center"/>
        <w:rPr>
          <w:rFonts w:hint="eastAsia" w:ascii="黑体" w:hAnsi="黑体" w:eastAsia="黑体" w:cs="黑体"/>
          <w:color w:val="000000"/>
          <w:sz w:val="32"/>
          <w:szCs w:val="32"/>
          <w:lang w:eastAsia="zh-CN"/>
        </w:rPr>
      </w:pPr>
      <w:r>
        <w:rPr>
          <w:rFonts w:hint="eastAsia" w:ascii="黑体" w:hAnsi="黑体" w:eastAsia="黑体"/>
          <w:sz w:val="32"/>
          <w:szCs w:val="32"/>
          <w:lang w:eastAsia="zh-CN"/>
        </w:rPr>
        <w:t>2021</w:t>
      </w:r>
      <w:r>
        <w:rPr>
          <w:rFonts w:hint="eastAsia" w:ascii="黑体" w:hAnsi="黑体" w:eastAsia="黑体" w:cs="黑体"/>
          <w:color w:val="000000"/>
          <w:sz w:val="32"/>
          <w:szCs w:val="32"/>
          <w:lang w:eastAsia="zh-CN"/>
        </w:rPr>
        <w:t>年度部门整体支出绩效评价报告</w:t>
      </w:r>
    </w:p>
    <w:p>
      <w:pPr>
        <w:rPr>
          <w:rFonts w:ascii="宋体" w:hAnsi="宋体" w:cs="方正小标宋_GBK"/>
          <w:b/>
          <w:sz w:val="30"/>
          <w:szCs w:val="30"/>
        </w:rPr>
      </w:pPr>
      <w:r>
        <w:rPr>
          <w:rFonts w:hint="eastAsia" w:ascii="宋体" w:hAnsi="宋体" w:cs="方正小标宋_GBK"/>
          <w:b/>
          <w:bCs/>
          <w:sz w:val="30"/>
          <w:szCs w:val="30"/>
          <w:lang w:eastAsia="zh-CN"/>
        </w:rPr>
        <w:t>湘潭县云湖桥镇人民政府部门整体支出</w:t>
      </w:r>
      <w:r>
        <w:rPr>
          <w:rFonts w:hint="eastAsia" w:ascii="宋体" w:hAnsi="宋体" w:cs="方正小标宋_GBK"/>
          <w:b/>
          <w:bCs/>
          <w:sz w:val="30"/>
          <w:szCs w:val="30"/>
        </w:rPr>
        <w:t>绩效评价报告</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808"/>
        <w:gridCol w:w="6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80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6020" w:type="dxa"/>
            <w:vAlign w:val="center"/>
          </w:tcPr>
          <w:p>
            <w:pPr>
              <w:spacing w:line="576" w:lineRule="exact"/>
              <w:ind w:right="922" w:rightChars="419"/>
              <w:jc w:val="center"/>
              <w:rPr>
                <w:rFonts w:ascii="仿宋_GB2312" w:hAnsi="宋体" w:eastAsia="仿宋_GB2312" w:cs="宋体"/>
                <w:szCs w:val="21"/>
                <w:lang w:eastAsia="zh-CN"/>
              </w:rPr>
            </w:pPr>
            <w:r>
              <w:rPr>
                <w:rFonts w:hint="eastAsia" w:ascii="仿宋_GB2312" w:hAnsi="宋体" w:eastAsia="仿宋_GB2312" w:cs="宋体"/>
                <w:szCs w:val="21"/>
                <w:lang w:eastAsia="zh-CN"/>
              </w:rPr>
              <w:t>湘潭县云湖桥镇人民政府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384" w:type="dxa"/>
            <w:vMerge w:val="continue"/>
          </w:tcPr>
          <w:p>
            <w:pPr>
              <w:spacing w:line="576" w:lineRule="exact"/>
              <w:jc w:val="center"/>
              <w:rPr>
                <w:rFonts w:ascii="仿宋_GB2312" w:hAnsi="宋体" w:eastAsia="仿宋_GB2312" w:cs="宋体"/>
                <w:szCs w:val="21"/>
                <w:lang w:eastAsia="zh-CN"/>
              </w:rPr>
            </w:pPr>
          </w:p>
        </w:tc>
        <w:tc>
          <w:tcPr>
            <w:tcW w:w="180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6020" w:type="dxa"/>
            <w:vAlign w:val="center"/>
          </w:tcPr>
          <w:p>
            <w:pPr>
              <w:spacing w:line="576" w:lineRule="exact"/>
              <w:ind w:right="922" w:rightChars="419"/>
              <w:jc w:val="center"/>
              <w:rPr>
                <w:rFonts w:ascii="仿宋_GB2312" w:hAnsi="宋体" w:eastAsia="仿宋_GB2312" w:cs="宋体"/>
                <w:szCs w:val="21"/>
              </w:rPr>
            </w:pPr>
            <w:r>
              <w:rPr>
                <w:rFonts w:hint="eastAsia" w:ascii="仿宋_GB2312" w:hAnsi="宋体" w:eastAsia="仿宋_GB2312" w:cs="宋体"/>
                <w:szCs w:val="21"/>
              </w:rPr>
              <w:t>8</w:t>
            </w:r>
            <w:r>
              <w:rPr>
                <w:rFonts w:ascii="仿宋_GB2312" w:hAnsi="宋体" w:eastAsia="仿宋_GB2312" w:cs="宋体"/>
                <w:szCs w:val="21"/>
              </w:rPr>
              <w:t>285.36</w:t>
            </w:r>
            <w:r>
              <w:rPr>
                <w:rFonts w:hint="eastAsia" w:ascii="仿宋_GB2312" w:hAnsi="宋体" w:eastAsia="仿宋_GB2312" w:cs="宋体"/>
                <w:szCs w:val="21"/>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384" w:type="dxa"/>
            <w:vMerge w:val="continue"/>
          </w:tcPr>
          <w:p>
            <w:pPr>
              <w:spacing w:line="576" w:lineRule="exact"/>
              <w:jc w:val="center"/>
              <w:rPr>
                <w:rFonts w:ascii="仿宋_GB2312" w:hAnsi="宋体" w:eastAsia="仿宋_GB2312" w:cs="宋体"/>
                <w:szCs w:val="21"/>
              </w:rPr>
            </w:pPr>
          </w:p>
        </w:tc>
        <w:tc>
          <w:tcPr>
            <w:tcW w:w="180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6020" w:type="dxa"/>
            <w:vAlign w:val="center"/>
          </w:tcPr>
          <w:p>
            <w:pPr>
              <w:spacing w:line="576" w:lineRule="exact"/>
              <w:ind w:right="922" w:rightChars="419"/>
              <w:jc w:val="center"/>
              <w:rPr>
                <w:rFonts w:ascii="仿宋_GB2312" w:hAnsi="宋体" w:eastAsia="仿宋_GB2312"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808" w:type="dxa"/>
            <w:vAlign w:val="center"/>
          </w:tcPr>
          <w:p>
            <w:pPr>
              <w:keepNext w:val="0"/>
              <w:keepLines w:val="0"/>
              <w:pageBreakBefore w:val="0"/>
              <w:widowControl/>
              <w:kinsoku/>
              <w:wordWrap/>
              <w:overflowPunct/>
              <w:topLinePunct w:val="0"/>
              <w:autoSpaceDE/>
              <w:autoSpaceDN/>
              <w:bidi w:val="0"/>
              <w:adjustRightInd/>
              <w:snapToGrid/>
              <w:spacing w:after="0" w:line="576" w:lineRule="exact"/>
              <w:jc w:val="center"/>
              <w:textAlignment w:val="auto"/>
              <w:rPr>
                <w:rFonts w:ascii="仿宋_GB2312" w:hAnsi="宋体" w:eastAsia="仿宋_GB2312" w:cs="宋体"/>
                <w:szCs w:val="21"/>
              </w:rPr>
            </w:pPr>
            <w:r>
              <w:rPr>
                <w:rFonts w:hint="eastAsia" w:ascii="仿宋_GB2312" w:hAnsi="宋体" w:eastAsia="仿宋_GB2312" w:cs="宋体"/>
                <w:szCs w:val="21"/>
              </w:rPr>
              <w:t>单位基本职能</w:t>
            </w:r>
          </w:p>
        </w:tc>
        <w:tc>
          <w:tcPr>
            <w:tcW w:w="6020" w:type="dxa"/>
            <w:vAlign w:val="center"/>
          </w:tcPr>
          <w:p>
            <w:pPr>
              <w:keepNext w:val="0"/>
              <w:keepLines w:val="0"/>
              <w:pageBreakBefore w:val="0"/>
              <w:widowControl/>
              <w:kinsoku/>
              <w:wordWrap/>
              <w:overflowPunct/>
              <w:topLinePunct w:val="0"/>
              <w:autoSpaceDE/>
              <w:autoSpaceDN/>
              <w:bidi w:val="0"/>
              <w:adjustRightInd/>
              <w:snapToGrid/>
              <w:spacing w:after="0" w:line="400" w:lineRule="exact"/>
              <w:ind w:right="922" w:rightChars="419"/>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1、在镇党委的领导下，贯彻执行党的路线、方针、政策和国家的各项法律、法规；负责镇辖区内地区性、群众性、公益性、社会性工作。</w:t>
            </w:r>
          </w:p>
          <w:p>
            <w:pPr>
              <w:keepNext w:val="0"/>
              <w:keepLines w:val="0"/>
              <w:pageBreakBefore w:val="0"/>
              <w:widowControl/>
              <w:kinsoku/>
              <w:wordWrap/>
              <w:overflowPunct/>
              <w:topLinePunct w:val="0"/>
              <w:autoSpaceDE/>
              <w:autoSpaceDN/>
              <w:bidi w:val="0"/>
              <w:adjustRightInd/>
              <w:snapToGrid/>
              <w:spacing w:after="0" w:line="400" w:lineRule="exact"/>
              <w:ind w:right="922" w:rightChars="419"/>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2、负责精神文明建设工作，积极组织以提高民众素质为目的的活动，树立文明新风。</w:t>
            </w:r>
          </w:p>
          <w:p>
            <w:pPr>
              <w:keepNext w:val="0"/>
              <w:keepLines w:val="0"/>
              <w:pageBreakBefore w:val="0"/>
              <w:widowControl/>
              <w:kinsoku/>
              <w:wordWrap/>
              <w:overflowPunct/>
              <w:topLinePunct w:val="0"/>
              <w:autoSpaceDE/>
              <w:autoSpaceDN/>
              <w:bidi w:val="0"/>
              <w:adjustRightInd/>
              <w:snapToGrid/>
              <w:spacing w:after="0" w:line="400" w:lineRule="exact"/>
              <w:ind w:right="922" w:rightChars="419"/>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3、按照职责范围，负责镇辖区内的建设和管理、环境卫生、环境保护等监督、管理、服务工作。</w:t>
            </w:r>
          </w:p>
          <w:p>
            <w:pPr>
              <w:keepNext w:val="0"/>
              <w:keepLines w:val="0"/>
              <w:pageBreakBefore w:val="0"/>
              <w:widowControl/>
              <w:kinsoku/>
              <w:wordWrap/>
              <w:overflowPunct/>
              <w:topLinePunct w:val="0"/>
              <w:autoSpaceDE/>
              <w:autoSpaceDN/>
              <w:bidi w:val="0"/>
              <w:adjustRightInd/>
              <w:snapToGrid/>
              <w:spacing w:after="0" w:line="400" w:lineRule="exact"/>
              <w:ind w:right="922" w:rightChars="419"/>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4、负责镇辖区内的维护稳定及社会治安综合治理工作，依照有关规定做好出租屋和外来暂住人员的管理工作；负责民事调解，法律服务工作，维护居民的合法权益。</w:t>
            </w:r>
          </w:p>
          <w:p>
            <w:pPr>
              <w:keepNext w:val="0"/>
              <w:keepLines w:val="0"/>
              <w:pageBreakBefore w:val="0"/>
              <w:widowControl/>
              <w:kinsoku/>
              <w:wordWrap/>
              <w:overflowPunct/>
              <w:topLinePunct w:val="0"/>
              <w:autoSpaceDE/>
              <w:autoSpaceDN/>
              <w:bidi w:val="0"/>
              <w:adjustRightInd/>
              <w:snapToGrid/>
              <w:spacing w:after="0" w:line="400" w:lineRule="exact"/>
              <w:ind w:right="922" w:rightChars="419"/>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5、负责村、居委会的建设和管理，积极开展镇区服务工作，大力兴办福利企业，发动和组织镇区成员开展各类公益活动；负责拥军优属、优抚安置、社会救济、社会福利、社区文化、科普、体育、教育等工作。</w:t>
            </w:r>
          </w:p>
          <w:p>
            <w:pPr>
              <w:keepNext w:val="0"/>
              <w:keepLines w:val="0"/>
              <w:pageBreakBefore w:val="0"/>
              <w:widowControl/>
              <w:kinsoku/>
              <w:wordWrap/>
              <w:overflowPunct/>
              <w:topLinePunct w:val="0"/>
              <w:autoSpaceDE/>
              <w:autoSpaceDN/>
              <w:bidi w:val="0"/>
              <w:adjustRightInd/>
              <w:snapToGrid/>
              <w:spacing w:after="0" w:line="400" w:lineRule="exact"/>
              <w:ind w:right="922" w:rightChars="419"/>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6、发展镇区经济，为镇区经济组织提供人才、科技、信息和各类服务，以经济、法律和必要的行政手段推动镇区经济发展和维护市场经济秩序。</w:t>
            </w:r>
          </w:p>
          <w:p>
            <w:pPr>
              <w:keepNext w:val="0"/>
              <w:keepLines w:val="0"/>
              <w:pageBreakBefore w:val="0"/>
              <w:widowControl/>
              <w:kinsoku/>
              <w:wordWrap/>
              <w:overflowPunct/>
              <w:topLinePunct w:val="0"/>
              <w:autoSpaceDE/>
              <w:autoSpaceDN/>
              <w:bidi w:val="0"/>
              <w:adjustRightInd/>
              <w:snapToGrid/>
              <w:spacing w:after="0" w:line="400" w:lineRule="exact"/>
              <w:ind w:right="922" w:rightChars="419"/>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7、负责计划生育、劳动就业、安全生产管理、初级卫生保健、民兵、兵役、侨务等工作。</w:t>
            </w:r>
          </w:p>
          <w:p>
            <w:pPr>
              <w:keepNext w:val="0"/>
              <w:keepLines w:val="0"/>
              <w:pageBreakBefore w:val="0"/>
              <w:widowControl/>
              <w:kinsoku/>
              <w:wordWrap/>
              <w:overflowPunct/>
              <w:topLinePunct w:val="0"/>
              <w:autoSpaceDE/>
              <w:autoSpaceDN/>
              <w:bidi w:val="0"/>
              <w:adjustRightInd/>
              <w:snapToGrid/>
              <w:spacing w:after="0" w:line="400" w:lineRule="exact"/>
              <w:ind w:right="922" w:rightChars="419"/>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8、指导和帮助居民委员会搞好组织建设和制度建设，发挥居民委员会的群众自治组织作用。</w:t>
            </w:r>
          </w:p>
          <w:p>
            <w:pPr>
              <w:keepNext w:val="0"/>
              <w:keepLines w:val="0"/>
              <w:pageBreakBefore w:val="0"/>
              <w:widowControl/>
              <w:kinsoku/>
              <w:wordWrap/>
              <w:overflowPunct/>
              <w:topLinePunct w:val="0"/>
              <w:autoSpaceDE/>
              <w:autoSpaceDN/>
              <w:bidi w:val="0"/>
              <w:adjustRightInd/>
              <w:snapToGrid/>
              <w:spacing w:after="0" w:line="400" w:lineRule="exact"/>
              <w:ind w:right="922" w:rightChars="419"/>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9、配合有关部门做好房屋拆迁、防汛、防风、防火、动物防疫、防震、防灾和抢险工作。</w:t>
            </w:r>
          </w:p>
          <w:p>
            <w:pPr>
              <w:keepNext w:val="0"/>
              <w:keepLines w:val="0"/>
              <w:pageBreakBefore w:val="0"/>
              <w:widowControl/>
              <w:kinsoku/>
              <w:wordWrap/>
              <w:overflowPunct/>
              <w:topLinePunct w:val="0"/>
              <w:autoSpaceDE/>
              <w:autoSpaceDN/>
              <w:bidi w:val="0"/>
              <w:adjustRightInd/>
              <w:snapToGrid/>
              <w:spacing w:after="0" w:line="400" w:lineRule="exact"/>
              <w:ind w:right="922" w:rightChars="419"/>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10、向县人民政府反映居民群众的意见和要求，办理人民群众来信来访事项。</w:t>
            </w:r>
          </w:p>
          <w:p>
            <w:pPr>
              <w:keepNext w:val="0"/>
              <w:keepLines w:val="0"/>
              <w:pageBreakBefore w:val="0"/>
              <w:widowControl/>
              <w:kinsoku/>
              <w:wordWrap/>
              <w:overflowPunct/>
              <w:topLinePunct w:val="0"/>
              <w:autoSpaceDE/>
              <w:autoSpaceDN/>
              <w:bidi w:val="0"/>
              <w:adjustRightInd/>
              <w:snapToGrid/>
              <w:spacing w:after="0" w:line="400" w:lineRule="exact"/>
              <w:ind w:right="922" w:rightChars="419"/>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11、负责辖区内普法教育工作，维护老人、妇女儿童的合法权益。</w:t>
            </w:r>
          </w:p>
          <w:p>
            <w:pPr>
              <w:keepNext w:val="0"/>
              <w:keepLines w:val="0"/>
              <w:pageBreakBefore w:val="0"/>
              <w:widowControl/>
              <w:kinsoku/>
              <w:wordWrap/>
              <w:overflowPunct/>
              <w:topLinePunct w:val="0"/>
              <w:autoSpaceDE/>
              <w:autoSpaceDN/>
              <w:bidi w:val="0"/>
              <w:adjustRightInd/>
              <w:snapToGrid/>
              <w:spacing w:after="0" w:line="400" w:lineRule="exact"/>
              <w:ind w:right="922" w:rightChars="419"/>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12、负责辖区内安全生产和消防工作的指导、监督。</w:t>
            </w:r>
          </w:p>
          <w:p>
            <w:pPr>
              <w:keepNext w:val="0"/>
              <w:keepLines w:val="0"/>
              <w:pageBreakBefore w:val="0"/>
              <w:widowControl/>
              <w:kinsoku/>
              <w:wordWrap/>
              <w:overflowPunct/>
              <w:topLinePunct w:val="0"/>
              <w:autoSpaceDE/>
              <w:autoSpaceDN/>
              <w:bidi w:val="0"/>
              <w:adjustRightInd/>
              <w:snapToGrid/>
              <w:spacing w:after="0" w:line="400" w:lineRule="exact"/>
              <w:ind w:right="922" w:rightChars="419"/>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13、会同有关部门做好辖区内的企业服务、在地统计工作。</w:t>
            </w:r>
          </w:p>
          <w:p>
            <w:pPr>
              <w:keepNext w:val="0"/>
              <w:keepLines w:val="0"/>
              <w:pageBreakBefore w:val="0"/>
              <w:widowControl/>
              <w:kinsoku/>
              <w:wordWrap/>
              <w:overflowPunct/>
              <w:topLinePunct w:val="0"/>
              <w:autoSpaceDE/>
              <w:autoSpaceDN/>
              <w:bidi w:val="0"/>
              <w:adjustRightInd/>
              <w:snapToGrid/>
              <w:spacing w:after="0" w:line="400" w:lineRule="exact"/>
              <w:ind w:right="922" w:rightChars="419"/>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14、承办镇党委和上级部门交办的其他事项。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808" w:type="dxa"/>
            <w:vAlign w:val="center"/>
          </w:tcPr>
          <w:p>
            <w:pPr>
              <w:keepNext w:val="0"/>
              <w:keepLines w:val="0"/>
              <w:pageBreakBefore w:val="0"/>
              <w:kinsoku/>
              <w:wordWrap/>
              <w:overflowPunct/>
              <w:topLinePunct w:val="0"/>
              <w:autoSpaceDE/>
              <w:autoSpaceDN/>
              <w:bidi w:val="0"/>
              <w:adjustRightInd/>
              <w:snapToGrid/>
              <w:spacing w:after="0" w:line="400" w:lineRule="exact"/>
              <w:jc w:val="center"/>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部门整体支出管理和使用基本情况</w:t>
            </w:r>
          </w:p>
        </w:tc>
        <w:tc>
          <w:tcPr>
            <w:tcW w:w="6020" w:type="dxa"/>
            <w:vAlign w:val="center"/>
          </w:tcPr>
          <w:p>
            <w:pPr>
              <w:keepNext w:val="0"/>
              <w:keepLines w:val="0"/>
              <w:pageBreakBefore w:val="0"/>
              <w:kinsoku/>
              <w:wordWrap/>
              <w:overflowPunct/>
              <w:topLinePunct w:val="0"/>
              <w:autoSpaceDE/>
              <w:autoSpaceDN/>
              <w:bidi w:val="0"/>
              <w:adjustRightInd/>
              <w:snapToGrid/>
              <w:spacing w:after="0" w:line="400" w:lineRule="exact"/>
              <w:ind w:firstLine="440" w:firstLineChars="200"/>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（一）202</w:t>
            </w:r>
            <w:r>
              <w:rPr>
                <w:rFonts w:ascii="仿宋_GB2312" w:hAnsi="宋体" w:eastAsia="仿宋_GB2312" w:cs="宋体"/>
                <w:szCs w:val="21"/>
                <w:lang w:eastAsia="zh-CN"/>
              </w:rPr>
              <w:t>1</w:t>
            </w:r>
            <w:r>
              <w:rPr>
                <w:rFonts w:hint="eastAsia" w:ascii="仿宋_GB2312" w:hAnsi="宋体" w:eastAsia="仿宋_GB2312" w:cs="宋体"/>
                <w:szCs w:val="21"/>
                <w:lang w:eastAsia="zh-CN"/>
              </w:rPr>
              <w:t>年收入情况</w:t>
            </w:r>
          </w:p>
          <w:p>
            <w:pPr>
              <w:keepNext w:val="0"/>
              <w:keepLines w:val="0"/>
              <w:pageBreakBefore w:val="0"/>
              <w:kinsoku/>
              <w:wordWrap/>
              <w:overflowPunct/>
              <w:topLinePunct w:val="0"/>
              <w:autoSpaceDE/>
              <w:autoSpaceDN/>
              <w:bidi w:val="0"/>
              <w:adjustRightInd/>
              <w:snapToGrid/>
              <w:spacing w:after="0" w:line="400" w:lineRule="exact"/>
              <w:ind w:firstLine="440" w:firstLineChars="200"/>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财政拨款收入为</w:t>
            </w:r>
            <w:r>
              <w:rPr>
                <w:rFonts w:ascii="仿宋_GB2312" w:hAnsi="宋体" w:eastAsia="仿宋_GB2312" w:cs="宋体"/>
                <w:szCs w:val="21"/>
                <w:lang w:eastAsia="zh-CN"/>
              </w:rPr>
              <w:t>8285.36</w:t>
            </w:r>
            <w:r>
              <w:rPr>
                <w:rFonts w:hint="eastAsia" w:ascii="仿宋_GB2312" w:hAnsi="宋体" w:eastAsia="仿宋_GB2312" w:cs="宋体"/>
                <w:szCs w:val="21"/>
                <w:lang w:eastAsia="zh-CN"/>
              </w:rPr>
              <w:t>万元，上年结余1</w:t>
            </w:r>
            <w:r>
              <w:rPr>
                <w:rFonts w:ascii="仿宋_GB2312" w:hAnsi="宋体" w:eastAsia="仿宋_GB2312" w:cs="宋体"/>
                <w:szCs w:val="21"/>
                <w:lang w:eastAsia="zh-CN"/>
              </w:rPr>
              <w:t>110</w:t>
            </w:r>
            <w:r>
              <w:rPr>
                <w:rFonts w:hint="eastAsia" w:ascii="仿宋_GB2312" w:hAnsi="宋体" w:eastAsia="仿宋_GB2312" w:cs="宋体"/>
                <w:szCs w:val="21"/>
                <w:lang w:eastAsia="zh-CN"/>
              </w:rPr>
              <w:t>万元，本年预算收入</w:t>
            </w:r>
            <w:r>
              <w:rPr>
                <w:rFonts w:ascii="仿宋_GB2312" w:hAnsi="宋体" w:eastAsia="仿宋_GB2312" w:cs="宋体"/>
                <w:szCs w:val="21"/>
                <w:lang w:eastAsia="zh-CN"/>
              </w:rPr>
              <w:t>4145.36</w:t>
            </w:r>
            <w:r>
              <w:rPr>
                <w:rFonts w:hint="eastAsia" w:ascii="仿宋_GB2312" w:hAnsi="宋体" w:eastAsia="仿宋_GB2312" w:cs="宋体"/>
                <w:szCs w:val="21"/>
                <w:lang w:eastAsia="zh-CN"/>
              </w:rPr>
              <w:t>万元,年中追加经费3</w:t>
            </w:r>
            <w:r>
              <w:rPr>
                <w:rFonts w:ascii="仿宋_GB2312" w:hAnsi="宋体" w:eastAsia="仿宋_GB2312" w:cs="宋体"/>
                <w:szCs w:val="21"/>
                <w:lang w:eastAsia="zh-CN"/>
              </w:rPr>
              <w:t>030</w:t>
            </w:r>
            <w:r>
              <w:rPr>
                <w:rFonts w:hint="eastAsia" w:ascii="仿宋_GB2312" w:hAnsi="宋体" w:eastAsia="仿宋_GB2312" w:cs="宋体"/>
                <w:szCs w:val="21"/>
                <w:lang w:eastAsia="zh-CN"/>
              </w:rPr>
              <w:t>万元。</w:t>
            </w:r>
          </w:p>
          <w:p>
            <w:pPr>
              <w:keepNext w:val="0"/>
              <w:keepLines w:val="0"/>
              <w:pageBreakBefore w:val="0"/>
              <w:kinsoku/>
              <w:wordWrap/>
              <w:overflowPunct/>
              <w:topLinePunct w:val="0"/>
              <w:autoSpaceDE/>
              <w:autoSpaceDN/>
              <w:bidi w:val="0"/>
              <w:adjustRightInd/>
              <w:snapToGrid/>
              <w:spacing w:after="0" w:line="400" w:lineRule="exact"/>
              <w:ind w:firstLine="440" w:firstLineChars="200"/>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（二）202</w:t>
            </w:r>
            <w:r>
              <w:rPr>
                <w:rFonts w:ascii="仿宋_GB2312" w:hAnsi="宋体" w:eastAsia="仿宋_GB2312" w:cs="宋体"/>
                <w:szCs w:val="21"/>
                <w:lang w:eastAsia="zh-CN"/>
              </w:rPr>
              <w:t>1</w:t>
            </w:r>
            <w:r>
              <w:rPr>
                <w:rFonts w:hint="eastAsia" w:ascii="仿宋_GB2312" w:hAnsi="宋体" w:eastAsia="仿宋_GB2312" w:cs="宋体"/>
                <w:szCs w:val="21"/>
                <w:lang w:eastAsia="zh-CN"/>
              </w:rPr>
              <w:t>年度预算支出情况</w:t>
            </w:r>
          </w:p>
          <w:p>
            <w:pPr>
              <w:keepNext w:val="0"/>
              <w:keepLines w:val="0"/>
              <w:pageBreakBefore w:val="0"/>
              <w:kinsoku/>
              <w:wordWrap/>
              <w:overflowPunct/>
              <w:topLinePunct w:val="0"/>
              <w:autoSpaceDE/>
              <w:autoSpaceDN/>
              <w:bidi w:val="0"/>
              <w:adjustRightInd/>
              <w:snapToGrid/>
              <w:spacing w:after="0" w:line="400" w:lineRule="exact"/>
              <w:ind w:firstLine="440" w:firstLineChars="200"/>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202</w:t>
            </w:r>
            <w:r>
              <w:rPr>
                <w:rFonts w:ascii="仿宋_GB2312" w:hAnsi="宋体" w:eastAsia="仿宋_GB2312" w:cs="宋体"/>
                <w:szCs w:val="21"/>
                <w:lang w:eastAsia="zh-CN"/>
              </w:rPr>
              <w:t>1</w:t>
            </w:r>
            <w:r>
              <w:rPr>
                <w:rFonts w:hint="eastAsia" w:ascii="仿宋_GB2312" w:hAnsi="宋体" w:eastAsia="仿宋_GB2312" w:cs="宋体"/>
                <w:szCs w:val="21"/>
                <w:lang w:eastAsia="zh-CN"/>
              </w:rPr>
              <w:t>年支出</w:t>
            </w:r>
            <w:r>
              <w:rPr>
                <w:rFonts w:ascii="仿宋_GB2312" w:hAnsi="宋体" w:eastAsia="仿宋_GB2312" w:cs="宋体"/>
                <w:szCs w:val="21"/>
                <w:lang w:eastAsia="zh-CN"/>
              </w:rPr>
              <w:t>8285.36</w:t>
            </w:r>
            <w:r>
              <w:rPr>
                <w:rFonts w:hint="eastAsia" w:ascii="仿宋_GB2312" w:hAnsi="宋体" w:eastAsia="仿宋_GB2312" w:cs="宋体"/>
                <w:szCs w:val="21"/>
                <w:lang w:eastAsia="zh-CN"/>
              </w:rPr>
              <w:t>万元，其中：人员经费2</w:t>
            </w:r>
            <w:r>
              <w:rPr>
                <w:rFonts w:ascii="仿宋_GB2312" w:hAnsi="宋体" w:eastAsia="仿宋_GB2312" w:cs="宋体"/>
                <w:szCs w:val="21"/>
                <w:lang w:eastAsia="zh-CN"/>
              </w:rPr>
              <w:t>617.70</w:t>
            </w:r>
            <w:r>
              <w:rPr>
                <w:rFonts w:hint="eastAsia" w:ascii="仿宋_GB2312" w:hAnsi="宋体" w:eastAsia="仿宋_GB2312" w:cs="宋体"/>
                <w:szCs w:val="21"/>
                <w:lang w:eastAsia="zh-CN"/>
              </w:rPr>
              <w:t>万元，公用经费5</w:t>
            </w:r>
            <w:r>
              <w:rPr>
                <w:rFonts w:ascii="仿宋_GB2312" w:hAnsi="宋体" w:eastAsia="仿宋_GB2312" w:cs="宋体"/>
                <w:szCs w:val="21"/>
                <w:lang w:eastAsia="zh-CN"/>
              </w:rPr>
              <w:t>667.66</w:t>
            </w:r>
            <w:r>
              <w:rPr>
                <w:rFonts w:hint="eastAsia" w:ascii="仿宋_GB2312" w:hAnsi="宋体" w:eastAsia="仿宋_GB2312" w:cs="宋体"/>
                <w:szCs w:val="21"/>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_GB2312" w:hAnsi="宋体" w:eastAsia="仿宋_GB2312" w:cs="宋体"/>
                <w:szCs w:val="21"/>
                <w:lang w:eastAsia="zh-CN"/>
              </w:rPr>
            </w:pPr>
          </w:p>
        </w:tc>
        <w:tc>
          <w:tcPr>
            <w:tcW w:w="1808" w:type="dxa"/>
            <w:vAlign w:val="center"/>
          </w:tcPr>
          <w:p>
            <w:pPr>
              <w:keepNext w:val="0"/>
              <w:keepLines w:val="0"/>
              <w:pageBreakBefore w:val="0"/>
              <w:kinsoku/>
              <w:wordWrap/>
              <w:overflowPunct/>
              <w:topLinePunct w:val="0"/>
              <w:autoSpaceDE/>
              <w:autoSpaceDN/>
              <w:bidi w:val="0"/>
              <w:adjustRightInd/>
              <w:snapToGrid/>
              <w:spacing w:after="0" w:line="400" w:lineRule="exact"/>
              <w:jc w:val="center"/>
              <w:textAlignment w:val="auto"/>
              <w:rPr>
                <w:rFonts w:ascii="仿宋_GB2312" w:hAnsi="宋体" w:eastAsia="仿宋_GB2312" w:cs="宋体"/>
                <w:szCs w:val="21"/>
              </w:rPr>
            </w:pPr>
            <w:r>
              <w:rPr>
                <w:rFonts w:hint="eastAsia" w:ascii="仿宋_GB2312" w:hAnsi="宋体" w:eastAsia="仿宋_GB2312" w:cs="宋体"/>
                <w:szCs w:val="21"/>
              </w:rPr>
              <w:t>绩效目标完成情况</w:t>
            </w:r>
          </w:p>
        </w:tc>
        <w:tc>
          <w:tcPr>
            <w:tcW w:w="602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after="0" w:line="400" w:lineRule="exact"/>
              <w:jc w:val="both"/>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坚守初心使命学政治。全年组织开展镇党委理论中</w:t>
            </w:r>
          </w:p>
          <w:p>
            <w:pPr>
              <w:keepNext w:val="0"/>
              <w:keepLines w:val="0"/>
              <w:pageBreakBefore w:val="0"/>
              <w:kinsoku/>
              <w:wordWrap/>
              <w:overflowPunct/>
              <w:topLinePunct w:val="0"/>
              <w:autoSpaceDE/>
              <w:autoSpaceDN/>
              <w:bidi w:val="0"/>
              <w:adjustRightInd/>
              <w:snapToGrid/>
              <w:spacing w:after="0" w:line="400" w:lineRule="exact"/>
              <w:ind w:left="420"/>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心组学习12次，邀请市县理论宣讲员开展理论宣讲及交流研讨70余次，党委班子成员赴村开展各类理论宣讲30余场，全面提高了镇村干部的综合素质和为民、务实、清廉的自觉性。</w:t>
            </w:r>
          </w:p>
          <w:p>
            <w:pPr>
              <w:keepNext w:val="0"/>
              <w:keepLines w:val="0"/>
              <w:pageBreakBefore w:val="0"/>
              <w:widowControl w:val="0"/>
              <w:numPr>
                <w:ilvl w:val="0"/>
                <w:numId w:val="1"/>
              </w:numPr>
              <w:kinsoku/>
              <w:wordWrap/>
              <w:overflowPunct/>
              <w:topLinePunct w:val="0"/>
              <w:autoSpaceDE/>
              <w:autoSpaceDN/>
              <w:bidi w:val="0"/>
              <w:adjustRightInd/>
              <w:snapToGrid/>
              <w:spacing w:after="0" w:line="400" w:lineRule="exact"/>
              <w:jc w:val="both"/>
              <w:textAlignment w:val="auto"/>
              <w:rPr>
                <w:rFonts w:ascii="仿宋_GB2312" w:hAnsi="宋体" w:eastAsia="仿宋_GB2312" w:cs="宋体"/>
                <w:szCs w:val="21"/>
              </w:rPr>
            </w:pPr>
            <w:r>
              <w:rPr>
                <w:rFonts w:hint="eastAsia" w:ascii="仿宋_GB2312" w:hAnsi="宋体" w:eastAsia="仿宋_GB2312" w:cs="宋体"/>
                <w:szCs w:val="21"/>
                <w:lang w:eastAsia="zh-CN"/>
              </w:rPr>
              <w:t>坚定固本培元强党建。加速发展集体经济。</w:t>
            </w:r>
            <w:r>
              <w:rPr>
                <w:rFonts w:hint="eastAsia" w:ascii="仿宋_GB2312" w:hAnsi="宋体" w:eastAsia="仿宋_GB2312" w:cs="宋体"/>
                <w:szCs w:val="21"/>
              </w:rPr>
              <w:t>21个村</w:t>
            </w:r>
          </w:p>
          <w:p>
            <w:pPr>
              <w:keepNext w:val="0"/>
              <w:keepLines w:val="0"/>
              <w:pageBreakBefore w:val="0"/>
              <w:kinsoku/>
              <w:wordWrap/>
              <w:overflowPunct/>
              <w:topLinePunct w:val="0"/>
              <w:autoSpaceDE/>
              <w:autoSpaceDN/>
              <w:bidi w:val="0"/>
              <w:adjustRightInd/>
              <w:snapToGrid/>
              <w:spacing w:after="0" w:line="400" w:lineRule="exact"/>
              <w:ind w:left="420"/>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集体经济收入从2020年的121.8万元增至2021年的180万元，增长率达50%。全镇21个村均完成了村集体经济收入“消薄”任务，8个村集体经济收入达10万元以上，6个村获得市级集体经济发展奖补资金共计32万元，各项指标均呈现逐年稳步增长的态势，发展基础越来越牢固。</w:t>
            </w:r>
          </w:p>
          <w:p>
            <w:pPr>
              <w:keepNext w:val="0"/>
              <w:keepLines w:val="0"/>
              <w:pageBreakBefore w:val="0"/>
              <w:widowControl w:val="0"/>
              <w:numPr>
                <w:ilvl w:val="0"/>
                <w:numId w:val="1"/>
              </w:numPr>
              <w:kinsoku/>
              <w:wordWrap/>
              <w:overflowPunct/>
              <w:topLinePunct w:val="0"/>
              <w:autoSpaceDE/>
              <w:autoSpaceDN/>
              <w:bidi w:val="0"/>
              <w:adjustRightInd/>
              <w:snapToGrid/>
              <w:spacing w:after="0" w:line="400" w:lineRule="exact"/>
              <w:jc w:val="both"/>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招商引资卓有成效。我镇工业经济运行良好，引进</w:t>
            </w:r>
          </w:p>
          <w:p>
            <w:pPr>
              <w:keepNext w:val="0"/>
              <w:keepLines w:val="0"/>
              <w:pageBreakBefore w:val="0"/>
              <w:kinsoku/>
              <w:wordWrap/>
              <w:overflowPunct/>
              <w:topLinePunct w:val="0"/>
              <w:autoSpaceDE/>
              <w:autoSpaceDN/>
              <w:bidi w:val="0"/>
              <w:adjustRightInd/>
              <w:snapToGrid/>
              <w:spacing w:after="0" w:line="400" w:lineRule="exact"/>
              <w:ind w:left="420"/>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项目5个，预计总投资4.5亿元，本年度完成投资1亿元。</w:t>
            </w:r>
          </w:p>
          <w:p>
            <w:pPr>
              <w:keepNext w:val="0"/>
              <w:keepLines w:val="0"/>
              <w:pageBreakBefore w:val="0"/>
              <w:widowControl w:val="0"/>
              <w:numPr>
                <w:ilvl w:val="0"/>
                <w:numId w:val="1"/>
              </w:numPr>
              <w:kinsoku/>
              <w:wordWrap/>
              <w:overflowPunct/>
              <w:topLinePunct w:val="0"/>
              <w:autoSpaceDE/>
              <w:autoSpaceDN/>
              <w:bidi w:val="0"/>
              <w:adjustRightInd/>
              <w:snapToGrid/>
              <w:spacing w:after="0" w:line="400" w:lineRule="exact"/>
              <w:jc w:val="both"/>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乡村振兴有效衔接。积极排查防返贫问题，完善动</w:t>
            </w:r>
          </w:p>
          <w:p>
            <w:pPr>
              <w:keepNext w:val="0"/>
              <w:keepLines w:val="0"/>
              <w:pageBreakBefore w:val="0"/>
              <w:kinsoku/>
              <w:wordWrap/>
              <w:overflowPunct/>
              <w:topLinePunct w:val="0"/>
              <w:autoSpaceDE/>
              <w:autoSpaceDN/>
              <w:bidi w:val="0"/>
              <w:adjustRightInd/>
              <w:snapToGrid/>
              <w:spacing w:after="0" w:line="400" w:lineRule="exact"/>
              <w:ind w:left="420"/>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态调整及边缘户监测措施，核查监测对象23户51人，均按要求收集材料做好一户一档且均安排好帮扶责任人；推进项目库申报及项目资产登记，涉及衔接资金145万元。</w:t>
            </w:r>
          </w:p>
          <w:p>
            <w:pPr>
              <w:keepNext w:val="0"/>
              <w:keepLines w:val="0"/>
              <w:pageBreakBefore w:val="0"/>
              <w:widowControl w:val="0"/>
              <w:numPr>
                <w:ilvl w:val="0"/>
                <w:numId w:val="1"/>
              </w:numPr>
              <w:kinsoku/>
              <w:wordWrap/>
              <w:overflowPunct/>
              <w:topLinePunct w:val="0"/>
              <w:autoSpaceDE/>
              <w:autoSpaceDN/>
              <w:bidi w:val="0"/>
              <w:adjustRightInd/>
              <w:snapToGrid/>
              <w:spacing w:after="0" w:line="400" w:lineRule="exact"/>
              <w:jc w:val="both"/>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安全生产严守底线。推进“强执法防事故”行动，</w:t>
            </w:r>
          </w:p>
          <w:p>
            <w:pPr>
              <w:keepNext w:val="0"/>
              <w:keepLines w:val="0"/>
              <w:pageBreakBefore w:val="0"/>
              <w:kinsoku/>
              <w:wordWrap/>
              <w:overflowPunct/>
              <w:topLinePunct w:val="0"/>
              <w:autoSpaceDE/>
              <w:autoSpaceDN/>
              <w:bidi w:val="0"/>
              <w:adjustRightInd/>
              <w:snapToGrid/>
              <w:spacing w:after="0" w:line="400" w:lineRule="exact"/>
              <w:ind w:left="420"/>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排查隐患121处，下达责令整改指令121份，完成整改复查120处；行政处罚立案13起，罚款39万余元。成功通过省级应急能力建设试点镇验收；向公安局移送一起非法储存、经营汽油行为线索，成为全市第二个行刑衔接案例。</w:t>
            </w:r>
          </w:p>
          <w:p>
            <w:pPr>
              <w:keepNext w:val="0"/>
              <w:keepLines w:val="0"/>
              <w:pageBreakBefore w:val="0"/>
              <w:widowControl w:val="0"/>
              <w:numPr>
                <w:ilvl w:val="0"/>
                <w:numId w:val="1"/>
              </w:numPr>
              <w:kinsoku/>
              <w:wordWrap/>
              <w:overflowPunct/>
              <w:topLinePunct w:val="0"/>
              <w:autoSpaceDE/>
              <w:autoSpaceDN/>
              <w:bidi w:val="0"/>
              <w:adjustRightInd/>
              <w:snapToGrid/>
              <w:spacing w:after="0" w:line="400" w:lineRule="exact"/>
              <w:jc w:val="both"/>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基础建设日趋完善。完成镇级文体活动中心修缮工</w:t>
            </w:r>
          </w:p>
          <w:p>
            <w:pPr>
              <w:keepNext w:val="0"/>
              <w:keepLines w:val="0"/>
              <w:pageBreakBefore w:val="0"/>
              <w:kinsoku/>
              <w:wordWrap/>
              <w:overflowPunct/>
              <w:topLinePunct w:val="0"/>
              <w:autoSpaceDE/>
              <w:autoSpaceDN/>
              <w:bidi w:val="0"/>
              <w:adjustRightInd/>
              <w:snapToGrid/>
              <w:spacing w:after="0" w:line="400" w:lineRule="exact"/>
              <w:ind w:left="420"/>
              <w:textAlignment w:val="auto"/>
              <w:rPr>
                <w:rFonts w:ascii="仿宋_GB2312" w:hAnsi="宋体" w:eastAsia="仿宋_GB2312" w:cs="宋体"/>
                <w:szCs w:val="21"/>
                <w:lang w:eastAsia="zh-CN"/>
              </w:rPr>
            </w:pPr>
            <w:r>
              <w:rPr>
                <w:rFonts w:hint="eastAsia" w:ascii="仿宋_GB2312" w:hAnsi="宋体" w:eastAsia="仿宋_GB2312" w:cs="宋体"/>
                <w:szCs w:val="21"/>
                <w:lang w:eastAsia="zh-CN"/>
              </w:rPr>
              <w:t>程；推进集中垃圾清运点建设32处；开展水利冬修100余处；规划建设大型垃圾转运站、污水处理设施各1处。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1384" w:type="dxa"/>
            <w:vMerge w:val="restart"/>
            <w:vAlign w:val="center"/>
          </w:tcPr>
          <w:p>
            <w:pPr>
              <w:spacing w:line="576" w:lineRule="exact"/>
              <w:jc w:val="center"/>
              <w:rPr>
                <w:rFonts w:ascii="仿宋_GB2312" w:hAnsi="宋体" w:eastAsia="仿宋_GB2312" w:cs="宋体"/>
                <w:szCs w:val="21"/>
                <w:lang w:eastAsia="zh-CN"/>
              </w:rPr>
            </w:pPr>
            <w:r>
              <w:rPr>
                <w:rFonts w:hint="eastAsia" w:ascii="仿宋_GB2312" w:hAnsi="宋体" w:eastAsia="仿宋_GB2312" w:cs="宋体"/>
                <w:szCs w:val="21"/>
                <w:lang w:eastAsia="zh-CN"/>
              </w:rPr>
              <w:t>存在的问题分析及改进措施</w:t>
            </w:r>
          </w:p>
        </w:tc>
        <w:tc>
          <w:tcPr>
            <w:tcW w:w="180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6020" w:type="dxa"/>
            <w:vAlign w:val="center"/>
          </w:tcPr>
          <w:p>
            <w:pPr>
              <w:spacing w:line="400" w:lineRule="exact"/>
              <w:ind w:firstLine="440" w:firstLineChars="200"/>
              <w:rPr>
                <w:rFonts w:ascii="仿宋_GB2312" w:hAnsi="宋体" w:eastAsia="仿宋_GB2312" w:cs="宋体"/>
                <w:szCs w:val="21"/>
                <w:lang w:eastAsia="zh-CN"/>
              </w:rPr>
            </w:pPr>
            <w:r>
              <w:rPr>
                <w:rFonts w:hint="eastAsia" w:ascii="仿宋_GB2312" w:hAnsi="宋体" w:eastAsia="仿宋_GB2312" w:cs="宋体"/>
                <w:szCs w:val="21"/>
                <w:lang w:eastAsia="zh-CN"/>
              </w:rPr>
              <w:t>资金使用进度和资金使用率没有达到最佳效果。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jc w:val="center"/>
              <w:rPr>
                <w:rFonts w:ascii="仿宋_GB2312" w:hAnsi="宋体" w:eastAsia="仿宋_GB2312" w:cs="宋体"/>
                <w:szCs w:val="21"/>
                <w:lang w:eastAsia="zh-CN"/>
              </w:rPr>
            </w:pPr>
          </w:p>
        </w:tc>
        <w:tc>
          <w:tcPr>
            <w:tcW w:w="180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6020" w:type="dxa"/>
            <w:vAlign w:val="center"/>
          </w:tcPr>
          <w:p>
            <w:pPr>
              <w:spacing w:line="400" w:lineRule="exact"/>
              <w:ind w:firstLine="440" w:firstLineChars="200"/>
              <w:rPr>
                <w:rFonts w:ascii="仿宋_GB2312" w:hAnsi="宋体" w:eastAsia="仿宋_GB2312" w:cs="宋体"/>
                <w:szCs w:val="21"/>
                <w:lang w:eastAsia="zh-CN"/>
              </w:rPr>
            </w:pPr>
            <w:r>
              <w:rPr>
                <w:rFonts w:hint="eastAsia" w:ascii="仿宋_GB2312" w:hAnsi="宋体" w:eastAsia="仿宋_GB2312" w:cs="宋体"/>
                <w:szCs w:val="21"/>
                <w:lang w:eastAsia="zh-CN"/>
              </w:rPr>
              <w:t>在加快资金支付进度方面，乡镇应根据工作计划，做好预算执行的前期准备，特别是重大项目的准备工作。应根据年度预算安排和项目实施进度等情况，认真编制分月用款计划，及时提出支付申请，力争做到资金一旦下达，及时分配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_GB2312" w:hAnsi="宋体" w:eastAsia="仿宋_GB2312" w:cs="宋体"/>
                <w:szCs w:val="21"/>
                <w:lang w:eastAsia="zh-CN"/>
              </w:rPr>
            </w:pPr>
          </w:p>
        </w:tc>
        <w:tc>
          <w:tcPr>
            <w:tcW w:w="1808"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6020" w:type="dxa"/>
            <w:vAlign w:val="center"/>
          </w:tcPr>
          <w:p>
            <w:pPr>
              <w:spacing w:line="576" w:lineRule="exact"/>
              <w:ind w:right="922" w:rightChars="419"/>
              <w:jc w:val="center"/>
              <w:rPr>
                <w:rFonts w:ascii="仿宋_GB2312" w:hAnsi="宋体" w:eastAsia="仿宋_GB2312" w:cs="宋体"/>
                <w:szCs w:val="21"/>
              </w:rPr>
            </w:pPr>
            <w:r>
              <w:rPr>
                <w:rFonts w:hint="eastAsia" w:ascii="仿宋_GB2312" w:hAnsi="宋体" w:eastAsia="仿宋_GB2312" w:cs="宋体"/>
                <w:szCs w:val="21"/>
              </w:rPr>
              <w:t>无</w:t>
            </w:r>
          </w:p>
        </w:tc>
      </w:tr>
    </w:tbl>
    <w:p>
      <w:pPr>
        <w:rPr>
          <w:rFonts w:ascii="仿宋_GB2312" w:hAnsi="黑体" w:eastAsia="仿宋_GB2312" w:cs="黑体"/>
          <w:color w:val="000000"/>
          <w:sz w:val="32"/>
          <w:szCs w:val="32"/>
        </w:rPr>
      </w:pPr>
    </w:p>
    <w:p>
      <w:pPr>
        <w:ind w:firstLine="440" w:firstLineChars="200"/>
        <w:rPr>
          <w:lang w:eastAsia="zh-CN"/>
        </w:rPr>
      </w:pPr>
    </w:p>
    <w:p>
      <w:pPr>
        <w:spacing w:line="600" w:lineRule="exact"/>
        <w:rPr>
          <w:rFonts w:asciiTheme="minorEastAsia" w:hAnsiTheme="minorEastAsia" w:cstheme="minorEastAsia"/>
          <w:sz w:val="28"/>
          <w:szCs w:val="28"/>
          <w:lang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1"/>
      </w:rPr>
    </w:pPr>
    <w:r>
      <w:rPr>
        <w:rStyle w:val="21"/>
      </w:rPr>
      <w:fldChar w:fldCharType="begin"/>
    </w:r>
    <w:r>
      <w:rPr>
        <w:rStyle w:val="21"/>
      </w:rPr>
      <w:instrText xml:space="preserve">PAGE  </w:instrText>
    </w:r>
    <w:r>
      <w:rPr>
        <w:rStyle w:val="21"/>
      </w:rPr>
      <w:fldChar w:fldCharType="separate"/>
    </w:r>
    <w:r>
      <w:rPr>
        <w:rStyle w:val="21"/>
      </w:rPr>
      <w:t>36</w:t>
    </w:r>
    <w:r>
      <w:rPr>
        <w:rStyle w:val="21"/>
      </w:rPr>
      <w:fldChar w:fldCharType="end"/>
    </w:r>
  </w:p>
  <w:p>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936911"/>
    <w:multiLevelType w:val="multilevel"/>
    <w:tmpl w:val="41936911"/>
    <w:lvl w:ilvl="0" w:tentative="0">
      <w:start w:val="1"/>
      <w:numFmt w:val="japaneseCounting"/>
      <w:lvlText w:val="第%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oNotHyphenateCaps/>
  <w:drawingGridHorizontalSpacing w:val="110"/>
  <w:drawingGridVerticalSpacing w:val="156"/>
  <w:noPunctuationKerning w:val="1"/>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1NDY4YjY4ZWZlYjA4NDRhNDk4OTdjOGMwYTJjZGUifQ=="/>
  </w:docVars>
  <w:rsids>
    <w:rsidRoot w:val="626E2430"/>
    <w:rsid w:val="000008C3"/>
    <w:rsid w:val="0000327E"/>
    <w:rsid w:val="00012D21"/>
    <w:rsid w:val="00020B41"/>
    <w:rsid w:val="000240FA"/>
    <w:rsid w:val="00032F7A"/>
    <w:rsid w:val="00035650"/>
    <w:rsid w:val="00053F7B"/>
    <w:rsid w:val="00061DB2"/>
    <w:rsid w:val="0006386F"/>
    <w:rsid w:val="0006554E"/>
    <w:rsid w:val="000678F8"/>
    <w:rsid w:val="000709B8"/>
    <w:rsid w:val="000848C9"/>
    <w:rsid w:val="0009017E"/>
    <w:rsid w:val="00095AA9"/>
    <w:rsid w:val="00096095"/>
    <w:rsid w:val="000A47CC"/>
    <w:rsid w:val="000A59BD"/>
    <w:rsid w:val="000B11CB"/>
    <w:rsid w:val="000B5276"/>
    <w:rsid w:val="000B65DD"/>
    <w:rsid w:val="000B7E08"/>
    <w:rsid w:val="000C2820"/>
    <w:rsid w:val="000C3028"/>
    <w:rsid w:val="000C3EC4"/>
    <w:rsid w:val="000C5781"/>
    <w:rsid w:val="000D782E"/>
    <w:rsid w:val="000E28BA"/>
    <w:rsid w:val="000E399B"/>
    <w:rsid w:val="000F0047"/>
    <w:rsid w:val="000F0441"/>
    <w:rsid w:val="000F3B50"/>
    <w:rsid w:val="00103651"/>
    <w:rsid w:val="00103E67"/>
    <w:rsid w:val="00103FD3"/>
    <w:rsid w:val="00104920"/>
    <w:rsid w:val="001057A4"/>
    <w:rsid w:val="00127743"/>
    <w:rsid w:val="001300AA"/>
    <w:rsid w:val="00130350"/>
    <w:rsid w:val="00130BE9"/>
    <w:rsid w:val="00132076"/>
    <w:rsid w:val="00133871"/>
    <w:rsid w:val="001375C1"/>
    <w:rsid w:val="0014022E"/>
    <w:rsid w:val="001416AA"/>
    <w:rsid w:val="00141C5F"/>
    <w:rsid w:val="00142D12"/>
    <w:rsid w:val="00143CD1"/>
    <w:rsid w:val="00153CD4"/>
    <w:rsid w:val="00154A6A"/>
    <w:rsid w:val="00156AC4"/>
    <w:rsid w:val="00157AC8"/>
    <w:rsid w:val="00172D80"/>
    <w:rsid w:val="00187D5B"/>
    <w:rsid w:val="001914F1"/>
    <w:rsid w:val="0019320E"/>
    <w:rsid w:val="001938CE"/>
    <w:rsid w:val="00193D68"/>
    <w:rsid w:val="001A3AC4"/>
    <w:rsid w:val="001A45A8"/>
    <w:rsid w:val="001A474D"/>
    <w:rsid w:val="001A7B9B"/>
    <w:rsid w:val="001B3856"/>
    <w:rsid w:val="001B5C4E"/>
    <w:rsid w:val="001D5378"/>
    <w:rsid w:val="001E08D7"/>
    <w:rsid w:val="001E0B30"/>
    <w:rsid w:val="001E18E7"/>
    <w:rsid w:val="001E24C8"/>
    <w:rsid w:val="001E402B"/>
    <w:rsid w:val="001E4E23"/>
    <w:rsid w:val="001E56B1"/>
    <w:rsid w:val="001E6FAC"/>
    <w:rsid w:val="001F1A7E"/>
    <w:rsid w:val="001F46ED"/>
    <w:rsid w:val="00201320"/>
    <w:rsid w:val="00201CE8"/>
    <w:rsid w:val="00212191"/>
    <w:rsid w:val="00213E6E"/>
    <w:rsid w:val="0021584C"/>
    <w:rsid w:val="00222EAF"/>
    <w:rsid w:val="0023104E"/>
    <w:rsid w:val="00235B89"/>
    <w:rsid w:val="00235C9F"/>
    <w:rsid w:val="002366C8"/>
    <w:rsid w:val="00237EBC"/>
    <w:rsid w:val="00240035"/>
    <w:rsid w:val="0024781B"/>
    <w:rsid w:val="002508CE"/>
    <w:rsid w:val="00250E5F"/>
    <w:rsid w:val="00254BB7"/>
    <w:rsid w:val="002622C5"/>
    <w:rsid w:val="00262A0D"/>
    <w:rsid w:val="00267CD6"/>
    <w:rsid w:val="00271EE1"/>
    <w:rsid w:val="00272BF0"/>
    <w:rsid w:val="0027391B"/>
    <w:rsid w:val="002743C4"/>
    <w:rsid w:val="00277749"/>
    <w:rsid w:val="0028084F"/>
    <w:rsid w:val="002843D1"/>
    <w:rsid w:val="0029024A"/>
    <w:rsid w:val="002938F0"/>
    <w:rsid w:val="00294355"/>
    <w:rsid w:val="00295321"/>
    <w:rsid w:val="00295FB3"/>
    <w:rsid w:val="00296D00"/>
    <w:rsid w:val="002B0125"/>
    <w:rsid w:val="002B0BA3"/>
    <w:rsid w:val="002B0BD3"/>
    <w:rsid w:val="002B2A89"/>
    <w:rsid w:val="002B2AD6"/>
    <w:rsid w:val="002B5228"/>
    <w:rsid w:val="002B67E3"/>
    <w:rsid w:val="002C14F2"/>
    <w:rsid w:val="002D3A52"/>
    <w:rsid w:val="002D4930"/>
    <w:rsid w:val="002D62D3"/>
    <w:rsid w:val="002D6867"/>
    <w:rsid w:val="002D6CF1"/>
    <w:rsid w:val="002E16A0"/>
    <w:rsid w:val="002E2243"/>
    <w:rsid w:val="002E25F0"/>
    <w:rsid w:val="002E71AB"/>
    <w:rsid w:val="002F1BE6"/>
    <w:rsid w:val="002F5E6C"/>
    <w:rsid w:val="002F747C"/>
    <w:rsid w:val="0030361E"/>
    <w:rsid w:val="0030403E"/>
    <w:rsid w:val="003176DB"/>
    <w:rsid w:val="00320E83"/>
    <w:rsid w:val="00320EFE"/>
    <w:rsid w:val="00321E96"/>
    <w:rsid w:val="0032748E"/>
    <w:rsid w:val="00332F6E"/>
    <w:rsid w:val="00335E19"/>
    <w:rsid w:val="00341CC1"/>
    <w:rsid w:val="003421DA"/>
    <w:rsid w:val="003532DB"/>
    <w:rsid w:val="00356277"/>
    <w:rsid w:val="0035762A"/>
    <w:rsid w:val="00357E30"/>
    <w:rsid w:val="00365EB7"/>
    <w:rsid w:val="00366B36"/>
    <w:rsid w:val="003759DC"/>
    <w:rsid w:val="00383655"/>
    <w:rsid w:val="00383763"/>
    <w:rsid w:val="00383C40"/>
    <w:rsid w:val="00384BFD"/>
    <w:rsid w:val="003917E2"/>
    <w:rsid w:val="00391E8C"/>
    <w:rsid w:val="003A053C"/>
    <w:rsid w:val="003C0123"/>
    <w:rsid w:val="003C1C0B"/>
    <w:rsid w:val="003C2F45"/>
    <w:rsid w:val="003C6E78"/>
    <w:rsid w:val="003D35E2"/>
    <w:rsid w:val="003D79F8"/>
    <w:rsid w:val="003D7A63"/>
    <w:rsid w:val="003D7C11"/>
    <w:rsid w:val="003E66C4"/>
    <w:rsid w:val="003F0C3B"/>
    <w:rsid w:val="003F60A8"/>
    <w:rsid w:val="004010EB"/>
    <w:rsid w:val="0040199C"/>
    <w:rsid w:val="004069E7"/>
    <w:rsid w:val="004152BF"/>
    <w:rsid w:val="0041764E"/>
    <w:rsid w:val="004234D3"/>
    <w:rsid w:val="00424D73"/>
    <w:rsid w:val="00430547"/>
    <w:rsid w:val="00430997"/>
    <w:rsid w:val="0043113D"/>
    <w:rsid w:val="004361A1"/>
    <w:rsid w:val="00437AFF"/>
    <w:rsid w:val="00453DBD"/>
    <w:rsid w:val="00454B4F"/>
    <w:rsid w:val="0046441F"/>
    <w:rsid w:val="00465ED2"/>
    <w:rsid w:val="00477618"/>
    <w:rsid w:val="00481C94"/>
    <w:rsid w:val="004832CA"/>
    <w:rsid w:val="0049328A"/>
    <w:rsid w:val="00494D78"/>
    <w:rsid w:val="00494E34"/>
    <w:rsid w:val="00496EFB"/>
    <w:rsid w:val="004A5406"/>
    <w:rsid w:val="004B3044"/>
    <w:rsid w:val="004B61D8"/>
    <w:rsid w:val="004B7DB7"/>
    <w:rsid w:val="004C04D5"/>
    <w:rsid w:val="004C626F"/>
    <w:rsid w:val="004D411D"/>
    <w:rsid w:val="004D6C9E"/>
    <w:rsid w:val="004E5119"/>
    <w:rsid w:val="004E5C85"/>
    <w:rsid w:val="004E6E3D"/>
    <w:rsid w:val="004E7C5A"/>
    <w:rsid w:val="004F0B95"/>
    <w:rsid w:val="004F54E9"/>
    <w:rsid w:val="004F7433"/>
    <w:rsid w:val="0050045B"/>
    <w:rsid w:val="005078CC"/>
    <w:rsid w:val="00515803"/>
    <w:rsid w:val="00524A6C"/>
    <w:rsid w:val="005274EB"/>
    <w:rsid w:val="0053107F"/>
    <w:rsid w:val="00534225"/>
    <w:rsid w:val="005404DA"/>
    <w:rsid w:val="0054169E"/>
    <w:rsid w:val="00545123"/>
    <w:rsid w:val="0055090D"/>
    <w:rsid w:val="00560635"/>
    <w:rsid w:val="00565890"/>
    <w:rsid w:val="00580F63"/>
    <w:rsid w:val="0058371F"/>
    <w:rsid w:val="00584C6B"/>
    <w:rsid w:val="005861D4"/>
    <w:rsid w:val="00587143"/>
    <w:rsid w:val="005939DB"/>
    <w:rsid w:val="00593ECC"/>
    <w:rsid w:val="005964F6"/>
    <w:rsid w:val="005A1B8A"/>
    <w:rsid w:val="005A5340"/>
    <w:rsid w:val="005A7C48"/>
    <w:rsid w:val="005B18DC"/>
    <w:rsid w:val="005B27FB"/>
    <w:rsid w:val="005B3E1E"/>
    <w:rsid w:val="005B416F"/>
    <w:rsid w:val="005B60D8"/>
    <w:rsid w:val="005B71BB"/>
    <w:rsid w:val="005C03DF"/>
    <w:rsid w:val="005C6B62"/>
    <w:rsid w:val="005D08E2"/>
    <w:rsid w:val="005D1303"/>
    <w:rsid w:val="005D3903"/>
    <w:rsid w:val="005D48D1"/>
    <w:rsid w:val="005D5814"/>
    <w:rsid w:val="005D7C63"/>
    <w:rsid w:val="005E32EA"/>
    <w:rsid w:val="005E6534"/>
    <w:rsid w:val="005F053A"/>
    <w:rsid w:val="005F1160"/>
    <w:rsid w:val="005F748A"/>
    <w:rsid w:val="00601218"/>
    <w:rsid w:val="00602209"/>
    <w:rsid w:val="00607046"/>
    <w:rsid w:val="00611C48"/>
    <w:rsid w:val="00612CEB"/>
    <w:rsid w:val="00612F91"/>
    <w:rsid w:val="00615808"/>
    <w:rsid w:val="0061620D"/>
    <w:rsid w:val="00620A53"/>
    <w:rsid w:val="00624CC9"/>
    <w:rsid w:val="006335E1"/>
    <w:rsid w:val="006341F4"/>
    <w:rsid w:val="0064112C"/>
    <w:rsid w:val="00652314"/>
    <w:rsid w:val="006542AA"/>
    <w:rsid w:val="006601B0"/>
    <w:rsid w:val="00661CB1"/>
    <w:rsid w:val="00665D17"/>
    <w:rsid w:val="00667041"/>
    <w:rsid w:val="00671D60"/>
    <w:rsid w:val="00674A90"/>
    <w:rsid w:val="00687E81"/>
    <w:rsid w:val="006903F1"/>
    <w:rsid w:val="00693DA5"/>
    <w:rsid w:val="006946E3"/>
    <w:rsid w:val="006A4514"/>
    <w:rsid w:val="006A5B45"/>
    <w:rsid w:val="006A7E86"/>
    <w:rsid w:val="006B1EF8"/>
    <w:rsid w:val="006B2772"/>
    <w:rsid w:val="006C0851"/>
    <w:rsid w:val="006C1477"/>
    <w:rsid w:val="006C69F3"/>
    <w:rsid w:val="006C7300"/>
    <w:rsid w:val="006D22C1"/>
    <w:rsid w:val="006D4D95"/>
    <w:rsid w:val="006E0937"/>
    <w:rsid w:val="006E39A2"/>
    <w:rsid w:val="006E6BC4"/>
    <w:rsid w:val="006F1C72"/>
    <w:rsid w:val="006F7651"/>
    <w:rsid w:val="0070061B"/>
    <w:rsid w:val="00703E5F"/>
    <w:rsid w:val="00703E98"/>
    <w:rsid w:val="0071088B"/>
    <w:rsid w:val="007151DE"/>
    <w:rsid w:val="00716FEE"/>
    <w:rsid w:val="007218F7"/>
    <w:rsid w:val="00732EA8"/>
    <w:rsid w:val="007342AE"/>
    <w:rsid w:val="007344B9"/>
    <w:rsid w:val="007370E5"/>
    <w:rsid w:val="0074221B"/>
    <w:rsid w:val="00743D0A"/>
    <w:rsid w:val="007500F4"/>
    <w:rsid w:val="00751DC4"/>
    <w:rsid w:val="00755B2A"/>
    <w:rsid w:val="00756423"/>
    <w:rsid w:val="00757A03"/>
    <w:rsid w:val="00767F59"/>
    <w:rsid w:val="00770211"/>
    <w:rsid w:val="00777151"/>
    <w:rsid w:val="00787596"/>
    <w:rsid w:val="00787F40"/>
    <w:rsid w:val="007923B1"/>
    <w:rsid w:val="007925A3"/>
    <w:rsid w:val="007950BE"/>
    <w:rsid w:val="007A1218"/>
    <w:rsid w:val="007A370F"/>
    <w:rsid w:val="007A7631"/>
    <w:rsid w:val="007B3613"/>
    <w:rsid w:val="007B4D9B"/>
    <w:rsid w:val="007C008B"/>
    <w:rsid w:val="007C197D"/>
    <w:rsid w:val="007C32B3"/>
    <w:rsid w:val="007C5C36"/>
    <w:rsid w:val="007D0B30"/>
    <w:rsid w:val="007D0F29"/>
    <w:rsid w:val="007D2991"/>
    <w:rsid w:val="007E1B13"/>
    <w:rsid w:val="007E4B8B"/>
    <w:rsid w:val="007E5DA4"/>
    <w:rsid w:val="007E5E9B"/>
    <w:rsid w:val="007E6F89"/>
    <w:rsid w:val="007E785C"/>
    <w:rsid w:val="00810F14"/>
    <w:rsid w:val="00812569"/>
    <w:rsid w:val="00824E0C"/>
    <w:rsid w:val="0083222A"/>
    <w:rsid w:val="00832700"/>
    <w:rsid w:val="008365FF"/>
    <w:rsid w:val="00840620"/>
    <w:rsid w:val="0084255E"/>
    <w:rsid w:val="0084313E"/>
    <w:rsid w:val="00851814"/>
    <w:rsid w:val="00860218"/>
    <w:rsid w:val="008606BF"/>
    <w:rsid w:val="00861771"/>
    <w:rsid w:val="00864AA1"/>
    <w:rsid w:val="008673D3"/>
    <w:rsid w:val="008705F1"/>
    <w:rsid w:val="008738B4"/>
    <w:rsid w:val="00874C4E"/>
    <w:rsid w:val="008760BD"/>
    <w:rsid w:val="0088383A"/>
    <w:rsid w:val="008844A1"/>
    <w:rsid w:val="00886732"/>
    <w:rsid w:val="008A46B2"/>
    <w:rsid w:val="008A6505"/>
    <w:rsid w:val="008A759A"/>
    <w:rsid w:val="008B2D8F"/>
    <w:rsid w:val="008B3414"/>
    <w:rsid w:val="008B697C"/>
    <w:rsid w:val="008C1051"/>
    <w:rsid w:val="008C5FD3"/>
    <w:rsid w:val="008C74B0"/>
    <w:rsid w:val="008D03BA"/>
    <w:rsid w:val="008D24C4"/>
    <w:rsid w:val="008D4F74"/>
    <w:rsid w:val="008D69C8"/>
    <w:rsid w:val="008D6B84"/>
    <w:rsid w:val="008E178D"/>
    <w:rsid w:val="008E1D1E"/>
    <w:rsid w:val="008E4F6F"/>
    <w:rsid w:val="008E7244"/>
    <w:rsid w:val="008E7F71"/>
    <w:rsid w:val="008F1325"/>
    <w:rsid w:val="008F1AE1"/>
    <w:rsid w:val="008F3531"/>
    <w:rsid w:val="008F4CEE"/>
    <w:rsid w:val="008F4F9B"/>
    <w:rsid w:val="00903B4A"/>
    <w:rsid w:val="009064BC"/>
    <w:rsid w:val="00910B1B"/>
    <w:rsid w:val="00911FAF"/>
    <w:rsid w:val="00914439"/>
    <w:rsid w:val="00924370"/>
    <w:rsid w:val="00925210"/>
    <w:rsid w:val="00927247"/>
    <w:rsid w:val="00930523"/>
    <w:rsid w:val="009345F8"/>
    <w:rsid w:val="009355C2"/>
    <w:rsid w:val="0093714E"/>
    <w:rsid w:val="00940A55"/>
    <w:rsid w:val="009425AF"/>
    <w:rsid w:val="00945431"/>
    <w:rsid w:val="00946BE2"/>
    <w:rsid w:val="00950F36"/>
    <w:rsid w:val="00952933"/>
    <w:rsid w:val="00953220"/>
    <w:rsid w:val="009537E6"/>
    <w:rsid w:val="009609F2"/>
    <w:rsid w:val="00962483"/>
    <w:rsid w:val="00966561"/>
    <w:rsid w:val="00966823"/>
    <w:rsid w:val="00974BC3"/>
    <w:rsid w:val="00986AB1"/>
    <w:rsid w:val="00992A98"/>
    <w:rsid w:val="00995E72"/>
    <w:rsid w:val="009964DE"/>
    <w:rsid w:val="00997191"/>
    <w:rsid w:val="009A70B8"/>
    <w:rsid w:val="009B451D"/>
    <w:rsid w:val="009B6D9A"/>
    <w:rsid w:val="009C2303"/>
    <w:rsid w:val="009C5094"/>
    <w:rsid w:val="009C50F5"/>
    <w:rsid w:val="009D09F6"/>
    <w:rsid w:val="009E0F2D"/>
    <w:rsid w:val="009E3D42"/>
    <w:rsid w:val="00A00F39"/>
    <w:rsid w:val="00A10079"/>
    <w:rsid w:val="00A20801"/>
    <w:rsid w:val="00A2522B"/>
    <w:rsid w:val="00A30E0E"/>
    <w:rsid w:val="00A33539"/>
    <w:rsid w:val="00A3401E"/>
    <w:rsid w:val="00A3606C"/>
    <w:rsid w:val="00A40975"/>
    <w:rsid w:val="00A4620F"/>
    <w:rsid w:val="00A5053B"/>
    <w:rsid w:val="00A50B1F"/>
    <w:rsid w:val="00A51D80"/>
    <w:rsid w:val="00A54338"/>
    <w:rsid w:val="00A54811"/>
    <w:rsid w:val="00A54875"/>
    <w:rsid w:val="00A55628"/>
    <w:rsid w:val="00A622A4"/>
    <w:rsid w:val="00A63973"/>
    <w:rsid w:val="00A63BC7"/>
    <w:rsid w:val="00A63D90"/>
    <w:rsid w:val="00A6745C"/>
    <w:rsid w:val="00A7183C"/>
    <w:rsid w:val="00A76CC7"/>
    <w:rsid w:val="00A83B71"/>
    <w:rsid w:val="00A83F8C"/>
    <w:rsid w:val="00A85A3D"/>
    <w:rsid w:val="00A93886"/>
    <w:rsid w:val="00AA5815"/>
    <w:rsid w:val="00AB0787"/>
    <w:rsid w:val="00AB141F"/>
    <w:rsid w:val="00AB1A02"/>
    <w:rsid w:val="00AB5B57"/>
    <w:rsid w:val="00AB6FFF"/>
    <w:rsid w:val="00AC440F"/>
    <w:rsid w:val="00AC6A24"/>
    <w:rsid w:val="00AD4E2D"/>
    <w:rsid w:val="00AE1C53"/>
    <w:rsid w:val="00AE2E1B"/>
    <w:rsid w:val="00AE3AB6"/>
    <w:rsid w:val="00AF1A4E"/>
    <w:rsid w:val="00AF244F"/>
    <w:rsid w:val="00AF73EE"/>
    <w:rsid w:val="00B00F82"/>
    <w:rsid w:val="00B06E47"/>
    <w:rsid w:val="00B1071B"/>
    <w:rsid w:val="00B117D4"/>
    <w:rsid w:val="00B12ABD"/>
    <w:rsid w:val="00B13D62"/>
    <w:rsid w:val="00B14B84"/>
    <w:rsid w:val="00B14CD2"/>
    <w:rsid w:val="00B15981"/>
    <w:rsid w:val="00B17BA5"/>
    <w:rsid w:val="00B20476"/>
    <w:rsid w:val="00B309EE"/>
    <w:rsid w:val="00B32D35"/>
    <w:rsid w:val="00B36684"/>
    <w:rsid w:val="00B4330C"/>
    <w:rsid w:val="00B55809"/>
    <w:rsid w:val="00B64FE7"/>
    <w:rsid w:val="00B65479"/>
    <w:rsid w:val="00B663DC"/>
    <w:rsid w:val="00B75DAB"/>
    <w:rsid w:val="00B779B6"/>
    <w:rsid w:val="00B802AE"/>
    <w:rsid w:val="00B802B1"/>
    <w:rsid w:val="00B80C62"/>
    <w:rsid w:val="00B81DDF"/>
    <w:rsid w:val="00B826D9"/>
    <w:rsid w:val="00B8521E"/>
    <w:rsid w:val="00B94E0B"/>
    <w:rsid w:val="00B97C8B"/>
    <w:rsid w:val="00BB470A"/>
    <w:rsid w:val="00BB7A1D"/>
    <w:rsid w:val="00BC24FE"/>
    <w:rsid w:val="00BC39D0"/>
    <w:rsid w:val="00BC3EDD"/>
    <w:rsid w:val="00BC6382"/>
    <w:rsid w:val="00BD3827"/>
    <w:rsid w:val="00BD482C"/>
    <w:rsid w:val="00BE2292"/>
    <w:rsid w:val="00BE6E7F"/>
    <w:rsid w:val="00BE74BC"/>
    <w:rsid w:val="00BF7EDF"/>
    <w:rsid w:val="00C00188"/>
    <w:rsid w:val="00C017A7"/>
    <w:rsid w:val="00C025B3"/>
    <w:rsid w:val="00C03B48"/>
    <w:rsid w:val="00C06AF9"/>
    <w:rsid w:val="00C11427"/>
    <w:rsid w:val="00C13697"/>
    <w:rsid w:val="00C14D3A"/>
    <w:rsid w:val="00C174BD"/>
    <w:rsid w:val="00C23B2C"/>
    <w:rsid w:val="00C25AC9"/>
    <w:rsid w:val="00C30A2E"/>
    <w:rsid w:val="00C30B29"/>
    <w:rsid w:val="00C33EA8"/>
    <w:rsid w:val="00C3720D"/>
    <w:rsid w:val="00C37DC2"/>
    <w:rsid w:val="00C4150D"/>
    <w:rsid w:val="00C4610B"/>
    <w:rsid w:val="00C53E69"/>
    <w:rsid w:val="00C54B57"/>
    <w:rsid w:val="00C55043"/>
    <w:rsid w:val="00C645BD"/>
    <w:rsid w:val="00C73AB1"/>
    <w:rsid w:val="00C73EAA"/>
    <w:rsid w:val="00C7521A"/>
    <w:rsid w:val="00C758E0"/>
    <w:rsid w:val="00C824FE"/>
    <w:rsid w:val="00C855A6"/>
    <w:rsid w:val="00C91C64"/>
    <w:rsid w:val="00C923E1"/>
    <w:rsid w:val="00C92CCC"/>
    <w:rsid w:val="00C94E55"/>
    <w:rsid w:val="00C9639D"/>
    <w:rsid w:val="00CA2128"/>
    <w:rsid w:val="00CA224E"/>
    <w:rsid w:val="00CA3461"/>
    <w:rsid w:val="00CA6435"/>
    <w:rsid w:val="00CB16C8"/>
    <w:rsid w:val="00CB24BA"/>
    <w:rsid w:val="00CC038C"/>
    <w:rsid w:val="00CD2E7A"/>
    <w:rsid w:val="00CD4756"/>
    <w:rsid w:val="00CD7F54"/>
    <w:rsid w:val="00CE08D7"/>
    <w:rsid w:val="00CE23CD"/>
    <w:rsid w:val="00CE5E5C"/>
    <w:rsid w:val="00CF103D"/>
    <w:rsid w:val="00CF40E9"/>
    <w:rsid w:val="00CF6432"/>
    <w:rsid w:val="00CF6F7F"/>
    <w:rsid w:val="00D00AB1"/>
    <w:rsid w:val="00D03D92"/>
    <w:rsid w:val="00D06195"/>
    <w:rsid w:val="00D0693F"/>
    <w:rsid w:val="00D14554"/>
    <w:rsid w:val="00D16371"/>
    <w:rsid w:val="00D23A89"/>
    <w:rsid w:val="00D3588F"/>
    <w:rsid w:val="00D379BE"/>
    <w:rsid w:val="00D461AE"/>
    <w:rsid w:val="00D466BD"/>
    <w:rsid w:val="00D5175F"/>
    <w:rsid w:val="00D54D40"/>
    <w:rsid w:val="00D57070"/>
    <w:rsid w:val="00D7084B"/>
    <w:rsid w:val="00D75616"/>
    <w:rsid w:val="00D75A20"/>
    <w:rsid w:val="00D80B33"/>
    <w:rsid w:val="00D836EC"/>
    <w:rsid w:val="00D919C6"/>
    <w:rsid w:val="00D922CD"/>
    <w:rsid w:val="00D94CE2"/>
    <w:rsid w:val="00D94CF9"/>
    <w:rsid w:val="00DA0B79"/>
    <w:rsid w:val="00DA0E72"/>
    <w:rsid w:val="00DA5D75"/>
    <w:rsid w:val="00DA7BC3"/>
    <w:rsid w:val="00DB1C35"/>
    <w:rsid w:val="00DB5DF8"/>
    <w:rsid w:val="00DD4B1E"/>
    <w:rsid w:val="00DE4872"/>
    <w:rsid w:val="00DE5531"/>
    <w:rsid w:val="00DF17BC"/>
    <w:rsid w:val="00DF4332"/>
    <w:rsid w:val="00DF4C51"/>
    <w:rsid w:val="00E0181D"/>
    <w:rsid w:val="00E05763"/>
    <w:rsid w:val="00E11022"/>
    <w:rsid w:val="00E20257"/>
    <w:rsid w:val="00E23D54"/>
    <w:rsid w:val="00E25DA7"/>
    <w:rsid w:val="00E264CB"/>
    <w:rsid w:val="00E36226"/>
    <w:rsid w:val="00E42ECD"/>
    <w:rsid w:val="00E4441E"/>
    <w:rsid w:val="00E47EF3"/>
    <w:rsid w:val="00E50176"/>
    <w:rsid w:val="00E542A9"/>
    <w:rsid w:val="00E62078"/>
    <w:rsid w:val="00E622A4"/>
    <w:rsid w:val="00E64935"/>
    <w:rsid w:val="00E84E12"/>
    <w:rsid w:val="00E850E6"/>
    <w:rsid w:val="00E93F23"/>
    <w:rsid w:val="00EA58A1"/>
    <w:rsid w:val="00EA6D0B"/>
    <w:rsid w:val="00EB11B3"/>
    <w:rsid w:val="00EC1027"/>
    <w:rsid w:val="00EC323C"/>
    <w:rsid w:val="00EC5C53"/>
    <w:rsid w:val="00EC5E32"/>
    <w:rsid w:val="00EC64BB"/>
    <w:rsid w:val="00ED3265"/>
    <w:rsid w:val="00ED452F"/>
    <w:rsid w:val="00ED4C96"/>
    <w:rsid w:val="00ED5A54"/>
    <w:rsid w:val="00F10B51"/>
    <w:rsid w:val="00F14382"/>
    <w:rsid w:val="00F15C56"/>
    <w:rsid w:val="00F270D1"/>
    <w:rsid w:val="00F271D2"/>
    <w:rsid w:val="00F2721B"/>
    <w:rsid w:val="00F30394"/>
    <w:rsid w:val="00F332C5"/>
    <w:rsid w:val="00F364AB"/>
    <w:rsid w:val="00F410DA"/>
    <w:rsid w:val="00F41D2F"/>
    <w:rsid w:val="00F45C3C"/>
    <w:rsid w:val="00F47E5F"/>
    <w:rsid w:val="00F50490"/>
    <w:rsid w:val="00F72DA8"/>
    <w:rsid w:val="00F742B1"/>
    <w:rsid w:val="00F7583C"/>
    <w:rsid w:val="00F8006A"/>
    <w:rsid w:val="00F8168A"/>
    <w:rsid w:val="00F81C07"/>
    <w:rsid w:val="00F845E4"/>
    <w:rsid w:val="00F90C23"/>
    <w:rsid w:val="00F91440"/>
    <w:rsid w:val="00F919CF"/>
    <w:rsid w:val="00FA058B"/>
    <w:rsid w:val="00FA6AF9"/>
    <w:rsid w:val="00FB447B"/>
    <w:rsid w:val="00FB5D5C"/>
    <w:rsid w:val="00FC3148"/>
    <w:rsid w:val="00FC42FB"/>
    <w:rsid w:val="00FD182E"/>
    <w:rsid w:val="00FE0F03"/>
    <w:rsid w:val="00FE2E34"/>
    <w:rsid w:val="00FE3CA4"/>
    <w:rsid w:val="00FE49BB"/>
    <w:rsid w:val="00FE7F80"/>
    <w:rsid w:val="00FF4BD1"/>
    <w:rsid w:val="00FF632A"/>
    <w:rsid w:val="025856A5"/>
    <w:rsid w:val="0454164D"/>
    <w:rsid w:val="08337159"/>
    <w:rsid w:val="0E597C64"/>
    <w:rsid w:val="0E5C72AC"/>
    <w:rsid w:val="11DA4A44"/>
    <w:rsid w:val="1324792E"/>
    <w:rsid w:val="13996445"/>
    <w:rsid w:val="14670766"/>
    <w:rsid w:val="15241723"/>
    <w:rsid w:val="16B05546"/>
    <w:rsid w:val="1F4947A9"/>
    <w:rsid w:val="1FBE038B"/>
    <w:rsid w:val="20D46C32"/>
    <w:rsid w:val="216B326B"/>
    <w:rsid w:val="26FE09C8"/>
    <w:rsid w:val="294861AC"/>
    <w:rsid w:val="2C7E7560"/>
    <w:rsid w:val="2F871E43"/>
    <w:rsid w:val="324E5D39"/>
    <w:rsid w:val="3291083E"/>
    <w:rsid w:val="3314185C"/>
    <w:rsid w:val="33ED01C3"/>
    <w:rsid w:val="382275CC"/>
    <w:rsid w:val="38440D56"/>
    <w:rsid w:val="388A7983"/>
    <w:rsid w:val="3CDA777C"/>
    <w:rsid w:val="3F4A19AB"/>
    <w:rsid w:val="3F791C7D"/>
    <w:rsid w:val="416B4FDB"/>
    <w:rsid w:val="42155777"/>
    <w:rsid w:val="44B21CE6"/>
    <w:rsid w:val="45C12700"/>
    <w:rsid w:val="494B6CBB"/>
    <w:rsid w:val="4998309C"/>
    <w:rsid w:val="4BAD0F5D"/>
    <w:rsid w:val="4E385161"/>
    <w:rsid w:val="4E7D664E"/>
    <w:rsid w:val="50F04A45"/>
    <w:rsid w:val="5203739C"/>
    <w:rsid w:val="535B1AD6"/>
    <w:rsid w:val="542770D5"/>
    <w:rsid w:val="626E2430"/>
    <w:rsid w:val="639D6AA9"/>
    <w:rsid w:val="64101606"/>
    <w:rsid w:val="668D0803"/>
    <w:rsid w:val="675A2FF4"/>
    <w:rsid w:val="6866669C"/>
    <w:rsid w:val="693C3AD3"/>
    <w:rsid w:val="6970401A"/>
    <w:rsid w:val="69A17060"/>
    <w:rsid w:val="6C5B1519"/>
    <w:rsid w:val="6DD5742D"/>
    <w:rsid w:val="6E3B7D24"/>
    <w:rsid w:val="703C06C6"/>
    <w:rsid w:val="719C61EC"/>
    <w:rsid w:val="746010EE"/>
    <w:rsid w:val="7C8D33DE"/>
    <w:rsid w:val="7ED6589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ocked="1"/>
    <w:lsdException w:uiPriority="99" w:name="FollowedHyperlink" w:locked="1"/>
    <w:lsdException w:qFormat="1" w:unhideWhenUsed="0" w:uiPriority="22" w:semiHidden="0" w:name="Strong"/>
    <w:lsdException w:qFormat="1" w:unhideWhenUsed="0" w:uiPriority="2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0" w:semiHidden="0" w:name="Table Grid"/>
    <w:lsdException w:uiPriority="99"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en-US"/>
    </w:rPr>
  </w:style>
  <w:style w:type="paragraph" w:styleId="2">
    <w:name w:val="heading 1"/>
    <w:basedOn w:val="1"/>
    <w:next w:val="1"/>
    <w:link w:val="30"/>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24"/>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31"/>
    <w:semiHidden/>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32"/>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33"/>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34"/>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35"/>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36"/>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37"/>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2">
    <w:name w:val="Balloon Text"/>
    <w:basedOn w:val="1"/>
    <w:link w:val="25"/>
    <w:semiHidden/>
    <w:qFormat/>
    <w:uiPriority w:val="99"/>
    <w:rPr>
      <w:sz w:val="18"/>
      <w:szCs w:val="18"/>
    </w:rPr>
  </w:style>
  <w:style w:type="paragraph" w:styleId="13">
    <w:name w:val="footer"/>
    <w:basedOn w:val="1"/>
    <w:link w:val="26"/>
    <w:qFormat/>
    <w:uiPriority w:val="99"/>
    <w:pPr>
      <w:tabs>
        <w:tab w:val="center" w:pos="4153"/>
        <w:tab w:val="right" w:pos="8306"/>
      </w:tabs>
      <w:snapToGrid w:val="0"/>
    </w:pPr>
    <w:rPr>
      <w:sz w:val="18"/>
      <w:szCs w:val="18"/>
    </w:rPr>
  </w:style>
  <w:style w:type="paragraph" w:styleId="14">
    <w:name w:val="header"/>
    <w:basedOn w:val="1"/>
    <w:link w:val="27"/>
    <w:qFormat/>
    <w:uiPriority w:val="99"/>
    <w:pPr>
      <w:pBdr>
        <w:bottom w:val="single" w:color="auto" w:sz="6" w:space="1"/>
      </w:pBdr>
      <w:tabs>
        <w:tab w:val="center" w:pos="4153"/>
        <w:tab w:val="right" w:pos="8306"/>
      </w:tabs>
      <w:snapToGrid w:val="0"/>
      <w:jc w:val="center"/>
    </w:pPr>
    <w:rPr>
      <w:sz w:val="18"/>
      <w:szCs w:val="18"/>
    </w:rPr>
  </w:style>
  <w:style w:type="paragraph" w:styleId="15">
    <w:name w:val="Subtitle"/>
    <w:basedOn w:val="1"/>
    <w:next w:val="1"/>
    <w:link w:val="39"/>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6">
    <w:name w:val="Normal (Web)"/>
    <w:basedOn w:val="1"/>
    <w:qFormat/>
    <w:uiPriority w:val="99"/>
    <w:pPr>
      <w:spacing w:before="100" w:beforeAutospacing="1" w:after="100" w:afterAutospacing="1"/>
    </w:pPr>
    <w:rPr>
      <w:rFonts w:ascii="宋体" w:hAnsi="宋体" w:cs="宋体"/>
      <w:sz w:val="24"/>
      <w:szCs w:val="24"/>
    </w:rPr>
  </w:style>
  <w:style w:type="paragraph" w:styleId="17">
    <w:name w:val="Title"/>
    <w:basedOn w:val="1"/>
    <w:next w:val="1"/>
    <w:link w:val="38"/>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character" w:styleId="20">
    <w:name w:val="Strong"/>
    <w:basedOn w:val="19"/>
    <w:qFormat/>
    <w:uiPriority w:val="22"/>
    <w:rPr>
      <w:b/>
      <w:bCs/>
    </w:rPr>
  </w:style>
  <w:style w:type="character" w:styleId="21">
    <w:name w:val="page number"/>
    <w:basedOn w:val="19"/>
    <w:qFormat/>
    <w:uiPriority w:val="99"/>
    <w:rPr>
      <w:rFonts w:cs="Times New Roman"/>
    </w:rPr>
  </w:style>
  <w:style w:type="character" w:styleId="22">
    <w:name w:val="Emphasis"/>
    <w:basedOn w:val="19"/>
    <w:qFormat/>
    <w:uiPriority w:val="20"/>
    <w:rPr>
      <w:i/>
      <w:iCs/>
    </w:rPr>
  </w:style>
  <w:style w:type="character" w:styleId="23">
    <w:name w:val="Hyperlink"/>
    <w:basedOn w:val="19"/>
    <w:qFormat/>
    <w:locked/>
    <w:uiPriority w:val="99"/>
    <w:rPr>
      <w:rFonts w:cs="Times New Roman"/>
      <w:color w:val="0000FF"/>
      <w:u w:val="single"/>
    </w:rPr>
  </w:style>
  <w:style w:type="character" w:customStyle="1" w:styleId="24">
    <w:name w:val="标题 2 Char"/>
    <w:basedOn w:val="19"/>
    <w:link w:val="3"/>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25">
    <w:name w:val="批注框文本 Char"/>
    <w:basedOn w:val="19"/>
    <w:link w:val="12"/>
    <w:qFormat/>
    <w:locked/>
    <w:uiPriority w:val="99"/>
    <w:rPr>
      <w:rFonts w:cs="Times New Roman"/>
      <w:kern w:val="2"/>
      <w:sz w:val="18"/>
      <w:szCs w:val="18"/>
    </w:rPr>
  </w:style>
  <w:style w:type="character" w:customStyle="1" w:styleId="26">
    <w:name w:val="页脚 Char"/>
    <w:basedOn w:val="19"/>
    <w:link w:val="13"/>
    <w:semiHidden/>
    <w:qFormat/>
    <w:locked/>
    <w:uiPriority w:val="99"/>
    <w:rPr>
      <w:rFonts w:cs="Times New Roman"/>
      <w:sz w:val="18"/>
      <w:szCs w:val="18"/>
    </w:rPr>
  </w:style>
  <w:style w:type="character" w:customStyle="1" w:styleId="27">
    <w:name w:val="页眉 Char"/>
    <w:basedOn w:val="19"/>
    <w:link w:val="14"/>
    <w:qFormat/>
    <w:locked/>
    <w:uiPriority w:val="99"/>
    <w:rPr>
      <w:rFonts w:cs="Times New Roman"/>
      <w:kern w:val="2"/>
      <w:sz w:val="18"/>
      <w:szCs w:val="18"/>
    </w:rPr>
  </w:style>
  <w:style w:type="paragraph" w:customStyle="1" w:styleId="28">
    <w:name w:val="List Paragraph1"/>
    <w:basedOn w:val="1"/>
    <w:qFormat/>
    <w:uiPriority w:val="99"/>
    <w:pPr>
      <w:ind w:firstLine="420" w:firstLineChars="200"/>
    </w:pPr>
    <w:rPr>
      <w:rFonts w:ascii="Calibri" w:hAnsi="Calibri" w:cs="Calibri"/>
    </w:rPr>
  </w:style>
  <w:style w:type="paragraph" w:styleId="29">
    <w:name w:val="List Paragraph"/>
    <w:basedOn w:val="1"/>
    <w:qFormat/>
    <w:uiPriority w:val="34"/>
    <w:pPr>
      <w:ind w:left="720"/>
      <w:contextualSpacing/>
    </w:pPr>
  </w:style>
  <w:style w:type="character" w:customStyle="1" w:styleId="30">
    <w:name w:val="标题 1 Char"/>
    <w:basedOn w:val="19"/>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31">
    <w:name w:val="标题 3 Char"/>
    <w:basedOn w:val="19"/>
    <w:link w:val="4"/>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32">
    <w:name w:val="标题 4 Char"/>
    <w:basedOn w:val="19"/>
    <w:link w:val="5"/>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33">
    <w:name w:val="标题 5 Char"/>
    <w:basedOn w:val="19"/>
    <w:link w:val="6"/>
    <w:qFormat/>
    <w:uiPriority w:val="9"/>
    <w:rPr>
      <w:rFonts w:asciiTheme="majorHAnsi" w:hAnsiTheme="majorHAnsi" w:eastAsiaTheme="majorEastAsia" w:cstheme="majorBidi"/>
      <w:color w:val="254061" w:themeColor="accent1" w:themeShade="80"/>
    </w:rPr>
  </w:style>
  <w:style w:type="character" w:customStyle="1" w:styleId="34">
    <w:name w:val="标题 6 Char"/>
    <w:basedOn w:val="19"/>
    <w:link w:val="7"/>
    <w:qFormat/>
    <w:uiPriority w:val="9"/>
    <w:rPr>
      <w:rFonts w:asciiTheme="majorHAnsi" w:hAnsiTheme="majorHAnsi" w:eastAsiaTheme="majorEastAsia" w:cstheme="majorBidi"/>
      <w:i/>
      <w:iCs/>
      <w:color w:val="254061" w:themeColor="accent1" w:themeShade="80"/>
    </w:rPr>
  </w:style>
  <w:style w:type="character" w:customStyle="1" w:styleId="35">
    <w:name w:val="标题 7 Char"/>
    <w:basedOn w:val="19"/>
    <w:link w:val="8"/>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36">
    <w:name w:val="标题 8 Char"/>
    <w:basedOn w:val="19"/>
    <w:link w:val="9"/>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37">
    <w:name w:val="标题 9 Char"/>
    <w:basedOn w:val="19"/>
    <w:link w:val="10"/>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customStyle="1" w:styleId="38">
    <w:name w:val="标题 Char"/>
    <w:basedOn w:val="19"/>
    <w:link w:val="17"/>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39">
    <w:name w:val="副标题 Char"/>
    <w:basedOn w:val="19"/>
    <w:link w:val="15"/>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40">
    <w:name w:val="No Spacing"/>
    <w:qFormat/>
    <w:uiPriority w:val="1"/>
    <w:rPr>
      <w:rFonts w:asciiTheme="minorHAnsi" w:hAnsiTheme="minorHAnsi" w:eastAsiaTheme="minorEastAsia" w:cstheme="minorBidi"/>
      <w:sz w:val="22"/>
      <w:szCs w:val="22"/>
      <w:lang w:val="en-US" w:eastAsia="en-US" w:bidi="en-US"/>
    </w:rPr>
  </w:style>
  <w:style w:type="paragraph" w:styleId="41">
    <w:name w:val="Quote"/>
    <w:basedOn w:val="1"/>
    <w:next w:val="1"/>
    <w:link w:val="42"/>
    <w:qFormat/>
    <w:uiPriority w:val="29"/>
    <w:rPr>
      <w:i/>
      <w:iCs/>
      <w:color w:val="000000" w:themeColor="text1"/>
      <w14:textFill>
        <w14:solidFill>
          <w14:schemeClr w14:val="tx1"/>
        </w14:solidFill>
      </w14:textFill>
    </w:rPr>
  </w:style>
  <w:style w:type="character" w:customStyle="1" w:styleId="42">
    <w:name w:val="引用 Char"/>
    <w:basedOn w:val="19"/>
    <w:link w:val="41"/>
    <w:qFormat/>
    <w:uiPriority w:val="29"/>
    <w:rPr>
      <w:i/>
      <w:iCs/>
      <w:color w:val="000000" w:themeColor="text1"/>
      <w14:textFill>
        <w14:solidFill>
          <w14:schemeClr w14:val="tx1"/>
        </w14:solidFill>
      </w14:textFill>
    </w:rPr>
  </w:style>
  <w:style w:type="paragraph" w:styleId="43">
    <w:name w:val="Intense Quote"/>
    <w:basedOn w:val="1"/>
    <w:next w:val="1"/>
    <w:link w:val="44"/>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44">
    <w:name w:val="明显引用 Char"/>
    <w:basedOn w:val="19"/>
    <w:link w:val="43"/>
    <w:qFormat/>
    <w:uiPriority w:val="30"/>
    <w:rPr>
      <w:b/>
      <w:bCs/>
      <w:i/>
      <w:iCs/>
      <w:color w:val="4F81BD" w:themeColor="accent1"/>
      <w14:textFill>
        <w14:solidFill>
          <w14:schemeClr w14:val="accent1"/>
        </w14:solidFill>
      </w14:textFill>
    </w:rPr>
  </w:style>
  <w:style w:type="character" w:customStyle="1" w:styleId="45">
    <w:name w:val="不明显强调1"/>
    <w:basedOn w:val="19"/>
    <w:qFormat/>
    <w:uiPriority w:val="19"/>
    <w:rPr>
      <w:i/>
      <w:iCs/>
      <w:color w:val="808080" w:themeColor="text1" w:themeTint="80"/>
      <w14:textFill>
        <w14:solidFill>
          <w14:schemeClr w14:val="tx1">
            <w14:lumMod w14:val="50000"/>
            <w14:lumOff w14:val="50000"/>
          </w14:schemeClr>
        </w14:solidFill>
      </w14:textFill>
    </w:rPr>
  </w:style>
  <w:style w:type="character" w:customStyle="1" w:styleId="46">
    <w:name w:val="明显强调1"/>
    <w:basedOn w:val="19"/>
    <w:qFormat/>
    <w:uiPriority w:val="21"/>
    <w:rPr>
      <w:b/>
      <w:bCs/>
      <w:i/>
      <w:iCs/>
      <w:color w:val="4F81BD" w:themeColor="accent1"/>
      <w14:textFill>
        <w14:solidFill>
          <w14:schemeClr w14:val="accent1"/>
        </w14:solidFill>
      </w14:textFill>
    </w:rPr>
  </w:style>
  <w:style w:type="character" w:customStyle="1" w:styleId="47">
    <w:name w:val="不明显参考1"/>
    <w:basedOn w:val="19"/>
    <w:qFormat/>
    <w:uiPriority w:val="31"/>
    <w:rPr>
      <w:smallCaps/>
      <w:color w:val="C0504D" w:themeColor="accent2"/>
      <w:u w:val="single"/>
      <w14:textFill>
        <w14:solidFill>
          <w14:schemeClr w14:val="accent2"/>
        </w14:solidFill>
      </w14:textFill>
    </w:rPr>
  </w:style>
  <w:style w:type="character" w:customStyle="1" w:styleId="48">
    <w:name w:val="明显参考1"/>
    <w:basedOn w:val="19"/>
    <w:qFormat/>
    <w:uiPriority w:val="32"/>
    <w:rPr>
      <w:b/>
      <w:bCs/>
      <w:smallCaps/>
      <w:color w:val="C0504D" w:themeColor="accent2"/>
      <w:spacing w:val="5"/>
      <w:u w:val="single"/>
      <w14:textFill>
        <w14:solidFill>
          <w14:schemeClr w14:val="accent2"/>
        </w14:solidFill>
      </w14:textFill>
    </w:rPr>
  </w:style>
  <w:style w:type="character" w:customStyle="1" w:styleId="49">
    <w:name w:val="书籍标题1"/>
    <w:basedOn w:val="19"/>
    <w:qFormat/>
    <w:uiPriority w:val="33"/>
    <w:rPr>
      <w:b/>
      <w:bCs/>
      <w:smallCaps/>
      <w:spacing w:val="5"/>
    </w:rPr>
  </w:style>
  <w:style w:type="paragraph" w:customStyle="1" w:styleId="50">
    <w:name w:val="TOC 标题1"/>
    <w:basedOn w:val="2"/>
    <w:next w:val="1"/>
    <w:semiHidden/>
    <w:unhideWhenUsed/>
    <w:qFormat/>
    <w:uiPriority w:val="39"/>
    <w:pPr>
      <w:outlineLvl w:val="9"/>
    </w:pPr>
  </w:style>
  <w:style w:type="paragraph" w:customStyle="1" w:styleId="51">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AEA077-5E85-438A-A689-A992B5DEC8B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35</Pages>
  <Words>11782</Words>
  <Characters>17684</Characters>
  <Lines>150</Lines>
  <Paragraphs>42</Paragraphs>
  <TotalTime>7</TotalTime>
  <ScaleCrop>false</ScaleCrop>
  <LinksUpToDate>false</LinksUpToDate>
  <CharactersWithSpaces>18156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2020-08-27T02:04:00Z</dcterms:created>
  <dc:creator>Administrator</dc:creator>
  <cp:lastModifiedBy>Even</cp:lastModifiedBy>
  <cp:lastPrinted>2023-05-12T01:21:00Z</cp:lastPrinted>
  <dcterms:modified xsi:type="dcterms:W3CDTF">2023-08-08T03:17:42Z</dcterms:modified>
  <dc:title>科学技术部2012年部门预算</dc:title>
  <cp:revision>213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C69A1B9DE71B43F8B4DA92BDEB7C0FA2_13</vt:lpwstr>
  </property>
</Properties>
</file>