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湘潭县人力资源和社会保障局</w:t>
      </w:r>
    </w:p>
    <w:p>
      <w:pPr>
        <w:tabs>
          <w:tab w:val="left" w:pos="6480"/>
        </w:tabs>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部门整体支出绩效评价报告</w:t>
      </w:r>
    </w:p>
    <w:tbl>
      <w:tblPr>
        <w:tblStyle w:val="7"/>
        <w:tblpPr w:leftFromText="180" w:rightFromText="180" w:vertAnchor="text" w:horzAnchor="page" w:tblpX="1650" w:tblpY="15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425"/>
        <w:gridCol w:w="6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817" w:type="dxa"/>
            <w:vMerge w:val="restart"/>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部门</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概况</w:t>
            </w:r>
          </w:p>
        </w:tc>
        <w:tc>
          <w:tcPr>
            <w:tcW w:w="1701" w:type="dxa"/>
            <w:gridSpan w:val="2"/>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单位名称</w:t>
            </w:r>
          </w:p>
        </w:tc>
        <w:tc>
          <w:tcPr>
            <w:tcW w:w="6521" w:type="dxa"/>
            <w:vAlign w:val="center"/>
          </w:tcPr>
          <w:p>
            <w:pPr>
              <w:spacing w:line="300" w:lineRule="exact"/>
              <w:jc w:val="center"/>
              <w:rPr>
                <w:rFonts w:ascii="仿宋_GB2312" w:hAnsi="宋体" w:eastAsia="仿宋_GB2312" w:cs="宋体"/>
                <w:sz w:val="22"/>
                <w:szCs w:val="22"/>
              </w:rPr>
            </w:pPr>
            <w:r>
              <w:rPr>
                <w:rFonts w:hint="eastAsia" w:ascii="仿宋_GB2312" w:hAnsi="仿宋_GB2312" w:eastAsia="仿宋_GB2312" w:cs="仿宋_GB2312"/>
                <w:sz w:val="22"/>
                <w:szCs w:val="22"/>
              </w:rPr>
              <w:t>湘潭县人力资源和社会保障局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17" w:type="dxa"/>
            <w:vMerge w:val="continue"/>
            <w:vAlign w:val="center"/>
          </w:tcPr>
          <w:p>
            <w:pPr>
              <w:spacing w:line="300" w:lineRule="exact"/>
              <w:jc w:val="center"/>
              <w:rPr>
                <w:rFonts w:ascii="仿宋_GB2312" w:hAnsi="宋体" w:eastAsia="仿宋_GB2312" w:cs="宋体"/>
                <w:b/>
                <w:szCs w:val="21"/>
              </w:rPr>
            </w:pPr>
          </w:p>
        </w:tc>
        <w:tc>
          <w:tcPr>
            <w:tcW w:w="1701" w:type="dxa"/>
            <w:gridSpan w:val="2"/>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年度预算金额</w:t>
            </w:r>
          </w:p>
        </w:tc>
        <w:tc>
          <w:tcPr>
            <w:tcW w:w="6521" w:type="dxa"/>
            <w:vAlign w:val="center"/>
          </w:tcPr>
          <w:p>
            <w:pPr>
              <w:spacing w:line="300" w:lineRule="exact"/>
              <w:jc w:val="center"/>
              <w:rPr>
                <w:rFonts w:ascii="仿宋_GB2312" w:hAnsi="宋体" w:eastAsia="仿宋_GB2312" w:cs="宋体"/>
                <w:color w:val="FF0000"/>
                <w:sz w:val="22"/>
                <w:szCs w:val="22"/>
              </w:rPr>
            </w:pPr>
            <w:r>
              <w:rPr>
                <w:rFonts w:hint="eastAsia" w:ascii="仿宋_GB2312" w:hAnsi="仿宋_GB2312" w:eastAsia="仿宋_GB2312" w:cs="仿宋_GB2312"/>
                <w:szCs w:val="21"/>
              </w:rPr>
              <w:t>1783.72万元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17" w:type="dxa"/>
            <w:vMerge w:val="continue"/>
            <w:vAlign w:val="center"/>
          </w:tcPr>
          <w:p>
            <w:pPr>
              <w:spacing w:line="300" w:lineRule="exact"/>
              <w:jc w:val="center"/>
              <w:rPr>
                <w:rFonts w:ascii="仿宋_GB2312" w:hAnsi="宋体" w:eastAsia="仿宋_GB2312" w:cs="宋体"/>
                <w:b/>
                <w:szCs w:val="21"/>
              </w:rPr>
            </w:pPr>
          </w:p>
        </w:tc>
        <w:tc>
          <w:tcPr>
            <w:tcW w:w="1701" w:type="dxa"/>
            <w:gridSpan w:val="2"/>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主管部门</w:t>
            </w:r>
          </w:p>
        </w:tc>
        <w:tc>
          <w:tcPr>
            <w:tcW w:w="6521" w:type="dxa"/>
            <w:vAlign w:val="center"/>
          </w:tcPr>
          <w:p>
            <w:pPr>
              <w:spacing w:line="300" w:lineRule="exact"/>
              <w:jc w:val="center"/>
              <w:rPr>
                <w:rFonts w:ascii="仿宋_GB2312" w:hAnsi="宋体" w:eastAsia="仿宋_GB2312" w:cs="宋体"/>
                <w:sz w:val="22"/>
                <w:szCs w:val="22"/>
              </w:rPr>
            </w:pPr>
            <w:r>
              <w:rPr>
                <w:rFonts w:hint="eastAsia" w:ascii="仿宋_GB2312" w:hAnsi="仿宋_GB2312" w:eastAsia="仿宋_GB2312" w:cs="仿宋_GB2312"/>
                <w:sz w:val="22"/>
                <w:szCs w:val="22"/>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7" w:hRule="atLeast"/>
        </w:trPr>
        <w:tc>
          <w:tcPr>
            <w:tcW w:w="817" w:type="dxa"/>
            <w:vMerge w:val="continue"/>
            <w:vAlign w:val="center"/>
          </w:tcPr>
          <w:p>
            <w:pPr>
              <w:spacing w:line="300" w:lineRule="exact"/>
              <w:jc w:val="center"/>
              <w:rPr>
                <w:rFonts w:ascii="仿宋_GB2312" w:hAnsi="宋体" w:eastAsia="仿宋_GB2312" w:cs="宋体"/>
                <w:b/>
                <w:szCs w:val="21"/>
              </w:rPr>
            </w:pPr>
          </w:p>
        </w:tc>
        <w:tc>
          <w:tcPr>
            <w:tcW w:w="1276" w:type="dxa"/>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单位</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基本</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职能</w:t>
            </w:r>
          </w:p>
        </w:tc>
        <w:tc>
          <w:tcPr>
            <w:tcW w:w="6946" w:type="dxa"/>
            <w:gridSpan w:val="2"/>
            <w:vAlign w:val="center"/>
          </w:tcPr>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1、贯彻执行国家、省、市人力资源和社会保障方针政策和法律法规，拟定具体实施方案；编制全县人力资源和社会保障事业发展规划和年度工作计划并组织实施；对全县人力资源和社会保障工作进行综合管理、监督指导、协调服务。</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2、负责全县人力资源开发综合管理。组织实施人力资源市场发展规划和人力资源流动政策；负责建立和管理人力资源市场。</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3、负责促进就业工作。执行统筹城乡的就业发展规划和政策，完善公共就业服务体系；负责全县就业、预测预警和信息报送，拟定应对预案；组织落实就业援助制度；组织落实职业资格制度相关政策，统筹建立面向城乡劳动者的职业培训制度；贯彻执行高校毕业生就业政策，技能人才培养和激励政策。</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4、统筹建立覆盖城乡的社会保障体系，贯彻实施城乡社会保险政策。</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5、负责全县社会保险基金管理，实施监督和内部审计；编制全县社会保险基金预决算草案；负责全县社会保险基金预测预警和信息报送。</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6、负责全县机关事业单位工资收入分配综合管理。贯彻执行机关、企事业单位人员工资收入分配政策；建立机关企事业单位人员工资正常增长和支付保障机制；负责审核纳入县级财政统一发放工资范围的同级政府机关、事业单位及人员的工资、奖金、津补贴标准和离退休费；执行机关企事业单位人员和离退休政策。</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7、负责指导事业单位人事制度改革，实施事业单位人员和机关工勤人员的管理；参与人才管理工作，综合管理全县专业技术队伍建设和专业技术人员工作，承担全县专业技术人员和机关事业单位工勤人员的培训和继续教育工作；归口管理专业技术人员的职称工作。</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8、负责全县外国专家综合管理和会同有关部门做好引进国外智力工作。</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9、贯彻执行农村居民进城务工综合性政策，会同有关部门做好进城务工农村居民的维权工作。</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10、实施劳动、人事争议调解仲裁制度；执行劳动关系法律、法规，完善劳动关系协调机制；负责依法打击非法使用童工和监督落实女工、未成年工的特殊劳动保护政策；组织实施劳动监察，协调劳动者维权工作，依法查处违法侵权案件。</w:t>
            </w:r>
          </w:p>
          <w:p>
            <w:pPr>
              <w:spacing w:line="260" w:lineRule="exact"/>
              <w:ind w:firstLine="420" w:firstLineChars="200"/>
              <w:rPr>
                <w:rFonts w:ascii="仿宋_GB2312" w:hAnsi="宋体" w:eastAsia="仿宋_GB2312" w:cs="宋体"/>
                <w:szCs w:val="21"/>
              </w:rPr>
            </w:pPr>
            <w:r>
              <w:rPr>
                <w:rFonts w:hint="eastAsia" w:ascii="仿宋_GB2312" w:hAnsi="仿宋_GB2312" w:eastAsia="仿宋_GB2312" w:cs="仿宋_GB2312"/>
                <w:szCs w:val="21"/>
              </w:rPr>
              <w:t>11、承办县人民政府交办的其他事项。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8" w:hRule="atLeast"/>
        </w:trPr>
        <w:tc>
          <w:tcPr>
            <w:tcW w:w="817" w:type="dxa"/>
            <w:vMerge w:val="restart"/>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绩效</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完成</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情况</w:t>
            </w:r>
          </w:p>
        </w:tc>
        <w:tc>
          <w:tcPr>
            <w:tcW w:w="1276" w:type="dxa"/>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部门整体</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支出管理</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和使用</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基本情况</w:t>
            </w:r>
          </w:p>
        </w:tc>
        <w:tc>
          <w:tcPr>
            <w:tcW w:w="6946" w:type="dxa"/>
            <w:gridSpan w:val="2"/>
            <w:vAlign w:val="center"/>
          </w:tcPr>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1、全年预算情况： 全年预算安排 2008.52万元（年初预算1783.72万元），其中年度财政拨款收入1810.59万元。</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2、预算执行情况：1、全年支出合计2008.52万元，其中，基本支出1461.96万元，项目支出546.56万元。从经济分类支出上看，工资福利支出1492.47万元，商品和服务支出431.66万元，对个人和家庭的补助支出84.39万元。年末无余额。</w:t>
            </w:r>
          </w:p>
          <w:p>
            <w:pPr>
              <w:spacing w:line="2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3、“三公经费”年初预算14.9万元，支出合计5.54万元，严格控制在财政年初预算内。其中：公务接待费4.26万元，公务用车购置及运行维护费1.28万元，无因公出国（境）费。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2" w:hRule="atLeast"/>
        </w:trPr>
        <w:tc>
          <w:tcPr>
            <w:tcW w:w="817" w:type="dxa"/>
            <w:vMerge w:val="continue"/>
            <w:vAlign w:val="center"/>
          </w:tcPr>
          <w:p>
            <w:pPr>
              <w:spacing w:line="300" w:lineRule="exact"/>
              <w:jc w:val="center"/>
              <w:rPr>
                <w:rFonts w:ascii="仿宋_GB2312" w:hAnsi="宋体" w:eastAsia="仿宋_GB2312" w:cs="宋体"/>
                <w:b/>
                <w:szCs w:val="21"/>
              </w:rPr>
            </w:pPr>
          </w:p>
        </w:tc>
        <w:tc>
          <w:tcPr>
            <w:tcW w:w="1276" w:type="dxa"/>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绩效目标</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完成情况</w:t>
            </w:r>
          </w:p>
        </w:tc>
        <w:tc>
          <w:tcPr>
            <w:tcW w:w="6946" w:type="dxa"/>
            <w:gridSpan w:val="2"/>
            <w:vAlign w:val="center"/>
          </w:tcPr>
          <w:p>
            <w:pPr>
              <w:spacing w:line="260" w:lineRule="exact"/>
              <w:ind w:firstLine="361" w:firstLineChars="200"/>
              <w:rPr>
                <w:rFonts w:ascii="仿宋_GB2312" w:eastAsia="仿宋_GB2312"/>
                <w:b/>
                <w:bCs/>
                <w:color w:val="000000"/>
                <w:sz w:val="18"/>
                <w:szCs w:val="18"/>
              </w:rPr>
            </w:pPr>
            <w:r>
              <w:rPr>
                <w:rFonts w:hint="eastAsia" w:ascii="仿宋_GB2312" w:eastAsia="仿宋_GB2312"/>
                <w:b/>
                <w:bCs/>
                <w:color w:val="000000"/>
                <w:sz w:val="18"/>
                <w:szCs w:val="18"/>
              </w:rPr>
              <w:t>1.就业创业质量稳步提升。</w:t>
            </w:r>
            <w:r>
              <w:rPr>
                <w:rFonts w:hint="eastAsia" w:ascii="仿宋_GB2312" w:eastAsia="仿宋_GB2312"/>
                <w:color w:val="000000"/>
                <w:sz w:val="18"/>
                <w:szCs w:val="18"/>
              </w:rPr>
              <w:t>始终坚持就业优先战略，把支持企业稳定发展作为重中之重，以高校毕业生、返乡农民工、就业困难人员三类人群为重点，积极开展就业创业“三送”“双扩”系列活动，确保全县就业局势整体稳定。全年城镇新增就业5756人，失业人员再就业1579人，就业困难人员再就业224人，新增农村劳动力转移就业5668人，分别完成目标任务的100.98%、121.46%、112%、103.06%。开展职业技能培训4722人，完成目标任务的111.18%。发放创业担保贷款12笔1830万元。组织开展“春风行动”“鸢尾花节”“高校毕业生招聘月”等线上线下专项招聘活动49场次，服务县市区优质企业220家，提供空岗信息2.1万余个，帮助5722人就业</w:t>
            </w:r>
            <w:r>
              <w:rPr>
                <w:rFonts w:hint="eastAsia" w:ascii="仿宋_GB2312" w:eastAsia="仿宋_GB2312"/>
                <w:color w:val="000000"/>
                <w:sz w:val="18"/>
                <w:szCs w:val="18"/>
                <w:lang w:eastAsia="zh-CN"/>
              </w:rPr>
              <w:t>，</w:t>
            </w:r>
            <w:r>
              <w:rPr>
                <w:rFonts w:hint="eastAsia" w:ascii="仿宋_GB2312" w:eastAsia="仿宋_GB2312"/>
                <w:color w:val="000000"/>
                <w:sz w:val="18"/>
                <w:szCs w:val="18"/>
              </w:rPr>
              <w:t>受到企业一致好评。</w:t>
            </w:r>
          </w:p>
          <w:p>
            <w:pPr>
              <w:spacing w:line="260" w:lineRule="exact"/>
              <w:ind w:firstLine="361" w:firstLineChars="200"/>
              <w:rPr>
                <w:rFonts w:ascii="仿宋_GB2312" w:eastAsia="仿宋_GB2312"/>
                <w:color w:val="000000"/>
                <w:sz w:val="18"/>
                <w:szCs w:val="18"/>
              </w:rPr>
            </w:pPr>
            <w:r>
              <w:rPr>
                <w:rFonts w:hint="eastAsia" w:ascii="仿宋_GB2312" w:eastAsia="仿宋_GB2312"/>
                <w:b/>
                <w:bCs/>
                <w:color w:val="000000"/>
                <w:sz w:val="18"/>
                <w:szCs w:val="18"/>
              </w:rPr>
              <w:t>2.社会保障体系更加完善。</w:t>
            </w:r>
            <w:r>
              <w:rPr>
                <w:rFonts w:hint="eastAsia" w:ascii="仿宋_GB2312" w:eastAsia="仿宋_GB2312"/>
                <w:color w:val="000000"/>
                <w:sz w:val="18"/>
                <w:szCs w:val="18"/>
              </w:rPr>
              <w:t>持续推进全民参保计划，想方设法挖掘扩面征缴潜力，不断扩大社保覆盖面。城乡居民养老保险新增参保2176人，工伤保险参保7.83万人，失业保险参保3.77万人。出台《湘潭县社会保险基金管理专项整治巩固拓展行动方案》，全年养老、工伤、失业基金总收入20.6亿元，总支出20.06亿元，本期结余 0.54亿元，预算完成情况良好，基金整体运行平稳。社保卡全县制卡网点达34家，2022年新制卡0.85万张，全县持卡86万人。社会保障水平不断提升，为7316名特殊困难人员代缴城乡居民养老保险费69.19万元，机关社保平均增加149.39元/人/月；企业社保平均增加96.75元/人/月，城乡居民养老保险中央基础养老金增加5元/人/月。</w:t>
            </w:r>
          </w:p>
          <w:p>
            <w:pPr>
              <w:spacing w:line="260" w:lineRule="exact"/>
              <w:ind w:firstLine="361" w:firstLineChars="200"/>
              <w:rPr>
                <w:rFonts w:ascii="仿宋_GB2312" w:eastAsia="仿宋_GB2312"/>
                <w:b/>
                <w:bCs/>
                <w:color w:val="000000"/>
                <w:sz w:val="18"/>
                <w:szCs w:val="18"/>
              </w:rPr>
            </w:pPr>
            <w:r>
              <w:rPr>
                <w:rFonts w:hint="eastAsia" w:ascii="仿宋_GB2312" w:eastAsia="仿宋_GB2312"/>
                <w:b/>
                <w:bCs/>
                <w:color w:val="000000"/>
                <w:sz w:val="18"/>
                <w:szCs w:val="18"/>
              </w:rPr>
              <w:t>3.人事人才管理严格规范。</w:t>
            </w:r>
            <w:r>
              <w:rPr>
                <w:rFonts w:hint="eastAsia" w:ascii="仿宋_GB2312" w:eastAsia="仿宋_GB2312"/>
                <w:color w:val="000000"/>
                <w:sz w:val="18"/>
                <w:szCs w:val="18"/>
              </w:rPr>
              <w:t>开展事业单位职员等级晋升工作，完成90个事业单位岗位设置、70个单位对岗聘用工作，及时审核岗位异动2069人次。开展财政、教育、卫健系统专业技术人员公开招聘工作，组织考试4场次，招聘200余人，其中江声、云龙“民转公”教师公开考试工作高效完成，反响良好。规范人事档案管理，开展人事档案“三龄两历”专项审核，收集补交材料1.14万份。稳步推进线上培训，事业单位工作人员网络培训4561人。规范机关事业单位考核、奖惩，落实各项工资福利待遇，出台《湘潭县规范事业单位工作人员工资津贴补贴实施方案》，切实规范工资收入分配秩序</w:t>
            </w:r>
            <w:r>
              <w:rPr>
                <w:rFonts w:hint="eastAsia" w:ascii="仿宋_GB2312" w:eastAsia="仿宋_GB2312"/>
                <w:b/>
                <w:bCs/>
                <w:color w:val="000000"/>
                <w:sz w:val="18"/>
                <w:szCs w:val="18"/>
              </w:rPr>
              <w:t>。</w:t>
            </w:r>
          </w:p>
          <w:p>
            <w:pPr>
              <w:spacing w:line="260" w:lineRule="exact"/>
              <w:ind w:firstLine="361" w:firstLineChars="200"/>
              <w:rPr>
                <w:rFonts w:ascii="仿宋_GB2312" w:hAnsi="宋体" w:eastAsia="仿宋_GB2312" w:cs="宋体"/>
                <w:sz w:val="18"/>
                <w:szCs w:val="18"/>
              </w:rPr>
            </w:pPr>
            <w:r>
              <w:rPr>
                <w:rFonts w:hint="eastAsia" w:ascii="仿宋_GB2312" w:eastAsia="仿宋_GB2312"/>
                <w:b/>
                <w:bCs/>
                <w:color w:val="000000"/>
                <w:sz w:val="18"/>
                <w:szCs w:val="18"/>
              </w:rPr>
              <w:t>4.社会劳动关系日益和谐。</w:t>
            </w:r>
            <w:r>
              <w:rPr>
                <w:rFonts w:hint="eastAsia" w:ascii="仿宋_GB2312" w:eastAsia="仿宋_GB2312"/>
                <w:color w:val="000000"/>
                <w:sz w:val="18"/>
                <w:szCs w:val="18"/>
              </w:rPr>
              <w:t>积极开展法治宣传教育，</w:t>
            </w:r>
            <w:bookmarkStart w:id="0" w:name="_GoBack"/>
            <w:r>
              <w:rPr>
                <w:rFonts w:hint="eastAsia" w:ascii="仿宋_GB2312" w:eastAsia="仿宋_GB2312"/>
                <w:color w:val="000000"/>
                <w:sz w:val="18"/>
                <w:szCs w:val="18"/>
              </w:rPr>
              <w:t>发放《</w:t>
            </w:r>
            <w:r>
              <w:rPr>
                <w:rFonts w:hint="eastAsia" w:ascii="仿宋_GB2312" w:eastAsia="仿宋_GB2312"/>
                <w:color w:val="000000"/>
                <w:sz w:val="18"/>
                <w:szCs w:val="18"/>
                <w:lang w:eastAsia="zh-CN"/>
              </w:rPr>
              <w:t>中华人民共和国</w:t>
            </w:r>
            <w:r>
              <w:rPr>
                <w:rFonts w:hint="eastAsia" w:ascii="仿宋_GB2312" w:eastAsia="仿宋_GB2312"/>
                <w:color w:val="000000"/>
                <w:sz w:val="18"/>
                <w:szCs w:val="18"/>
              </w:rPr>
              <w:t>劳动合同法》等宣传资料1.1万余份，</w:t>
            </w:r>
            <w:r>
              <w:rPr>
                <w:rFonts w:hint="eastAsia" w:ascii="仿宋_GB2312" w:eastAsia="仿宋_GB2312"/>
                <w:color w:val="000000"/>
                <w:sz w:val="18"/>
                <w:szCs w:val="18"/>
              </w:rPr>
              <w:t>解答各类法律政策咨询1200余人次。深入开展清理整顿人力资源市场、“用心用情.湘薪湘护”集中整治拖欠农民工工资等专项行动，处理各类欠薪隐患和投诉举报案件1000余起（其中，全国欠薪</w:t>
            </w:r>
            <w:bookmarkEnd w:id="0"/>
            <w:r>
              <w:rPr>
                <w:rFonts w:hint="eastAsia" w:ascii="仿宋_GB2312" w:eastAsia="仿宋_GB2312"/>
                <w:color w:val="000000"/>
                <w:sz w:val="18"/>
                <w:szCs w:val="18"/>
              </w:rPr>
              <w:t>平台240起，线索办结率100%），为700余名劳动者追讨工资900余万元，农民工工资清欠工作考核在全市“第一方阵”。签订工资集体协议132份，覆盖企业488家，覆盖职工14427人。全年认定工伤596起，召开工伤认定听证会16次，重大事故和死亡事故向市局、省厅备案，确保公平公正做好工伤认定工作。县内3家企业被评选为市劳动人事争议金牌调解组织，全年劳动仲裁受理立案168件，结案168件</w:t>
            </w:r>
            <w:r>
              <w:rPr>
                <w:rFonts w:hint="eastAsia" w:ascii="仿宋_GB2312" w:eastAsia="仿宋_GB2312"/>
                <w:color w:val="000000"/>
                <w:sz w:val="18"/>
                <w:szCs w:val="18"/>
                <w:lang w:eastAsia="zh-CN"/>
              </w:rPr>
              <w:t>，</w:t>
            </w:r>
            <w:r>
              <w:rPr>
                <w:rFonts w:hint="eastAsia" w:ascii="仿宋_GB2312" w:eastAsia="仿宋_GB2312"/>
                <w:color w:val="000000"/>
                <w:sz w:val="18"/>
                <w:szCs w:val="18"/>
              </w:rPr>
              <w:t>结案率100%。全国劳动人事争议在线调解服务平台调解申请案件29件全部结案，结案率100%。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5" w:hRule="atLeast"/>
        </w:trPr>
        <w:tc>
          <w:tcPr>
            <w:tcW w:w="817" w:type="dxa"/>
            <w:vMerge w:val="restart"/>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存在的问题分析及改进措施</w:t>
            </w:r>
          </w:p>
        </w:tc>
        <w:tc>
          <w:tcPr>
            <w:tcW w:w="1276" w:type="dxa"/>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存在的</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问题</w:t>
            </w:r>
          </w:p>
        </w:tc>
        <w:tc>
          <w:tcPr>
            <w:tcW w:w="6946" w:type="dxa"/>
            <w:gridSpan w:val="2"/>
            <w:vAlign w:val="center"/>
          </w:tcPr>
          <w:p>
            <w:pPr>
              <w:spacing w:line="260" w:lineRule="exact"/>
              <w:ind w:firstLine="420" w:firstLineChars="200"/>
              <w:rPr>
                <w:rFonts w:ascii="仿宋_GB2312" w:eastAsia="仿宋_GB2312"/>
                <w:szCs w:val="21"/>
              </w:rPr>
            </w:pPr>
            <w:r>
              <w:rPr>
                <w:rFonts w:hint="eastAsia" w:ascii="仿宋_GB2312" w:eastAsia="仿宋_GB2312"/>
                <w:szCs w:val="21"/>
              </w:rPr>
              <w:t>1、预算控制有待加强：由于不可预见性政策调整人员经费、单位新增业务性专项资金等各项因素，经费预算在年初预算的基础上，调整幅度较大。</w:t>
            </w:r>
          </w:p>
          <w:p>
            <w:pPr>
              <w:spacing w:line="260" w:lineRule="exact"/>
              <w:ind w:firstLine="420" w:firstLineChars="200"/>
              <w:rPr>
                <w:rFonts w:ascii="仿宋_GB2312" w:eastAsia="仿宋_GB2312"/>
                <w:sz w:val="32"/>
                <w:szCs w:val="32"/>
              </w:rPr>
            </w:pPr>
            <w:r>
              <w:rPr>
                <w:rFonts w:hint="eastAsia" w:ascii="仿宋_GB2312" w:eastAsia="仿宋_GB2312"/>
                <w:szCs w:val="21"/>
              </w:rPr>
              <w:t>2、部分功能性科目规范使用有待加强。因财政资金紧张，所需资金指标很难按时到位，而单位有些必要支出项目不得已使用其他功能指标进行支付。</w:t>
            </w:r>
          </w:p>
          <w:p>
            <w:pPr>
              <w:pStyle w:val="19"/>
              <w:spacing w:line="260" w:lineRule="exact"/>
              <w:ind w:firstLine="420" w:firstLineChars="200"/>
              <w:rPr>
                <w:rFonts w:ascii="仿宋_GB2312" w:hAnsi="宋体" w:eastAsia="仿宋_GB2312" w:cs="宋体"/>
                <w:szCs w:val="21"/>
              </w:rPr>
            </w:pPr>
            <w:r>
              <w:rPr>
                <w:rFonts w:hint="eastAsia" w:ascii="仿宋_GB2312" w:eastAsia="仿宋_GB2312"/>
                <w:szCs w:val="21"/>
              </w:rPr>
              <w:t>3、财务管理存在一定的风险：由于我局机构较多，人员较多，各项支出及各部门的上级政策口径难于把握，特别是认真贯彻执行中央八项规定后，原有的政策制度跟不上来，造成在实际执行中尺度把握不准。且我局业务性专项资金种类繁多，涉及面广，财务整体监管难度偏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5" w:hRule="atLeast"/>
        </w:trPr>
        <w:tc>
          <w:tcPr>
            <w:tcW w:w="817" w:type="dxa"/>
            <w:vMerge w:val="continue"/>
            <w:vAlign w:val="center"/>
          </w:tcPr>
          <w:p>
            <w:pPr>
              <w:spacing w:line="300" w:lineRule="exact"/>
              <w:rPr>
                <w:rFonts w:ascii="仿宋_GB2312" w:hAnsi="宋体" w:eastAsia="仿宋_GB2312" w:cs="宋体"/>
                <w:b/>
                <w:szCs w:val="21"/>
              </w:rPr>
            </w:pPr>
          </w:p>
        </w:tc>
        <w:tc>
          <w:tcPr>
            <w:tcW w:w="1276" w:type="dxa"/>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改进措施</w:t>
            </w:r>
          </w:p>
        </w:tc>
        <w:tc>
          <w:tcPr>
            <w:tcW w:w="6946" w:type="dxa"/>
            <w:gridSpan w:val="2"/>
            <w:vAlign w:val="center"/>
          </w:tcPr>
          <w:p>
            <w:pPr>
              <w:pStyle w:val="19"/>
              <w:spacing w:line="300" w:lineRule="exact"/>
              <w:ind w:firstLine="420" w:firstLineChars="200"/>
              <w:rPr>
                <w:rFonts w:ascii="仿宋_GB2312" w:eastAsia="仿宋_GB2312"/>
                <w:szCs w:val="21"/>
              </w:rPr>
            </w:pPr>
            <w:r>
              <w:rPr>
                <w:rFonts w:hint="eastAsia" w:ascii="仿宋_GB2312" w:eastAsia="仿宋_GB2312"/>
                <w:szCs w:val="21"/>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p>
            <w:pPr>
              <w:pStyle w:val="19"/>
              <w:spacing w:line="300" w:lineRule="exact"/>
              <w:ind w:firstLine="420" w:firstLineChars="200"/>
              <w:rPr>
                <w:rFonts w:ascii="仿宋_GB2312" w:eastAsia="仿宋_GB2312"/>
                <w:szCs w:val="21"/>
              </w:rPr>
            </w:pPr>
            <w:r>
              <w:rPr>
                <w:rFonts w:hint="eastAsia" w:ascii="仿宋_GB2312" w:eastAsia="仿宋_GB2312"/>
                <w:szCs w:val="21"/>
              </w:rPr>
              <w:t>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pPr>
              <w:pStyle w:val="19"/>
              <w:spacing w:line="300" w:lineRule="exact"/>
              <w:ind w:firstLine="420" w:firstLineChars="200"/>
              <w:rPr>
                <w:rFonts w:ascii="仿宋_GB2312" w:hAnsi="宋体" w:eastAsia="仿宋_GB2312" w:cs="宋体"/>
                <w:szCs w:val="21"/>
              </w:rPr>
            </w:pPr>
            <w:r>
              <w:rPr>
                <w:rFonts w:hint="eastAsia" w:ascii="仿宋_GB2312" w:eastAsia="仿宋_GB2312"/>
                <w:szCs w:val="21"/>
              </w:rPr>
              <w:t>3、强化日常管理工作。一是及时掌握资金使用动态情况，了解资金使用过程中产生的效果以及满意度情况；二是加强资金使用各环节的管理，严格按政策、制度的规定用好每一笔资金。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817" w:type="dxa"/>
            <w:vMerge w:val="continue"/>
            <w:vAlign w:val="center"/>
          </w:tcPr>
          <w:p>
            <w:pPr>
              <w:spacing w:line="300" w:lineRule="exact"/>
              <w:rPr>
                <w:rFonts w:ascii="仿宋_GB2312" w:hAnsi="宋体" w:eastAsia="仿宋_GB2312" w:cs="宋体"/>
                <w:szCs w:val="21"/>
              </w:rPr>
            </w:pPr>
          </w:p>
        </w:tc>
        <w:tc>
          <w:tcPr>
            <w:tcW w:w="1276" w:type="dxa"/>
            <w:vAlign w:val="center"/>
          </w:tcPr>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其他需要</w:t>
            </w:r>
          </w:p>
          <w:p>
            <w:pPr>
              <w:spacing w:line="300" w:lineRule="exact"/>
              <w:jc w:val="center"/>
              <w:rPr>
                <w:rFonts w:ascii="仿宋_GB2312" w:hAnsi="宋体" w:eastAsia="仿宋_GB2312" w:cs="宋体"/>
                <w:b/>
                <w:szCs w:val="21"/>
              </w:rPr>
            </w:pPr>
            <w:r>
              <w:rPr>
                <w:rFonts w:hint="eastAsia" w:ascii="仿宋_GB2312" w:hAnsi="宋体" w:eastAsia="仿宋_GB2312" w:cs="宋体"/>
                <w:b/>
                <w:szCs w:val="21"/>
              </w:rPr>
              <w:t>说明问题</w:t>
            </w:r>
          </w:p>
        </w:tc>
        <w:tc>
          <w:tcPr>
            <w:tcW w:w="6946" w:type="dxa"/>
            <w:gridSpan w:val="2"/>
            <w:vAlign w:val="center"/>
          </w:tcPr>
          <w:p>
            <w:pPr>
              <w:pStyle w:val="19"/>
              <w:spacing w:line="300" w:lineRule="exact"/>
              <w:ind w:firstLine="420" w:firstLineChars="200"/>
              <w:rPr>
                <w:rFonts w:ascii="仿宋_GB2312" w:hAnsi="宋体" w:eastAsia="仿宋_GB2312" w:cs="宋体"/>
                <w:szCs w:val="21"/>
              </w:rPr>
            </w:pPr>
            <w:r>
              <w:rPr>
                <w:rFonts w:hint="eastAsia" w:ascii="仿宋_GB2312" w:eastAsia="仿宋_GB2312"/>
                <w:szCs w:val="21"/>
              </w:rPr>
              <w:t>因我局职能部门较多，业务性专项资金种类繁多，涉及面广，预算资金追加项目多，政策调整幅度大，很难准确对各项资金进行预算，故与年初预算相比执行偏差较大</w:t>
            </w:r>
            <w:r>
              <w:rPr>
                <w:rFonts w:hint="eastAsia" w:ascii="宋体" w:hAnsi="宋体" w:cs="宋体"/>
                <w:color w:val="000000"/>
                <w:kern w:val="0"/>
                <w:szCs w:val="21"/>
              </w:rPr>
              <w:t>。</w:t>
            </w:r>
          </w:p>
        </w:tc>
      </w:tr>
    </w:tbl>
    <w:p>
      <w:pPr>
        <w:rPr>
          <w:szCs w:val="18"/>
        </w:rPr>
      </w:pPr>
    </w:p>
    <w:sectPr>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ZmNGFiNjE2Mjg3ODQyNmYwNWFiNjE4NTQxZTYwZmEifQ=="/>
  </w:docVars>
  <w:rsids>
    <w:rsidRoot w:val="002B6CBB"/>
    <w:rsid w:val="0000733A"/>
    <w:rsid w:val="00042F88"/>
    <w:rsid w:val="0006386A"/>
    <w:rsid w:val="000A6B2C"/>
    <w:rsid w:val="000C18CF"/>
    <w:rsid w:val="000D0970"/>
    <w:rsid w:val="000E3B0A"/>
    <w:rsid w:val="000F69D5"/>
    <w:rsid w:val="001126AF"/>
    <w:rsid w:val="00123DA2"/>
    <w:rsid w:val="00144CE0"/>
    <w:rsid w:val="001546AC"/>
    <w:rsid w:val="00165067"/>
    <w:rsid w:val="001722EE"/>
    <w:rsid w:val="001807D1"/>
    <w:rsid w:val="00184A13"/>
    <w:rsid w:val="00190F3C"/>
    <w:rsid w:val="001C564A"/>
    <w:rsid w:val="001D1511"/>
    <w:rsid w:val="00204F40"/>
    <w:rsid w:val="00222272"/>
    <w:rsid w:val="00231F0B"/>
    <w:rsid w:val="002525CC"/>
    <w:rsid w:val="00294FE1"/>
    <w:rsid w:val="002A5979"/>
    <w:rsid w:val="002B6596"/>
    <w:rsid w:val="002B6CBB"/>
    <w:rsid w:val="002B721B"/>
    <w:rsid w:val="002D0C1F"/>
    <w:rsid w:val="002D36E7"/>
    <w:rsid w:val="002E654B"/>
    <w:rsid w:val="002F528D"/>
    <w:rsid w:val="00305285"/>
    <w:rsid w:val="00312140"/>
    <w:rsid w:val="003138CD"/>
    <w:rsid w:val="00316F8D"/>
    <w:rsid w:val="00323C53"/>
    <w:rsid w:val="00340FB5"/>
    <w:rsid w:val="00344E35"/>
    <w:rsid w:val="00346C56"/>
    <w:rsid w:val="00376702"/>
    <w:rsid w:val="00385408"/>
    <w:rsid w:val="003E3853"/>
    <w:rsid w:val="003F4B85"/>
    <w:rsid w:val="004722FA"/>
    <w:rsid w:val="00473158"/>
    <w:rsid w:val="004A130B"/>
    <w:rsid w:val="004B1ACB"/>
    <w:rsid w:val="004B5229"/>
    <w:rsid w:val="004C255D"/>
    <w:rsid w:val="00537663"/>
    <w:rsid w:val="0053772C"/>
    <w:rsid w:val="00537CAA"/>
    <w:rsid w:val="005522AC"/>
    <w:rsid w:val="005918DB"/>
    <w:rsid w:val="005A07E9"/>
    <w:rsid w:val="005C4481"/>
    <w:rsid w:val="005D4BC1"/>
    <w:rsid w:val="0061773F"/>
    <w:rsid w:val="006223FD"/>
    <w:rsid w:val="00633508"/>
    <w:rsid w:val="0064799E"/>
    <w:rsid w:val="0066751D"/>
    <w:rsid w:val="006944FD"/>
    <w:rsid w:val="00696C4A"/>
    <w:rsid w:val="006C6FB1"/>
    <w:rsid w:val="006E116C"/>
    <w:rsid w:val="006E3CE2"/>
    <w:rsid w:val="006F2D50"/>
    <w:rsid w:val="0070093C"/>
    <w:rsid w:val="00731D04"/>
    <w:rsid w:val="00755BFE"/>
    <w:rsid w:val="00755F5E"/>
    <w:rsid w:val="00772694"/>
    <w:rsid w:val="007962AF"/>
    <w:rsid w:val="007C2262"/>
    <w:rsid w:val="007C308D"/>
    <w:rsid w:val="007E0B9E"/>
    <w:rsid w:val="007E2162"/>
    <w:rsid w:val="007E7DFD"/>
    <w:rsid w:val="00804E9C"/>
    <w:rsid w:val="00811274"/>
    <w:rsid w:val="00814D56"/>
    <w:rsid w:val="00861A92"/>
    <w:rsid w:val="008B1F1C"/>
    <w:rsid w:val="008D04D1"/>
    <w:rsid w:val="008F7363"/>
    <w:rsid w:val="00900C07"/>
    <w:rsid w:val="00922C3E"/>
    <w:rsid w:val="0092357F"/>
    <w:rsid w:val="00930E37"/>
    <w:rsid w:val="00933F56"/>
    <w:rsid w:val="00946646"/>
    <w:rsid w:val="00946E4B"/>
    <w:rsid w:val="009A20ED"/>
    <w:rsid w:val="009B6F4F"/>
    <w:rsid w:val="009C371A"/>
    <w:rsid w:val="009E4A97"/>
    <w:rsid w:val="009E74D3"/>
    <w:rsid w:val="00A0307F"/>
    <w:rsid w:val="00A05D97"/>
    <w:rsid w:val="00A102D3"/>
    <w:rsid w:val="00A11F42"/>
    <w:rsid w:val="00A326AA"/>
    <w:rsid w:val="00A4521C"/>
    <w:rsid w:val="00A65494"/>
    <w:rsid w:val="00A71E5C"/>
    <w:rsid w:val="00A74EE3"/>
    <w:rsid w:val="00A8248D"/>
    <w:rsid w:val="00A961F1"/>
    <w:rsid w:val="00AA605A"/>
    <w:rsid w:val="00B07787"/>
    <w:rsid w:val="00B245F0"/>
    <w:rsid w:val="00B27957"/>
    <w:rsid w:val="00B3791B"/>
    <w:rsid w:val="00B7444B"/>
    <w:rsid w:val="00BA5371"/>
    <w:rsid w:val="00C203C0"/>
    <w:rsid w:val="00C54B5A"/>
    <w:rsid w:val="00C6157B"/>
    <w:rsid w:val="00C71072"/>
    <w:rsid w:val="00C716D8"/>
    <w:rsid w:val="00CA0D69"/>
    <w:rsid w:val="00CC114D"/>
    <w:rsid w:val="00D4149B"/>
    <w:rsid w:val="00D46EE8"/>
    <w:rsid w:val="00D63B12"/>
    <w:rsid w:val="00D834E8"/>
    <w:rsid w:val="00D83E19"/>
    <w:rsid w:val="00DB370D"/>
    <w:rsid w:val="00DB5573"/>
    <w:rsid w:val="00DC0A92"/>
    <w:rsid w:val="00DD385B"/>
    <w:rsid w:val="00E40E7D"/>
    <w:rsid w:val="00E6284A"/>
    <w:rsid w:val="00E7773D"/>
    <w:rsid w:val="00E92A23"/>
    <w:rsid w:val="00EB5852"/>
    <w:rsid w:val="00ED2D54"/>
    <w:rsid w:val="00F10959"/>
    <w:rsid w:val="00F20D44"/>
    <w:rsid w:val="00F2121E"/>
    <w:rsid w:val="00F64354"/>
    <w:rsid w:val="00FC19EA"/>
    <w:rsid w:val="00FD15F2"/>
    <w:rsid w:val="00FE0582"/>
    <w:rsid w:val="00FF2D20"/>
    <w:rsid w:val="25597992"/>
    <w:rsid w:val="26F82F86"/>
    <w:rsid w:val="63A71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8"/>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4">
    <w:name w:val="Date"/>
    <w:basedOn w:val="1"/>
    <w:next w:val="1"/>
    <w:link w:val="17"/>
    <w:semiHidden/>
    <w:unhideWhenUsed/>
    <w:qFormat/>
    <w:uiPriority w:val="99"/>
    <w:pPr>
      <w:ind w:left="100" w:leftChars="2500"/>
    </w:p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imes New Roman" w:hAnsi="Times New Roman" w:eastAsia="宋体" w:cs="Times New Roman"/>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Hyperlink"/>
    <w:basedOn w:val="9"/>
    <w:qFormat/>
    <w:uiPriority w:val="0"/>
    <w:rPr>
      <w:color w:val="0000FF"/>
      <w:u w:val="single"/>
    </w:rPr>
  </w:style>
  <w:style w:type="paragraph" w:styleId="12">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3">
    <w:name w:val="页脚 Char"/>
    <w:basedOn w:val="9"/>
    <w:link w:val="2"/>
    <w:semiHidden/>
    <w:qFormat/>
    <w:uiPriority w:val="99"/>
    <w:rPr>
      <w:sz w:val="18"/>
      <w:szCs w:val="18"/>
    </w:rPr>
  </w:style>
  <w:style w:type="character" w:customStyle="1" w:styleId="14">
    <w:name w:val="页眉 Char"/>
    <w:basedOn w:val="9"/>
    <w:link w:val="5"/>
    <w:semiHidden/>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a22"/>
    <w:basedOn w:val="9"/>
    <w:qFormat/>
    <w:uiPriority w:val="0"/>
  </w:style>
  <w:style w:type="character" w:customStyle="1" w:styleId="17">
    <w:name w:val="日期 Char"/>
    <w:basedOn w:val="9"/>
    <w:link w:val="4"/>
    <w:semiHidden/>
    <w:qFormat/>
    <w:uiPriority w:val="99"/>
    <w:rPr>
      <w:szCs w:val="24"/>
    </w:rPr>
  </w:style>
  <w:style w:type="character" w:customStyle="1" w:styleId="18">
    <w:name w:val="标题 1 Char"/>
    <w:basedOn w:val="9"/>
    <w:link w:val="3"/>
    <w:qFormat/>
    <w:uiPriority w:val="0"/>
    <w:rPr>
      <w:rFonts w:ascii="宋体" w:hAnsi="宋体" w:eastAsia="宋体" w:cs="Times New Roman"/>
      <w:b/>
      <w:kern w:val="44"/>
      <w:sz w:val="48"/>
      <w:szCs w:val="48"/>
    </w:rPr>
  </w:style>
  <w:style w:type="paragraph" w:customStyle="1" w:styleId="19">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8FF77E7-0BC6-44A4-AA7E-7C740C3704C2}">
  <ds:schemaRefs/>
</ds:datastoreItem>
</file>

<file path=docProps/app.xml><?xml version="1.0" encoding="utf-8"?>
<Properties xmlns="http://schemas.openxmlformats.org/officeDocument/2006/extended-properties" xmlns:vt="http://schemas.openxmlformats.org/officeDocument/2006/docPropsVTypes">
  <Template>Normal</Template>
  <Pages>3</Pages>
  <Words>3046</Words>
  <Characters>3268</Characters>
  <Lines>23</Lines>
  <Paragraphs>6</Paragraphs>
  <TotalTime>540</TotalTime>
  <ScaleCrop>false</ScaleCrop>
  <LinksUpToDate>false</LinksUpToDate>
  <CharactersWithSpaces>3271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2023-05-16T03:37:00Z</dcterms:created>
  <dc:creator>Administrator</dc:creator>
  <cp:lastModifiedBy>Administrator</cp:lastModifiedBy>
  <dcterms:modified xsi:type="dcterms:W3CDTF">2023-08-02T02:23:26Z</dcterms:modified>
  <cp:revision>181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A2A80035DB834FEBA0D0952DACCCE585_12</vt:lpwstr>
  </property>
</Properties>
</file>