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84"/>
          <w:szCs w:val="84"/>
        </w:rPr>
      </w:pPr>
    </w:p>
    <w:p>
      <w:pPr>
        <w:pStyle w:val="11"/>
        <w:jc w:val="center"/>
        <w:rPr>
          <w:rFonts w:ascii="宋体" w:hAnsi="宋体" w:eastAsia="宋体" w:cs="宋体"/>
          <w:sz w:val="72"/>
          <w:szCs w:val="72"/>
        </w:rPr>
      </w:pPr>
      <w:r>
        <w:rPr>
          <w:rFonts w:hint="eastAsia" w:ascii="宋体" w:hAnsi="宋体" w:eastAsia="宋体" w:cs="宋体"/>
          <w:sz w:val="72"/>
          <w:szCs w:val="72"/>
          <w:lang w:eastAsia="zh-CN"/>
        </w:rPr>
        <w:t>2022年</w:t>
      </w:r>
      <w:r>
        <w:rPr>
          <w:rFonts w:hint="eastAsia" w:ascii="宋体" w:hAnsi="宋体" w:eastAsia="宋体" w:cs="宋体"/>
          <w:sz w:val="72"/>
          <w:szCs w:val="72"/>
        </w:rPr>
        <w:t>度</w:t>
      </w:r>
    </w:p>
    <w:p>
      <w:pPr>
        <w:pStyle w:val="11"/>
        <w:jc w:val="center"/>
        <w:rPr>
          <w:rFonts w:ascii="宋体" w:hAnsi="宋体" w:eastAsia="宋体" w:cs="宋体"/>
          <w:sz w:val="72"/>
          <w:szCs w:val="72"/>
        </w:rPr>
      </w:pPr>
      <w:r>
        <w:rPr>
          <w:rFonts w:hint="eastAsia" w:ascii="宋体" w:hAnsi="宋体" w:eastAsia="宋体" w:cs="宋体"/>
          <w:sz w:val="72"/>
          <w:szCs w:val="72"/>
        </w:rPr>
        <w:t>石潭镇人民政府部门决算</w:t>
      </w:r>
    </w:p>
    <w:p>
      <w:pPr>
        <w:pStyle w:val="11"/>
        <w:jc w:val="center"/>
        <w:rPr>
          <w:rFonts w:ascii="宋体" w:hAnsi="宋体" w:eastAsia="宋体" w:cs="宋体"/>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第一部分石潭镇人民政府概况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2022年</w:t>
      </w:r>
      <w:r>
        <w:rPr>
          <w:rFonts w:hint="eastAsia" w:hAnsi="仿宋_GB2312"/>
          <w:b/>
          <w:bCs/>
          <w:sz w:val="28"/>
          <w:szCs w:val="28"/>
        </w:rPr>
        <w:t>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2022年</w:t>
      </w:r>
      <w:r>
        <w:rPr>
          <w:rFonts w:hint="eastAsia" w:hAnsi="仿宋_GB2312"/>
          <w:b/>
          <w:bCs/>
          <w:sz w:val="28"/>
          <w:szCs w:val="28"/>
        </w:rPr>
        <w:t>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w:t>
      </w:r>
      <w:r>
        <w:rPr>
          <w:rFonts w:hint="eastAsia" w:ascii="宋体" w:hAnsi="宋体" w:cs="宋体"/>
          <w:sz w:val="28"/>
          <w:szCs w:val="28"/>
        </w:rPr>
        <w:t>国有资本经营预算财政拨款支出决算表</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hint="eastAsia" w:ascii="宋体" w:hAnsi="宋体" w:eastAsia="宋体" w:cs="宋体"/>
          <w:sz w:val="28"/>
          <w:szCs w:val="28"/>
          <w:lang w:eastAsia="zh-CN"/>
        </w:rPr>
        <w:t>2022年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第一部分</w:t>
      </w:r>
    </w:p>
    <w:p>
      <w:pPr>
        <w:jc w:val="center"/>
        <w:rPr>
          <w:rFonts w:cs="Times New Roman"/>
          <w:sz w:val="72"/>
          <w:szCs w:val="72"/>
        </w:rPr>
      </w:pPr>
      <w:r>
        <w:rPr>
          <w:rFonts w:hint="eastAsia" w:cs="Times New Roman"/>
          <w:sz w:val="72"/>
          <w:szCs w:val="72"/>
        </w:rPr>
        <w:t>石潭镇人民政府概况</w:t>
      </w:r>
    </w:p>
    <w:p>
      <w:pPr>
        <w:jc w:val="center"/>
        <w:rPr>
          <w:rFonts w:cs="Times New Roman"/>
          <w:sz w:val="72"/>
          <w:szCs w:val="72"/>
        </w:rPr>
      </w:pPr>
    </w:p>
    <w:p>
      <w:pPr>
        <w:jc w:val="center"/>
        <w:rPr>
          <w:rFonts w:cs="Times New Roman"/>
          <w:sz w:val="72"/>
          <w:szCs w:val="7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ind w:left="0" w:leftChars="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60" w:lineRule="exact"/>
        <w:ind w:firstLine="480" w:firstLineChars="150"/>
        <w:rPr>
          <w:rFonts w:ascii="仿宋" w:hAnsi="仿宋" w:eastAsia="仿宋"/>
          <w:sz w:val="32"/>
          <w:szCs w:val="32"/>
        </w:rPr>
      </w:pPr>
      <w:r>
        <w:rPr>
          <w:rFonts w:hint="eastAsia" w:ascii="仿宋" w:hAnsi="仿宋" w:eastAsia="仿宋"/>
          <w:sz w:val="32"/>
          <w:szCs w:val="32"/>
        </w:rPr>
        <w:t>1、在镇党委的领导下，贯彻执行党的路线、方针、政策和国家的各项法律、法规；负责镇辖区内地区性、群众性、公益性、社会性工作。</w:t>
      </w:r>
    </w:p>
    <w:p>
      <w:pPr>
        <w:spacing w:line="560" w:lineRule="exact"/>
        <w:ind w:left="426"/>
        <w:rPr>
          <w:rFonts w:ascii="仿宋" w:hAnsi="仿宋" w:eastAsia="仿宋"/>
          <w:sz w:val="32"/>
          <w:szCs w:val="32"/>
        </w:rPr>
      </w:pPr>
      <w:r>
        <w:rPr>
          <w:rFonts w:hint="eastAsia" w:ascii="仿宋" w:hAnsi="仿宋" w:eastAsia="仿宋"/>
          <w:sz w:val="32"/>
          <w:szCs w:val="32"/>
        </w:rPr>
        <w:t>2、负责精神文明建设工作，积极组织以提高民众素质为目的的活动，树立文明新风。</w:t>
      </w:r>
    </w:p>
    <w:p>
      <w:pPr>
        <w:spacing w:line="560" w:lineRule="exact"/>
        <w:ind w:left="426"/>
        <w:rPr>
          <w:rFonts w:ascii="仿宋" w:hAnsi="仿宋" w:eastAsia="仿宋"/>
          <w:sz w:val="32"/>
          <w:szCs w:val="32"/>
        </w:rPr>
      </w:pPr>
      <w:r>
        <w:rPr>
          <w:rFonts w:hint="eastAsia" w:ascii="仿宋" w:hAnsi="仿宋" w:eastAsia="仿宋"/>
          <w:sz w:val="32"/>
          <w:szCs w:val="32"/>
        </w:rPr>
        <w:t>3、按照职责范围，负责镇辖区内的建设和管理、环境卫生、环境保护等监督、管理、服务工作。</w:t>
      </w:r>
    </w:p>
    <w:p>
      <w:pPr>
        <w:spacing w:line="560" w:lineRule="exact"/>
        <w:ind w:left="426"/>
        <w:rPr>
          <w:rFonts w:ascii="仿宋" w:hAnsi="仿宋" w:eastAsia="仿宋"/>
          <w:sz w:val="32"/>
          <w:szCs w:val="32"/>
        </w:rPr>
      </w:pPr>
      <w:r>
        <w:rPr>
          <w:rFonts w:hint="eastAsia" w:ascii="仿宋" w:hAnsi="仿宋" w:eastAsia="仿宋"/>
          <w:sz w:val="32"/>
          <w:szCs w:val="32"/>
        </w:rPr>
        <w:t>4、负责镇辖区内的维护稳定及社会治安综合治理工作，依照有关规定做好出租屋和外来暂住人员的管理工作；负责民事调解，法律服务工作，维护居民的合法权益。</w:t>
      </w:r>
    </w:p>
    <w:p>
      <w:pPr>
        <w:spacing w:line="560" w:lineRule="exact"/>
        <w:ind w:left="426"/>
        <w:rPr>
          <w:rFonts w:ascii="仿宋" w:hAnsi="仿宋" w:eastAsia="仿宋"/>
          <w:sz w:val="32"/>
          <w:szCs w:val="32"/>
        </w:rPr>
      </w:pPr>
      <w:r>
        <w:rPr>
          <w:rFonts w:hint="eastAsia" w:ascii="仿宋" w:hAnsi="仿宋" w:eastAsia="仿宋"/>
          <w:sz w:val="32"/>
          <w:szCs w:val="32"/>
        </w:rPr>
        <w:t>5、负责村、居委会的建设和管理，积极开展镇区服务工作，大力兴办福利企业，发动和组织镇区成员开展各类公益活动；负责拥军优属、优抚安置、社会救济、社会福利、社区文化、科普、体育、教育等工作。</w:t>
      </w:r>
    </w:p>
    <w:p>
      <w:pPr>
        <w:spacing w:line="560" w:lineRule="exact"/>
        <w:ind w:left="426"/>
        <w:rPr>
          <w:rFonts w:ascii="仿宋" w:hAnsi="仿宋" w:eastAsia="仿宋"/>
          <w:sz w:val="32"/>
          <w:szCs w:val="32"/>
        </w:rPr>
      </w:pPr>
      <w:r>
        <w:rPr>
          <w:rFonts w:hint="eastAsia" w:ascii="仿宋" w:hAnsi="仿宋" w:eastAsia="仿宋"/>
          <w:sz w:val="32"/>
          <w:szCs w:val="32"/>
        </w:rPr>
        <w:t>6、发展镇区经济，为镇区经济组织提供人才、科技、信息和各类服务，以经济、法律和必要的行政手段推动镇区经济发展和维护市场经济秩序。</w:t>
      </w:r>
    </w:p>
    <w:p>
      <w:pPr>
        <w:spacing w:line="560" w:lineRule="exact"/>
        <w:ind w:left="426"/>
        <w:rPr>
          <w:rFonts w:ascii="仿宋" w:hAnsi="仿宋" w:eastAsia="仿宋"/>
          <w:sz w:val="32"/>
          <w:szCs w:val="32"/>
        </w:rPr>
      </w:pPr>
      <w:r>
        <w:rPr>
          <w:rFonts w:hint="eastAsia" w:ascii="仿宋" w:hAnsi="仿宋" w:eastAsia="仿宋"/>
          <w:sz w:val="32"/>
          <w:szCs w:val="32"/>
        </w:rPr>
        <w:t>7、负责计划生育、劳动就业、安全生产管理、初级卫生保健、民兵、兵役、侨务等工作。</w:t>
      </w:r>
    </w:p>
    <w:p>
      <w:pPr>
        <w:spacing w:line="560" w:lineRule="exact"/>
        <w:ind w:left="426"/>
        <w:rPr>
          <w:rFonts w:ascii="仿宋" w:hAnsi="仿宋" w:eastAsia="仿宋"/>
          <w:sz w:val="32"/>
          <w:szCs w:val="32"/>
        </w:rPr>
      </w:pPr>
      <w:r>
        <w:rPr>
          <w:rFonts w:hint="eastAsia" w:ascii="仿宋" w:hAnsi="仿宋" w:eastAsia="仿宋"/>
          <w:sz w:val="32"/>
          <w:szCs w:val="32"/>
        </w:rPr>
        <w:t>8、指导和帮助居民委员会搞好组织建设和制度建设，发挥居民委员会的群众自治组织作用。</w:t>
      </w:r>
    </w:p>
    <w:p>
      <w:pPr>
        <w:spacing w:line="560" w:lineRule="exact"/>
        <w:ind w:left="426"/>
        <w:rPr>
          <w:rFonts w:ascii="仿宋" w:hAnsi="仿宋" w:eastAsia="仿宋"/>
          <w:sz w:val="32"/>
          <w:szCs w:val="32"/>
        </w:rPr>
      </w:pPr>
      <w:r>
        <w:rPr>
          <w:rFonts w:hint="eastAsia" w:ascii="仿宋" w:hAnsi="仿宋" w:eastAsia="仿宋"/>
          <w:sz w:val="32"/>
          <w:szCs w:val="32"/>
        </w:rPr>
        <w:t>9、配合有关部门做好房屋拆迁、防汛、防风、防火、动物防疫、防震、防灾和抢险工作。</w:t>
      </w:r>
    </w:p>
    <w:p>
      <w:pPr>
        <w:spacing w:line="560" w:lineRule="exact"/>
        <w:ind w:left="426"/>
        <w:rPr>
          <w:rFonts w:ascii="仿宋" w:hAnsi="仿宋" w:eastAsia="仿宋"/>
          <w:sz w:val="32"/>
          <w:szCs w:val="32"/>
        </w:rPr>
      </w:pPr>
      <w:r>
        <w:rPr>
          <w:rFonts w:hint="eastAsia" w:ascii="仿宋" w:hAnsi="仿宋" w:eastAsia="仿宋"/>
          <w:sz w:val="32"/>
          <w:szCs w:val="32"/>
        </w:rPr>
        <w:t>10、向县人民政府反映居民群众的意见和要求，办理人民群众来信来访事项。</w:t>
      </w:r>
    </w:p>
    <w:p>
      <w:pPr>
        <w:spacing w:line="560" w:lineRule="exact"/>
        <w:ind w:left="426"/>
        <w:rPr>
          <w:rFonts w:ascii="仿宋" w:hAnsi="仿宋" w:eastAsia="仿宋"/>
          <w:sz w:val="32"/>
          <w:szCs w:val="32"/>
        </w:rPr>
      </w:pPr>
      <w:r>
        <w:rPr>
          <w:rFonts w:hint="eastAsia" w:ascii="仿宋" w:hAnsi="仿宋" w:eastAsia="仿宋"/>
          <w:sz w:val="32"/>
          <w:szCs w:val="32"/>
        </w:rPr>
        <w:t>11、负责辖区内普法教育工作，维护老人、妇女儿童的合法权益。</w:t>
      </w:r>
    </w:p>
    <w:p>
      <w:pPr>
        <w:spacing w:line="560" w:lineRule="exact"/>
        <w:ind w:left="426"/>
        <w:rPr>
          <w:rFonts w:ascii="仿宋" w:hAnsi="仿宋" w:eastAsia="仿宋"/>
          <w:sz w:val="32"/>
          <w:szCs w:val="32"/>
        </w:rPr>
      </w:pPr>
      <w:r>
        <w:rPr>
          <w:rFonts w:hint="eastAsia" w:ascii="仿宋" w:hAnsi="仿宋" w:eastAsia="仿宋"/>
          <w:sz w:val="32"/>
          <w:szCs w:val="32"/>
        </w:rPr>
        <w:t>12、负责辖区内安全生产和消防工作的指导、监督。</w:t>
      </w:r>
    </w:p>
    <w:p>
      <w:pPr>
        <w:spacing w:line="560" w:lineRule="exact"/>
        <w:ind w:left="426"/>
        <w:rPr>
          <w:rFonts w:ascii="仿宋" w:hAnsi="仿宋" w:eastAsia="仿宋"/>
          <w:sz w:val="32"/>
          <w:szCs w:val="32"/>
        </w:rPr>
      </w:pPr>
      <w:r>
        <w:rPr>
          <w:rFonts w:hint="eastAsia" w:ascii="仿宋" w:hAnsi="仿宋" w:eastAsia="仿宋"/>
          <w:sz w:val="32"/>
          <w:szCs w:val="32"/>
        </w:rPr>
        <w:t>13、会同有关部门做好辖区内的企业服务、在地统计工作。</w:t>
      </w:r>
    </w:p>
    <w:p>
      <w:pPr>
        <w:spacing w:line="560" w:lineRule="exact"/>
        <w:ind w:left="426"/>
        <w:rPr>
          <w:rFonts w:ascii="仿宋" w:hAnsi="仿宋" w:eastAsia="仿宋"/>
          <w:sz w:val="32"/>
          <w:szCs w:val="32"/>
        </w:rPr>
      </w:pPr>
      <w:r>
        <w:rPr>
          <w:rFonts w:hint="eastAsia" w:ascii="仿宋" w:hAnsi="仿宋" w:eastAsia="仿宋"/>
          <w:sz w:val="32"/>
          <w:szCs w:val="32"/>
        </w:rPr>
        <w:t>14、承办镇党委和上级部门交办的其他事项。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rPr>
          <w:rFonts w:ascii="宋体" w:hAnsi="宋体" w:cs="宋体"/>
          <w:kern w:val="0"/>
          <w:sz w:val="32"/>
          <w:szCs w:val="32"/>
        </w:rPr>
      </w:pPr>
      <w:r>
        <w:rPr>
          <w:rFonts w:hint="eastAsia" w:ascii="宋体" w:hAnsi="宋体" w:cs="宋体"/>
          <w:kern w:val="0"/>
          <w:sz w:val="32"/>
          <w:szCs w:val="32"/>
        </w:rPr>
        <w:t>（一）内设机构设置。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石潭镇人民政府内设，党政综合办、经济发展办、社会事务办、社会治安和应急管理办、财政所、自然资源和生态环境办、社会事务综合服务中心、农业综合服务中心、政务服务中心、退役军人服务站、综合执法大队，11个大部门。其中财政所、经济发展办、社会事务办、政务服务中心、退役军人服务站、综合执法大队、自然资源和生态环境办为单独的站所，党政办除了党政办本站所外还包括人大、政协、整治办、党建站、</w:t>
      </w:r>
      <w:r>
        <w:rPr>
          <w:rFonts w:hint="eastAsia" w:ascii="仿宋" w:hAnsi="仿宋" w:eastAsia="仿宋"/>
          <w:sz w:val="32"/>
          <w:szCs w:val="32"/>
          <w:lang w:eastAsia="zh-CN"/>
        </w:rPr>
        <w:t>消防站、</w:t>
      </w:r>
      <w:r>
        <w:rPr>
          <w:rFonts w:hint="eastAsia" w:ascii="仿宋" w:hAnsi="仿宋" w:eastAsia="仿宋"/>
          <w:sz w:val="32"/>
          <w:szCs w:val="32"/>
        </w:rPr>
        <w:t>妇联、老干、纪委、团委</w:t>
      </w:r>
      <w:r>
        <w:rPr>
          <w:rFonts w:hint="eastAsia" w:ascii="仿宋" w:hAnsi="仿宋" w:eastAsia="仿宋"/>
          <w:sz w:val="32"/>
          <w:szCs w:val="32"/>
          <w:lang w:eastAsia="zh-CN"/>
        </w:rPr>
        <w:t>、武装部、耕地保护办</w:t>
      </w:r>
      <w:r>
        <w:rPr>
          <w:rFonts w:hint="eastAsia" w:ascii="仿宋" w:hAnsi="仿宋" w:eastAsia="仿宋"/>
          <w:sz w:val="32"/>
          <w:szCs w:val="32"/>
        </w:rPr>
        <w:t>，社会治安和应急管理办由综治办和安监站构成，社会事务综合服务中心由文化站、广播站、交安站、民政所构成，农业综合服务中心包括农技站、农机站、</w:t>
      </w:r>
      <w:r>
        <w:rPr>
          <w:rFonts w:hint="eastAsia" w:ascii="仿宋" w:hAnsi="仿宋" w:eastAsia="仿宋"/>
          <w:sz w:val="32"/>
          <w:szCs w:val="32"/>
          <w:lang w:eastAsia="zh-CN"/>
        </w:rPr>
        <w:t>乡村振兴办</w:t>
      </w:r>
      <w:r>
        <w:rPr>
          <w:rFonts w:hint="eastAsia" w:ascii="仿宋" w:hAnsi="仿宋" w:eastAsia="仿宋"/>
          <w:sz w:val="32"/>
          <w:szCs w:val="32"/>
        </w:rPr>
        <w:t>、畜牧站、水利站、林业站。</w:t>
      </w:r>
    </w:p>
    <w:p>
      <w:pPr>
        <w:widowControl/>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（二）决算单位构成</w:t>
      </w:r>
    </w:p>
    <w:p>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石潭镇人民政府</w:t>
      </w:r>
      <w:r>
        <w:rPr>
          <w:rFonts w:hint="eastAsia" w:ascii="仿宋" w:hAnsi="仿宋" w:eastAsia="仿宋"/>
          <w:sz w:val="32"/>
          <w:szCs w:val="32"/>
          <w:lang w:eastAsia="zh-CN"/>
        </w:rPr>
        <w:t>2022年</w:t>
      </w:r>
      <w:r>
        <w:rPr>
          <w:rFonts w:hint="eastAsia" w:ascii="仿宋" w:hAnsi="仿宋" w:eastAsia="仿宋"/>
          <w:sz w:val="32"/>
          <w:szCs w:val="32"/>
        </w:rPr>
        <w:t>部门决算汇总公开单位构成包括：石潭镇政府单位本级具体包括党政综合办、经济发展办、社会事务办、社会治安和应急管理办、财政所、自然资源和生态环境办、社会事务综合服务中心、农业综合服务中心、政务服务中心、退役军人服务站、综合执法大队。</w:t>
      </w:r>
    </w:p>
    <w:p>
      <w:pPr>
        <w:widowControl/>
        <w:spacing w:line="600" w:lineRule="exact"/>
        <w:ind w:firstLine="640" w:firstLineChars="200"/>
        <w:rPr>
          <w:rFonts w:ascii="宋体" w:cs="Times New Roman"/>
          <w:kern w:val="0"/>
          <w:sz w:val="32"/>
          <w:szCs w:val="32"/>
        </w:rPr>
      </w:pP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宋体"/>
          <w:sz w:val="72"/>
          <w:szCs w:val="72"/>
        </w:rPr>
      </w:pPr>
    </w:p>
    <w:p>
      <w:pPr>
        <w:jc w:val="center"/>
        <w:rPr>
          <w:rFonts w:cs="宋体"/>
          <w:sz w:val="72"/>
          <w:szCs w:val="72"/>
        </w:rPr>
      </w:pPr>
    </w:p>
    <w:p>
      <w:pPr>
        <w:jc w:val="center"/>
        <w:rPr>
          <w:rFonts w:cs="宋体"/>
          <w:sz w:val="72"/>
          <w:szCs w:val="72"/>
        </w:rPr>
      </w:pPr>
    </w:p>
    <w:p>
      <w:pPr>
        <w:jc w:val="center"/>
        <w:rPr>
          <w:rFonts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0" w:type="auto"/>
        <w:tblInd w:w="-106" w:type="dxa"/>
        <w:tblLayout w:type="autofit"/>
        <w:tblCellMar>
          <w:top w:w="0" w:type="dxa"/>
          <w:left w:w="108" w:type="dxa"/>
          <w:bottom w:w="0" w:type="dxa"/>
          <w:right w:w="108" w:type="dxa"/>
        </w:tblCellMar>
      </w:tblPr>
      <w:tblGrid>
        <w:gridCol w:w="3687"/>
        <w:gridCol w:w="610"/>
        <w:gridCol w:w="1084"/>
        <w:gridCol w:w="3372"/>
        <w:gridCol w:w="610"/>
        <w:gridCol w:w="222"/>
        <w:gridCol w:w="1203"/>
      </w:tblGrid>
      <w:tr>
        <w:tblPrEx>
          <w:tblCellMar>
            <w:top w:w="0" w:type="dxa"/>
            <w:left w:w="108" w:type="dxa"/>
            <w:bottom w:w="0" w:type="dxa"/>
            <w:right w:w="108" w:type="dxa"/>
          </w:tblCellMar>
        </w:tblPrEx>
        <w:trPr>
          <w:trHeight w:val="360" w:hRule="atLeast"/>
        </w:trPr>
        <w:tc>
          <w:tcPr>
            <w:tcW w:w="0" w:type="auto"/>
            <w:gridSpan w:val="7"/>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Times New Roman" w:hAnsi="Times New Roman" w:eastAsia="方正小标宋_GBK" w:cs="方正小标宋_GBK"/>
                <w:color w:val="000000"/>
                <w:kern w:val="0"/>
                <w:sz w:val="36"/>
                <w:szCs w:val="36"/>
              </w:rPr>
              <w:t>收入支出决算总表</w:t>
            </w:r>
          </w:p>
        </w:tc>
      </w:tr>
      <w:tr>
        <w:tblPrEx>
          <w:tblCellMar>
            <w:top w:w="0" w:type="dxa"/>
            <w:left w:w="108" w:type="dxa"/>
            <w:bottom w:w="0" w:type="dxa"/>
            <w:right w:w="108" w:type="dxa"/>
          </w:tblCellMar>
        </w:tblPrEx>
        <w:trPr>
          <w:trHeight w:val="199" w:hRule="atLeast"/>
        </w:trPr>
        <w:tc>
          <w:tcPr>
            <w:tcW w:w="0" w:type="auto"/>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0" w:type="auto"/>
            <w:gridSpan w:val="2"/>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部门：石潭镇人民政府</w:t>
            </w:r>
            <w:r>
              <w:rPr>
                <w:rFonts w:ascii="宋体" w:hAnsi="宋体" w:cs="宋体"/>
                <w:color w:val="000000"/>
                <w:kern w:val="0"/>
                <w:sz w:val="20"/>
                <w:szCs w:val="20"/>
              </w:rPr>
              <w:t xml:space="preserve">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0" w:type="auto"/>
            <w:gridSpan w:val="4"/>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74"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0" w:type="auto"/>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4068.07</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2819.14</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121.9</w:t>
            </w:r>
            <w:r>
              <w:rPr>
                <w:rFonts w:hint="eastAsia" w:ascii="宋体" w:hAnsi="宋体" w:cs="宋体"/>
                <w:kern w:val="0"/>
                <w:sz w:val="22"/>
                <w:szCs w:val="22"/>
              </w:rPr>
              <w:t>0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16.31</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七、文化旅游体育与传媒支出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46.81</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0" w:type="auto"/>
            <w:tcBorders>
              <w:top w:val="nil"/>
              <w:left w:val="nil"/>
              <w:bottom w:val="single" w:color="auto" w:sz="4" w:space="0"/>
              <w:right w:val="single" w:color="auto" w:sz="4" w:space="0"/>
            </w:tcBorders>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917.57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八、社会保障和就业支出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274.41</w:t>
            </w:r>
          </w:p>
        </w:tc>
      </w:tr>
      <w:tr>
        <w:tblPrEx>
          <w:tblCellMar>
            <w:top w:w="0" w:type="dxa"/>
            <w:left w:w="108" w:type="dxa"/>
            <w:bottom w:w="0" w:type="dxa"/>
            <w:right w:w="108" w:type="dxa"/>
          </w:tblCellMar>
        </w:tblPrEx>
        <w:trPr>
          <w:trHeight w:val="287"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ind w:right="400"/>
              <w:rPr>
                <w:rFonts w:ascii="宋体" w:cs="Times New Roman"/>
                <w:kern w:val="0"/>
                <w:sz w:val="20"/>
                <w:szCs w:val="20"/>
              </w:rPr>
            </w:pPr>
            <w:r>
              <w:rPr>
                <w:rFonts w:hint="eastAsia" w:ascii="宋体" w:hAnsi="宋体" w:cs="宋体"/>
                <w:kern w:val="0"/>
                <w:sz w:val="20"/>
                <w:szCs w:val="20"/>
              </w:rPr>
              <w:t>九、卫生健康支出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lang w:val="en-US" w:eastAsia="zh-CN"/>
              </w:rPr>
              <w:t>246.51</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十、节能环保支出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23</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5</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十一、城乡社区支出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24</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139.05</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十二、农林水支出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25</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1393.39</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十三、资源勘探工业信息等支出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26</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十四、住房保障支出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27</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115.49</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十五、灾害防治及应急管理支出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28</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46.42</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十六、其他支出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29</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5</w:t>
            </w:r>
          </w:p>
        </w:tc>
      </w:tr>
      <w:tr>
        <w:tblPrEx>
          <w:tblCellMar>
            <w:top w:w="0" w:type="dxa"/>
            <w:left w:w="108" w:type="dxa"/>
            <w:bottom w:w="0" w:type="dxa"/>
            <w:right w:w="108" w:type="dxa"/>
          </w:tblCellMar>
        </w:tblPrEx>
        <w:trPr>
          <w:trHeight w:val="340" w:hRule="atLeast"/>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十七、抗疫特别国债安排的支出</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30</w:t>
            </w:r>
          </w:p>
        </w:tc>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274" w:hRule="atLeast"/>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pPr>
              <w:widowControl/>
              <w:ind w:right="400"/>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31</w:t>
            </w:r>
          </w:p>
        </w:tc>
        <w:tc>
          <w:tcPr>
            <w:tcW w:w="0" w:type="auto"/>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236" w:hRule="atLeast"/>
        </w:trPr>
        <w:tc>
          <w:tcPr>
            <w:tcW w:w="0" w:type="auto"/>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5107.54</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32</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5107.54</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结余分配</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33</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年末结转和结余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34</w:t>
            </w:r>
          </w:p>
        </w:tc>
        <w:tc>
          <w:tcPr>
            <w:tcW w:w="0" w:type="auto"/>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5107.54</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35</w:t>
            </w:r>
          </w:p>
        </w:tc>
        <w:tc>
          <w:tcPr>
            <w:tcW w:w="0" w:type="auto"/>
            <w:gridSpan w:val="2"/>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lang w:val="en-US" w:eastAsia="zh-CN"/>
              </w:rPr>
              <w:t>5107.54</w:t>
            </w:r>
          </w:p>
        </w:tc>
      </w:tr>
      <w:tr>
        <w:tblPrEx>
          <w:tblCellMar>
            <w:top w:w="0" w:type="dxa"/>
            <w:left w:w="108" w:type="dxa"/>
            <w:bottom w:w="0" w:type="dxa"/>
            <w:right w:w="108" w:type="dxa"/>
          </w:tblCellMar>
        </w:tblPrEx>
        <w:trPr>
          <w:trHeight w:val="1020" w:hRule="atLeast"/>
        </w:trPr>
        <w:tc>
          <w:tcPr>
            <w:tcW w:w="0" w:type="auto"/>
            <w:gridSpan w:val="7"/>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tbl>
      <w:tblPr>
        <w:tblStyle w:val="7"/>
        <w:tblW w:w="15648" w:type="dxa"/>
        <w:tblInd w:w="-34" w:type="dxa"/>
        <w:tblLayout w:type="fixed"/>
        <w:tblCellMar>
          <w:top w:w="0" w:type="dxa"/>
          <w:left w:w="108" w:type="dxa"/>
          <w:bottom w:w="0" w:type="dxa"/>
          <w:right w:w="108" w:type="dxa"/>
        </w:tblCellMar>
      </w:tblPr>
      <w:tblGrid>
        <w:gridCol w:w="964"/>
        <w:gridCol w:w="540"/>
        <w:gridCol w:w="469"/>
        <w:gridCol w:w="8784"/>
        <w:gridCol w:w="1534"/>
        <w:gridCol w:w="1534"/>
        <w:gridCol w:w="1823"/>
      </w:tblGrid>
      <w:tr>
        <w:tblPrEx>
          <w:tblCellMar>
            <w:top w:w="0" w:type="dxa"/>
            <w:left w:w="108" w:type="dxa"/>
            <w:bottom w:w="0" w:type="dxa"/>
            <w:right w:w="108" w:type="dxa"/>
          </w:tblCellMar>
        </w:tblPrEx>
        <w:trPr>
          <w:trHeight w:val="405" w:hRule="atLeast"/>
        </w:trPr>
        <w:tc>
          <w:tcPr>
            <w:tcW w:w="15648" w:type="dxa"/>
            <w:gridSpan w:val="7"/>
            <w:tcBorders>
              <w:top w:val="nil"/>
              <w:left w:val="nil"/>
              <w:bottom w:val="nil"/>
              <w:right w:val="nil"/>
            </w:tcBorders>
            <w:shd w:val="clear" w:color="auto" w:fill="auto"/>
            <w:noWrap/>
            <w:vAlign w:val="bottom"/>
          </w:tcPr>
          <w:p>
            <w:pPr>
              <w:widowControl/>
              <w:ind w:firstLine="3960" w:firstLineChars="1100"/>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收入决算表</w:t>
            </w:r>
          </w:p>
        </w:tc>
      </w:tr>
      <w:tr>
        <w:tblPrEx>
          <w:tblCellMar>
            <w:top w:w="0" w:type="dxa"/>
            <w:left w:w="108" w:type="dxa"/>
            <w:bottom w:w="0" w:type="dxa"/>
            <w:right w:w="108" w:type="dxa"/>
          </w:tblCellMar>
        </w:tblPrEx>
        <w:trPr>
          <w:trHeight w:val="255" w:hRule="atLeast"/>
        </w:trPr>
        <w:tc>
          <w:tcPr>
            <w:tcW w:w="96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78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ind w:right="400"/>
              <w:jc w:val="left"/>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pPr>
              <w:widowControl/>
              <w:ind w:firstLine="9600" w:firstLineChars="4800"/>
              <w:jc w:val="left"/>
              <w:rPr>
                <w:rFonts w:hint="eastAsia" w:ascii="宋体" w:hAnsi="宋体" w:cs="Arial"/>
                <w:color w:val="000000"/>
                <w:kern w:val="0"/>
                <w:sz w:val="20"/>
                <w:szCs w:val="20"/>
              </w:rPr>
            </w:pPr>
            <w:r>
              <w:rPr>
                <w:rFonts w:hint="eastAsia" w:ascii="宋体" w:hAnsi="宋体" w:cs="Arial"/>
                <w:color w:val="000000"/>
                <w:kern w:val="0"/>
                <w:sz w:val="20"/>
                <w:szCs w:val="20"/>
              </w:rPr>
              <w:t>公开02表</w:t>
            </w:r>
          </w:p>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                                                                      单位：万元</w:t>
            </w: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pPr>
              <w:widowControl/>
              <w:jc w:val="left"/>
              <w:rPr>
                <w:rFonts w:hint="eastAsia" w:ascii="宋体" w:hAnsi="宋体" w:cs="Arial"/>
                <w:color w:val="000000"/>
                <w:kern w:val="0"/>
                <w:sz w:val="20"/>
                <w:szCs w:val="20"/>
              </w:rPr>
            </w:pPr>
          </w:p>
          <w:tbl>
            <w:tblPr>
              <w:tblStyle w:val="7"/>
              <w:tblW w:w="11631" w:type="dxa"/>
              <w:tblInd w:w="0" w:type="dxa"/>
              <w:tblLayout w:type="fixed"/>
              <w:tblCellMar>
                <w:top w:w="0" w:type="dxa"/>
                <w:left w:w="108" w:type="dxa"/>
                <w:bottom w:w="0" w:type="dxa"/>
                <w:right w:w="108" w:type="dxa"/>
              </w:tblCellMar>
            </w:tblPr>
            <w:tblGrid>
              <w:gridCol w:w="412"/>
              <w:gridCol w:w="412"/>
              <w:gridCol w:w="748"/>
              <w:gridCol w:w="4099"/>
              <w:gridCol w:w="1621"/>
              <w:gridCol w:w="1622"/>
              <w:gridCol w:w="1622"/>
            </w:tblGrid>
            <w:tr>
              <w:tblPrEx>
                <w:tblCellMar>
                  <w:top w:w="0" w:type="dxa"/>
                  <w:left w:w="108" w:type="dxa"/>
                  <w:bottom w:w="0" w:type="dxa"/>
                  <w:right w:w="108" w:type="dxa"/>
                </w:tblCellMar>
              </w:tblPrEx>
              <w:trPr>
                <w:trHeight w:val="308" w:hRule="atLeast"/>
              </w:trPr>
              <w:tc>
                <w:tcPr>
                  <w:tcW w:w="625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79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本年收入合计</w:t>
                  </w:r>
                </w:p>
              </w:tc>
              <w:tc>
                <w:tcPr>
                  <w:tcW w:w="179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财政拨款收入</w:t>
                  </w:r>
                </w:p>
              </w:tc>
              <w:tc>
                <w:tcPr>
                  <w:tcW w:w="1792" w:type="dxa"/>
                  <w:vMerge w:val="restart"/>
                  <w:tcBorders>
                    <w:top w:val="single" w:color="000000" w:sz="4" w:space="0"/>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其他收入</w:t>
                  </w:r>
                </w:p>
              </w:tc>
            </w:tr>
            <w:tr>
              <w:tblPrEx>
                <w:tblCellMar>
                  <w:top w:w="0" w:type="dxa"/>
                  <w:left w:w="108" w:type="dxa"/>
                  <w:bottom w:w="0" w:type="dxa"/>
                  <w:right w:w="108" w:type="dxa"/>
                </w:tblCellMar>
              </w:tblPrEx>
              <w:trPr>
                <w:trHeight w:val="312" w:hRule="atLeast"/>
              </w:trPr>
              <w:tc>
                <w:tcPr>
                  <w:tcW w:w="1685"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57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792"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jc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685"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57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widowControl/>
                    <w:jc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685"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57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widowControl/>
                    <w:jc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813"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79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79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792" w:type="dxa"/>
                  <w:tcBorders>
                    <w:top w:val="nil"/>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w:t>
                  </w:r>
                </w:p>
              </w:tc>
            </w:tr>
            <w:tr>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436" w:type="dxa"/>
                  <w:vMerge w:val="continue"/>
                  <w:tcBorders>
                    <w:top w:val="nil"/>
                    <w:left w:val="single" w:color="000000" w:sz="4" w:space="0"/>
                    <w:bottom w:val="single" w:color="000000" w:sz="4" w:space="0"/>
                    <w:right w:val="single" w:color="000000" w:sz="4" w:space="0"/>
                  </w:tcBorders>
                  <w:vAlign w:val="center"/>
                </w:tcPr>
                <w:p>
                  <w:pPr>
                    <w:jc w:val="center"/>
                  </w:pPr>
                </w:p>
              </w:tc>
              <w:tc>
                <w:tcPr>
                  <w:tcW w:w="813" w:type="dxa"/>
                  <w:vMerge w:val="continue"/>
                  <w:tcBorders>
                    <w:top w:val="nil"/>
                    <w:left w:val="single" w:color="000000" w:sz="4" w:space="0"/>
                    <w:bottom w:val="single" w:color="000000" w:sz="4" w:space="0"/>
                    <w:right w:val="single" w:color="000000" w:sz="4" w:space="0"/>
                  </w:tcBorders>
                  <w:vAlign w:val="center"/>
                </w:tcPr>
                <w:p>
                  <w:pPr>
                    <w:jc w:val="center"/>
                  </w:pPr>
                </w:p>
              </w:tc>
              <w:tc>
                <w:tcPr>
                  <w:tcW w:w="4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5,107.54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4,189.97</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917.57</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2,819.14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2,392.31</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426.83</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人大事务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2010103</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1,513.82</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1,116.93</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396.89</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810.20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413.31</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396.89</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528.60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528.60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2010308</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27.58</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27.58</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发展与改革事务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31.77</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23.77</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23.77</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23.77</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宣传事务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公共安全支出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公安</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2040219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46.81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25.81</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文化和旅游</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2070102</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25.81</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25.81</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274.41</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218.96</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55.45</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28.00</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22.26</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2080102</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57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22.26</w:t>
                  </w:r>
                </w:p>
              </w:tc>
              <w:tc>
                <w:tcPr>
                  <w:tcW w:w="17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22.26</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4570" w:type="dxa"/>
                  <w:tcBorders>
                    <w:top w:val="nil"/>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9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79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792"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54.42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54.42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2089999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246.51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211.70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公共卫生</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50.38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50.38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2100409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45.38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45.38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50.64</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50.64</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24.17</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24.17</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节能环保支出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自然生态保护</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139.05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22.15</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22.15</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12.35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12.35</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21208</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2120899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其他国有土地使用权出让收入安排的支出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1,393.39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1,069.48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323.91</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212.58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212.58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2130142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197.58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197.58</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水利工程运行与维护</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1,036.62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840.90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195.72</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12.95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12.95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839.95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827.95</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183.72</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95.19</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95.19</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46.42</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17.83</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消防救援事务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17.83</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17.83</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其他消防救援事务支出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8.41</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8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4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pPr>
              <w:widowControl/>
              <w:jc w:val="left"/>
              <w:rPr>
                <w:rFonts w:hint="eastAsia" w:ascii="宋体" w:hAnsi="宋体"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jc w:val="right"/>
              <w:rPr>
                <w:rFonts w:hint="eastAsia"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15648" w:type="dxa"/>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r>
        <w:tblPrEx>
          <w:tblCellMar>
            <w:top w:w="0" w:type="dxa"/>
            <w:left w:w="108" w:type="dxa"/>
            <w:bottom w:w="0" w:type="dxa"/>
            <w:right w:w="108" w:type="dxa"/>
          </w:tblCellMar>
        </w:tblPrEx>
        <w:trPr>
          <w:trHeight w:val="308" w:hRule="atLeast"/>
        </w:trPr>
        <w:tc>
          <w:tcPr>
            <w:tcW w:w="15648" w:type="dxa"/>
            <w:gridSpan w:val="7"/>
            <w:tcBorders>
              <w:top w:val="nil"/>
              <w:left w:val="nil"/>
              <w:bottom w:val="nil"/>
              <w:right w:val="nil"/>
            </w:tcBorders>
            <w:shd w:val="clear" w:color="auto" w:fill="auto"/>
            <w:noWrap/>
            <w:vAlign w:val="center"/>
          </w:tcPr>
          <w:p>
            <w:pPr>
              <w:widowControl/>
              <w:jc w:val="left"/>
              <w:rPr>
                <w:rFonts w:hint="eastAsia" w:ascii="宋体" w:hAnsi="宋体" w:cs="Arial"/>
                <w:color w:val="000000"/>
                <w:kern w:val="0"/>
                <w:sz w:val="22"/>
                <w:szCs w:val="22"/>
              </w:rPr>
            </w:pPr>
          </w:p>
        </w:tc>
      </w:tr>
    </w:tbl>
    <w:p>
      <w:pPr>
        <w:widowControl/>
        <w:jc w:val="left"/>
        <w:rPr>
          <w:rFonts w:ascii="Times New Roman" w:hAnsi="Times New Roman" w:eastAsia="黑体" w:cs="Times New Roman"/>
          <w:kern w:val="0"/>
          <w:sz w:val="32"/>
          <w:szCs w:val="32"/>
        </w:rPr>
      </w:pPr>
    </w:p>
    <w:p>
      <w:pPr>
        <w:widowControl/>
        <w:rPr>
          <w:rFonts w:ascii="Times New Roman" w:hAnsi="Times New Roman" w:eastAsia="方正小标宋_GBK" w:cs="Times New Roman"/>
          <w:color w:val="000000"/>
          <w:kern w:val="0"/>
          <w:sz w:val="36"/>
          <w:szCs w:val="36"/>
        </w:rPr>
        <w:sectPr>
          <w:pgSz w:w="11906" w:h="16838"/>
          <w:pgMar w:top="720" w:right="720" w:bottom="720" w:left="720" w:header="851" w:footer="992" w:gutter="0"/>
          <w:cols w:space="425" w:num="1"/>
          <w:docGrid w:type="lines" w:linePitch="312" w:charSpace="0"/>
        </w:sectPr>
      </w:pPr>
    </w:p>
    <w:tbl>
      <w:tblPr>
        <w:tblStyle w:val="7"/>
        <w:tblW w:w="15942" w:type="dxa"/>
        <w:tblInd w:w="95" w:type="dxa"/>
        <w:tblLayout w:type="fixed"/>
        <w:tblCellMar>
          <w:top w:w="0" w:type="dxa"/>
          <w:left w:w="108" w:type="dxa"/>
          <w:bottom w:w="0" w:type="dxa"/>
          <w:right w:w="108" w:type="dxa"/>
        </w:tblCellMar>
      </w:tblPr>
      <w:tblGrid>
        <w:gridCol w:w="1928"/>
        <w:gridCol w:w="869"/>
        <w:gridCol w:w="767"/>
        <w:gridCol w:w="12378"/>
      </w:tblGrid>
      <w:tr>
        <w:tblPrEx>
          <w:tblCellMar>
            <w:top w:w="0" w:type="dxa"/>
            <w:left w:w="108" w:type="dxa"/>
            <w:bottom w:w="0" w:type="dxa"/>
            <w:right w:w="108" w:type="dxa"/>
          </w:tblCellMar>
        </w:tblPrEx>
        <w:trPr>
          <w:trHeight w:val="255" w:hRule="atLeast"/>
        </w:trPr>
        <w:tc>
          <w:tcPr>
            <w:tcW w:w="192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6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6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378" w:type="dxa"/>
            <w:tcBorders>
              <w:top w:val="nil"/>
              <w:left w:val="nil"/>
              <w:bottom w:val="nil"/>
              <w:right w:val="nil"/>
            </w:tcBorders>
            <w:shd w:val="clear" w:color="auto" w:fill="auto"/>
            <w:noWrap/>
            <w:vAlign w:val="bottom"/>
          </w:tcPr>
          <w:p>
            <w:pPr>
              <w:widowControl/>
              <w:ind w:firstLine="3960" w:firstLineChars="1100"/>
              <w:jc w:val="left"/>
              <w:rPr>
                <w:rFonts w:hint="eastAsia"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支出决算表</w:t>
            </w:r>
          </w:p>
          <w:p>
            <w:pPr>
              <w:rPr>
                <w:rFonts w:ascii="Arial" w:hAnsi="Arial" w:cs="Arial"/>
                <w:color w:val="000000"/>
                <w:sz w:val="20"/>
                <w:szCs w:val="20"/>
              </w:rPr>
            </w:pPr>
          </w:p>
        </w:tc>
      </w:tr>
      <w:tr>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pPr>
              <w:rPr>
                <w:rFonts w:ascii="宋体" w:hAnsi="宋体" w:cs="Arial"/>
                <w:color w:val="000000"/>
                <w:sz w:val="20"/>
                <w:szCs w:val="20"/>
              </w:rPr>
            </w:pPr>
            <w:r>
              <w:rPr>
                <w:rFonts w:hint="eastAsia" w:cs="Arial"/>
                <w:color w:val="000000"/>
                <w:sz w:val="20"/>
                <w:szCs w:val="20"/>
              </w:rPr>
              <w:t>部门：湘潭县石潭镇人民政府                                                                         公开03表</w:t>
            </w:r>
          </w:p>
        </w:tc>
      </w:tr>
      <w:tr>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pPr>
              <w:rPr>
                <w:rFonts w:hint="eastAsia" w:cs="Arial"/>
                <w:color w:val="000000"/>
                <w:sz w:val="20"/>
                <w:szCs w:val="20"/>
              </w:rPr>
            </w:pPr>
            <w:r>
              <w:rPr>
                <w:rFonts w:hint="eastAsia" w:cs="Arial"/>
                <w:color w:val="000000"/>
                <w:sz w:val="20"/>
                <w:szCs w:val="20"/>
              </w:rPr>
              <w:t xml:space="preserve">                                                                                                   单位：万元</w:t>
            </w:r>
          </w:p>
          <w:tbl>
            <w:tblPr>
              <w:tblStyle w:val="7"/>
              <w:tblW w:w="15249" w:type="dxa"/>
              <w:tblInd w:w="0" w:type="dxa"/>
              <w:tblLayout w:type="fixed"/>
              <w:tblCellMar>
                <w:top w:w="0" w:type="dxa"/>
                <w:left w:w="108" w:type="dxa"/>
                <w:bottom w:w="0" w:type="dxa"/>
                <w:right w:w="108" w:type="dxa"/>
              </w:tblCellMar>
            </w:tblPr>
            <w:tblGrid>
              <w:gridCol w:w="347"/>
              <w:gridCol w:w="345"/>
              <w:gridCol w:w="373"/>
              <w:gridCol w:w="4229"/>
              <w:gridCol w:w="1675"/>
              <w:gridCol w:w="1440"/>
              <w:gridCol w:w="1320"/>
              <w:gridCol w:w="1640"/>
              <w:gridCol w:w="1480"/>
              <w:gridCol w:w="2400"/>
            </w:tblGrid>
            <w:tr>
              <w:tblPrEx>
                <w:tblCellMar>
                  <w:top w:w="0" w:type="dxa"/>
                  <w:left w:w="108" w:type="dxa"/>
                  <w:bottom w:w="0" w:type="dxa"/>
                  <w:right w:w="108" w:type="dxa"/>
                </w:tblCellMar>
              </w:tblPrEx>
              <w:trPr>
                <w:trHeight w:val="308" w:hRule="atLeast"/>
              </w:trPr>
              <w:tc>
                <w:tcPr>
                  <w:tcW w:w="529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6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本年支出合计</w:t>
                  </w:r>
                </w:p>
              </w:tc>
              <w:tc>
                <w:tcPr>
                  <w:tcW w:w="144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基本支出</w:t>
                  </w:r>
                </w:p>
              </w:tc>
              <w:tc>
                <w:tcPr>
                  <w:tcW w:w="132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项目支出</w:t>
                  </w:r>
                </w:p>
              </w:tc>
              <w:tc>
                <w:tcPr>
                  <w:tcW w:w="164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上缴上级支出</w:t>
                  </w:r>
                </w:p>
              </w:tc>
              <w:tc>
                <w:tcPr>
                  <w:tcW w:w="148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经营支出</w:t>
                  </w:r>
                </w:p>
              </w:tc>
              <w:tc>
                <w:tcPr>
                  <w:tcW w:w="2400" w:type="dxa"/>
                  <w:vMerge w:val="restart"/>
                  <w:tcBorders>
                    <w:top w:val="single" w:color="000000" w:sz="4" w:space="0"/>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CellMar>
                  <w:top w:w="0" w:type="dxa"/>
                  <w:left w:w="108" w:type="dxa"/>
                  <w:bottom w:w="0" w:type="dxa"/>
                  <w:right w:w="108" w:type="dxa"/>
                </w:tblCellMar>
              </w:tblPrEx>
              <w:trPr>
                <w:trHeight w:val="312" w:hRule="atLeast"/>
              </w:trPr>
              <w:tc>
                <w:tcPr>
                  <w:tcW w:w="1065"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229"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675"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jc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347"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345"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373"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w:t>
                  </w:r>
                </w:p>
              </w:tc>
              <w:tc>
                <w:tcPr>
                  <w:tcW w:w="422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6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4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6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48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2400" w:type="dxa"/>
                  <w:tcBorders>
                    <w:top w:val="nil"/>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347" w:type="dxa"/>
                  <w:vMerge w:val="continue"/>
                  <w:tcBorders>
                    <w:top w:val="nil"/>
                    <w:left w:val="single" w:color="000000" w:sz="4" w:space="0"/>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345" w:type="dxa"/>
                  <w:vMerge w:val="continue"/>
                  <w:tcBorders>
                    <w:top w:val="nil"/>
                    <w:left w:val="single" w:color="000000" w:sz="4" w:space="0"/>
                    <w:bottom w:val="single" w:color="000000" w:sz="4" w:space="0"/>
                    <w:right w:val="single" w:color="000000" w:sz="4" w:space="0"/>
                  </w:tcBorders>
                  <w:vAlign w:val="center"/>
                </w:tcPr>
                <w:p>
                  <w:pPr>
                    <w:jc w:val="center"/>
                  </w:pPr>
                </w:p>
              </w:tc>
              <w:tc>
                <w:tcPr>
                  <w:tcW w:w="373" w:type="dxa"/>
                  <w:vMerge w:val="continue"/>
                  <w:tcBorders>
                    <w:top w:val="nil"/>
                    <w:left w:val="single" w:color="000000" w:sz="4" w:space="0"/>
                    <w:bottom w:val="single" w:color="000000" w:sz="4" w:space="0"/>
                    <w:right w:val="single" w:color="000000" w:sz="4" w:space="0"/>
                  </w:tcBorders>
                  <w:vAlign w:val="center"/>
                </w:tcPr>
                <w:p>
                  <w:pPr>
                    <w:jc w:val="center"/>
                    <w:rPr>
                      <w:rFonts w:ascii="宋体" w:hAnsi="宋体" w:cs="Arial"/>
                      <w:color w:val="000000"/>
                      <w:kern w:val="0"/>
                      <w:sz w:val="22"/>
                      <w:szCs w:val="22"/>
                    </w:rPr>
                  </w:pPr>
                </w:p>
              </w:tc>
              <w:tc>
                <w:tcPr>
                  <w:tcW w:w="4229"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5,107.54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4,304.42</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803.12</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2,819.14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2,373.64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445.50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人大事务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2010103</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1,513.82</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1,068.32</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445.50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810.20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810.20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528.60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240.68</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287.92</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2010308</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27.58</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27.58</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17.44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发展与改革事务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6.18</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31.77</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31.77</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23.77</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23.77</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宣传事务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公共安全支出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公安</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2040219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46.81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46.81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文化和旅游</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2070102</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26.81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274.41</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274.41</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28.00</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28.00</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2080102</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22.26</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22.26</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42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4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3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422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675"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440"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1320"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54.42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54.42</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2089999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3.66</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246.51</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174.66</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71.85</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34.81</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公共卫生</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50.38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45.38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2100409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45.38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45.38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50.64</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24.17</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24.17</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24.17</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110.68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节能环保支出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自然生态保护</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139.05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139.05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12.35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12.35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21208</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2120899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116.90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1,393.39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1,112.63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280.76</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212.58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191.00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2130142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197.58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191.00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水利工程运行与维护</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1,036.62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946.86</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89.76</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12.95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12.95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839.95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750.19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89.76</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183.72</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101.19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46.42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46.42</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消防救援事务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17.83</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9.41</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9.41</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其他消防救援事务支出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8.41</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8.41</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pPr>
              <w:rPr>
                <w:rFonts w:hint="eastAsia" w:cs="Arial"/>
                <w:color w:val="000000"/>
                <w:sz w:val="20"/>
                <w:szCs w:val="20"/>
              </w:rPr>
            </w:pPr>
          </w:p>
          <w:p>
            <w:pPr>
              <w:rPr>
                <w:rFonts w:hint="eastAsia" w:cs="Arial"/>
                <w:color w:val="000000"/>
                <w:sz w:val="20"/>
                <w:szCs w:val="20"/>
              </w:rPr>
            </w:pPr>
          </w:p>
        </w:tc>
      </w:tr>
    </w:tbl>
    <w:p>
      <w:pPr>
        <w:widowControl/>
        <w:jc w:val="both"/>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7"/>
        <w:tblW w:w="15009" w:type="dxa"/>
        <w:tblInd w:w="95" w:type="dxa"/>
        <w:tblLayout w:type="fixed"/>
        <w:tblCellMar>
          <w:top w:w="0" w:type="dxa"/>
          <w:left w:w="108" w:type="dxa"/>
          <w:bottom w:w="0" w:type="dxa"/>
          <w:right w:w="108" w:type="dxa"/>
        </w:tblCellMar>
      </w:tblPr>
      <w:tblGrid>
        <w:gridCol w:w="3340"/>
        <w:gridCol w:w="77"/>
        <w:gridCol w:w="503"/>
        <w:gridCol w:w="57"/>
        <w:gridCol w:w="1023"/>
        <w:gridCol w:w="217"/>
        <w:gridCol w:w="3857"/>
        <w:gridCol w:w="15"/>
        <w:gridCol w:w="498"/>
        <w:gridCol w:w="37"/>
        <w:gridCol w:w="1055"/>
        <w:gridCol w:w="41"/>
        <w:gridCol w:w="1324"/>
        <w:gridCol w:w="76"/>
        <w:gridCol w:w="1179"/>
        <w:gridCol w:w="403"/>
        <w:gridCol w:w="1307"/>
      </w:tblGrid>
      <w:tr>
        <w:tblPrEx>
          <w:tblCellMar>
            <w:top w:w="0" w:type="dxa"/>
            <w:left w:w="108" w:type="dxa"/>
            <w:bottom w:w="0" w:type="dxa"/>
            <w:right w:w="108" w:type="dxa"/>
          </w:tblCellMar>
        </w:tblPrEx>
        <w:trPr>
          <w:trHeight w:val="390" w:hRule="atLeast"/>
        </w:trPr>
        <w:tc>
          <w:tcPr>
            <w:tcW w:w="15009" w:type="dxa"/>
            <w:gridSpan w:val="17"/>
            <w:tcBorders>
              <w:top w:val="nil"/>
              <w:left w:val="nil"/>
              <w:bottom w:val="nil"/>
              <w:right w:val="nil"/>
            </w:tcBorders>
            <w:shd w:val="clear" w:color="auto" w:fill="auto"/>
            <w:noWrap/>
            <w:vAlign w:val="bottom"/>
          </w:tcPr>
          <w:p>
            <w:pPr>
              <w:widowControl/>
              <w:ind w:firstLine="5040" w:firstLineChars="14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财政拨款收入支出决算总表</w:t>
            </w: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r>
              <w:rPr>
                <w:rFonts w:hint="eastAsia" w:ascii="Arial" w:hAnsi="Arial" w:cs="Arial"/>
                <w:color w:val="000000"/>
                <w:kern w:val="0"/>
                <w:sz w:val="20"/>
                <w:szCs w:val="20"/>
              </w:rPr>
              <w:t>公开04表</w:t>
            </w:r>
          </w:p>
        </w:tc>
        <w:tc>
          <w:tcPr>
            <w:tcW w:w="1710" w:type="dxa"/>
            <w:gridSpan w:val="2"/>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r>
              <w:rPr>
                <w:rFonts w:hint="eastAsia" w:ascii="Arial" w:hAnsi="Arial" w:cs="Arial"/>
                <w:color w:val="000000"/>
                <w:kern w:val="0"/>
                <w:sz w:val="20"/>
                <w:szCs w:val="20"/>
              </w:rPr>
              <w:t>单位：万元</w:t>
            </w:r>
          </w:p>
        </w:tc>
        <w:tc>
          <w:tcPr>
            <w:tcW w:w="1710" w:type="dxa"/>
            <w:gridSpan w:val="2"/>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5000"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收     入</w:t>
            </w:r>
          </w:p>
        </w:tc>
        <w:tc>
          <w:tcPr>
            <w:tcW w:w="10009" w:type="dxa"/>
            <w:gridSpan w:val="12"/>
            <w:tcBorders>
              <w:top w:val="single" w:color="000000" w:sz="4" w:space="0"/>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支     出</w:t>
            </w:r>
          </w:p>
        </w:tc>
      </w:tr>
      <w:tr>
        <w:tblPrEx>
          <w:tblCellMar>
            <w:top w:w="0" w:type="dxa"/>
            <w:left w:w="108" w:type="dxa"/>
            <w:bottom w:w="0" w:type="dxa"/>
            <w:right w:w="108" w:type="dxa"/>
          </w:tblCellMar>
        </w:tblPrEx>
        <w:trPr>
          <w:trHeight w:val="293" w:hRule="atLeast"/>
        </w:trPr>
        <w:tc>
          <w:tcPr>
            <w:tcW w:w="3340" w:type="dxa"/>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项    目</w:t>
            </w:r>
          </w:p>
        </w:tc>
        <w:tc>
          <w:tcPr>
            <w:tcW w:w="58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行次</w:t>
            </w:r>
          </w:p>
        </w:tc>
        <w:tc>
          <w:tcPr>
            <w:tcW w:w="108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决算数</w:t>
            </w:r>
          </w:p>
        </w:tc>
        <w:tc>
          <w:tcPr>
            <w:tcW w:w="4089" w:type="dxa"/>
            <w:gridSpan w:val="3"/>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项目（按功能分类）</w:t>
            </w:r>
          </w:p>
        </w:tc>
        <w:tc>
          <w:tcPr>
            <w:tcW w:w="498"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行次</w:t>
            </w:r>
          </w:p>
        </w:tc>
        <w:tc>
          <w:tcPr>
            <w:tcW w:w="5422" w:type="dxa"/>
            <w:gridSpan w:val="8"/>
            <w:tcBorders>
              <w:top w:val="nil"/>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决算数</w:t>
            </w:r>
          </w:p>
        </w:tc>
      </w:tr>
      <w:tr>
        <w:tblPrEx>
          <w:tblCellMar>
            <w:top w:w="0" w:type="dxa"/>
            <w:left w:w="108" w:type="dxa"/>
            <w:bottom w:w="0" w:type="dxa"/>
            <w:right w:w="108" w:type="dxa"/>
          </w:tblCellMar>
        </w:tblPrEx>
        <w:trPr>
          <w:trHeight w:val="795" w:hRule="atLeast"/>
        </w:trPr>
        <w:tc>
          <w:tcPr>
            <w:tcW w:w="3340" w:type="dxa"/>
            <w:vMerge w:val="continue"/>
            <w:tcBorders>
              <w:top w:val="nil"/>
              <w:left w:val="single" w:color="000000" w:sz="4" w:space="0"/>
              <w:bottom w:val="single" w:color="000000" w:sz="4" w:space="0"/>
              <w:right w:val="single" w:color="000000" w:sz="4" w:space="0"/>
            </w:tcBorders>
            <w:vAlign w:val="center"/>
          </w:tcPr>
          <w:p>
            <w:pPr>
              <w:rPr>
                <w:rFonts w:ascii="宋体" w:hAnsi="宋体" w:cs="Arial"/>
                <w:color w:val="000000"/>
                <w:sz w:val="22"/>
                <w:szCs w:val="22"/>
              </w:rPr>
            </w:pPr>
          </w:p>
        </w:tc>
        <w:tc>
          <w:tcPr>
            <w:tcW w:w="580" w:type="dxa"/>
            <w:gridSpan w:val="2"/>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1080" w:type="dxa"/>
            <w:gridSpan w:val="2"/>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4089" w:type="dxa"/>
            <w:gridSpan w:val="3"/>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498" w:type="dxa"/>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1092"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小计</w:t>
            </w:r>
          </w:p>
        </w:tc>
        <w:tc>
          <w:tcPr>
            <w:tcW w:w="1365"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一般公共预算财政拨款</w:t>
            </w:r>
          </w:p>
        </w:tc>
        <w:tc>
          <w:tcPr>
            <w:tcW w:w="1658" w:type="dxa"/>
            <w:gridSpan w:val="3"/>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政府性基金预算财政拨款</w:t>
            </w:r>
          </w:p>
        </w:tc>
        <w:tc>
          <w:tcPr>
            <w:tcW w:w="1307" w:type="dxa"/>
            <w:tcBorders>
              <w:top w:val="nil"/>
              <w:left w:val="nil"/>
              <w:bottom w:val="single" w:color="000000" w:sz="4" w:space="0"/>
              <w:right w:val="single" w:color="000000" w:sz="8"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国有资本经营预算财政拨款</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栏    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10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栏    次</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1092"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12</w:t>
            </w:r>
          </w:p>
        </w:tc>
        <w:tc>
          <w:tcPr>
            <w:tcW w:w="1365"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13</w:t>
            </w:r>
          </w:p>
        </w:tc>
        <w:tc>
          <w:tcPr>
            <w:tcW w:w="1658"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14</w:t>
            </w:r>
          </w:p>
        </w:tc>
        <w:tc>
          <w:tcPr>
            <w:tcW w:w="1307" w:type="dxa"/>
            <w:tcBorders>
              <w:top w:val="nil"/>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15</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4068.07</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一、一般公共服务支出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33</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2392.31</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2392.31</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121.90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二、外交支出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34</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三、国防支出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35</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四、公共安全支出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36</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16.31</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16.31</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五、教育支出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37</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六、科学技术支出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38</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七、文化旅游体育与传媒支出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39</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八、社会保障和就业支出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40</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218.96</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218.96</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九、卫生健康支出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41</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211.7</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211.7</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十、节能环保支出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42</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5</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5</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十一、城乡社区支出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43</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116.9</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116.9</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十二、农林水支出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44</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1069.48</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1069.48</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十三、交通运输支出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45</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十四、资源勘探工业信息等支出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46</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十五、商业服务业等支出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47</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十六、金融支出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48</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十七、援助其他地区支出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49</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十八、自然资源海洋气象等支出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50</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十九、住房保障支出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51</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115.49</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115.49</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二十、粮油物资储备支出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52</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二十一、国有资本经营预算支出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53</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二十二、灾害防治及应急管理支出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54</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17.83</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17.83</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二十三、其他支出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55</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5</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5</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二十四、债务还本支出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56</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二十五、债务付息支出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57</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二十六、抗疫特别国债安排的支出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58</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本年收入合计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4189.97</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本年支出合计</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85</w:t>
            </w:r>
          </w:p>
        </w:tc>
        <w:tc>
          <w:tcPr>
            <w:tcW w:w="10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4189.97</w:t>
            </w:r>
          </w:p>
        </w:tc>
        <w:tc>
          <w:tcPr>
            <w:tcW w:w="136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4068.07</w:t>
            </w:r>
          </w:p>
        </w:tc>
        <w:tc>
          <w:tcPr>
            <w:tcW w:w="1658"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121.9</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年初财政拨款结转和结余</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年末财政拨款结转和结余</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86</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87</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88</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89</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8"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总计</w:t>
            </w:r>
          </w:p>
        </w:tc>
        <w:tc>
          <w:tcPr>
            <w:tcW w:w="580" w:type="dxa"/>
            <w:gridSpan w:val="2"/>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32</w:t>
            </w:r>
          </w:p>
        </w:tc>
        <w:tc>
          <w:tcPr>
            <w:tcW w:w="1080" w:type="dxa"/>
            <w:gridSpan w:val="2"/>
            <w:tcBorders>
              <w:top w:val="nil"/>
              <w:left w:val="nil"/>
              <w:bottom w:val="single" w:color="000000" w:sz="8" w:space="0"/>
              <w:right w:val="single" w:color="000000" w:sz="4" w:space="0"/>
            </w:tcBorders>
            <w:shd w:val="clear" w:color="auto" w:fill="auto"/>
            <w:noWrap/>
            <w:vAlign w:val="center"/>
          </w:tcPr>
          <w:p>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4189.97</w:t>
            </w:r>
          </w:p>
        </w:tc>
        <w:tc>
          <w:tcPr>
            <w:tcW w:w="4089" w:type="dxa"/>
            <w:gridSpan w:val="3"/>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总计</w:t>
            </w:r>
          </w:p>
        </w:tc>
        <w:tc>
          <w:tcPr>
            <w:tcW w:w="498" w:type="dxa"/>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90</w:t>
            </w:r>
          </w:p>
        </w:tc>
        <w:tc>
          <w:tcPr>
            <w:tcW w:w="1092"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4189.97</w:t>
            </w:r>
          </w:p>
        </w:tc>
        <w:tc>
          <w:tcPr>
            <w:tcW w:w="1365"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4068.07</w:t>
            </w:r>
          </w:p>
        </w:tc>
        <w:tc>
          <w:tcPr>
            <w:tcW w:w="1658" w:type="dxa"/>
            <w:gridSpan w:val="3"/>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121.9</w:t>
            </w:r>
          </w:p>
        </w:tc>
        <w:tc>
          <w:tcPr>
            <w:tcW w:w="130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10" w:type="dxa"/>
            <w:gridSpan w:val="2"/>
            <w:tcBorders>
              <w:top w:val="nil"/>
              <w:left w:val="nil"/>
              <w:bottom w:val="nil"/>
              <w:right w:val="nil"/>
            </w:tcBorders>
            <w:shd w:val="clear" w:color="auto" w:fill="auto"/>
            <w:noWrap/>
            <w:vAlign w:val="bottom"/>
          </w:tcPr>
          <w:p>
            <w:pPr>
              <w:widowControl/>
              <w:jc w:val="right"/>
              <w:rPr>
                <w:rFonts w:hint="eastAsia"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13299" w:type="dxa"/>
            <w:gridSpan w:val="15"/>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710" w:type="dxa"/>
            <w:gridSpan w:val="2"/>
            <w:tcBorders>
              <w:top w:val="nil"/>
              <w:left w:val="nil"/>
              <w:bottom w:val="nil"/>
              <w:right w:val="nil"/>
            </w:tcBorders>
            <w:shd w:val="clear" w:color="auto" w:fill="auto"/>
            <w:noWrap/>
            <w:vAlign w:val="center"/>
          </w:tcPr>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ascii="宋体" w:hAnsi="宋体" w:cs="Arial"/>
                <w:color w:val="000000"/>
                <w:kern w:val="0"/>
                <w:sz w:val="20"/>
                <w:szCs w:val="20"/>
              </w:rPr>
            </w:pPr>
          </w:p>
        </w:tc>
      </w:tr>
    </w:tbl>
    <w:p>
      <w:pPr>
        <w:widowControl/>
        <w:rPr>
          <w:rFonts w:hint="eastAsia" w:ascii="Times New Roman" w:hAnsi="Times New Roman" w:eastAsia="方正小标宋_GBK" w:cs="Times New Roman"/>
          <w:color w:val="000000"/>
          <w:kern w:val="0"/>
          <w:sz w:val="36"/>
          <w:szCs w:val="36"/>
        </w:rPr>
      </w:pPr>
    </w:p>
    <w:tbl>
      <w:tblPr>
        <w:tblStyle w:val="7"/>
        <w:tblW w:w="15302" w:type="dxa"/>
        <w:tblInd w:w="95" w:type="dxa"/>
        <w:tblLayout w:type="fixed"/>
        <w:tblCellMar>
          <w:top w:w="0" w:type="dxa"/>
          <w:left w:w="108" w:type="dxa"/>
          <w:bottom w:w="0" w:type="dxa"/>
          <w:right w:w="108" w:type="dxa"/>
        </w:tblCellMar>
      </w:tblPr>
      <w:tblGrid>
        <w:gridCol w:w="622"/>
        <w:gridCol w:w="560"/>
        <w:gridCol w:w="760"/>
        <w:gridCol w:w="5660"/>
        <w:gridCol w:w="2240"/>
        <w:gridCol w:w="2520"/>
        <w:gridCol w:w="2940"/>
      </w:tblGrid>
      <w:tr>
        <w:tblPrEx>
          <w:tblCellMar>
            <w:top w:w="0" w:type="dxa"/>
            <w:left w:w="108" w:type="dxa"/>
            <w:bottom w:w="0" w:type="dxa"/>
            <w:right w:w="108" w:type="dxa"/>
          </w:tblCellMar>
        </w:tblPrEx>
        <w:trPr>
          <w:trHeight w:val="540" w:hRule="atLeast"/>
        </w:trPr>
        <w:tc>
          <w:tcPr>
            <w:tcW w:w="15302" w:type="dxa"/>
            <w:gridSpan w:val="7"/>
            <w:tcBorders>
              <w:top w:val="nil"/>
              <w:left w:val="nil"/>
              <w:bottom w:val="nil"/>
              <w:right w:val="nil"/>
            </w:tcBorders>
            <w:shd w:val="clear" w:color="auto" w:fill="auto"/>
            <w:noWrap/>
            <w:vAlign w:val="bottom"/>
          </w:tcPr>
          <w:p>
            <w:pPr>
              <w:widowControl/>
              <w:jc w:val="center"/>
              <w:rPr>
                <w:rFonts w:ascii="Arial" w:hAnsi="Arial" w:cs="Arial"/>
                <w:color w:val="000000"/>
                <w:kern w:val="0"/>
                <w:sz w:val="20"/>
                <w:szCs w:val="20"/>
              </w:rPr>
            </w:pPr>
            <w:r>
              <w:rPr>
                <w:rFonts w:hint="eastAsia" w:ascii="宋体" w:hAnsi="宋体" w:cs="Arial"/>
                <w:color w:val="000000"/>
                <w:kern w:val="0"/>
                <w:sz w:val="44"/>
                <w:szCs w:val="44"/>
              </w:rPr>
              <w:t>一般公共预算财政拨款支出决算明细表</w:t>
            </w:r>
          </w:p>
        </w:tc>
      </w:tr>
      <w:tr>
        <w:tblPrEx>
          <w:tblCellMar>
            <w:top w:w="0" w:type="dxa"/>
            <w:left w:w="108" w:type="dxa"/>
            <w:bottom w:w="0" w:type="dxa"/>
            <w:right w:w="108" w:type="dxa"/>
          </w:tblCellMar>
        </w:tblPrEx>
        <w:trPr>
          <w:trHeight w:val="300" w:hRule="atLeast"/>
        </w:trPr>
        <w:tc>
          <w:tcPr>
            <w:tcW w:w="7602"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4"/>
                <w:szCs w:val="24"/>
              </w:rPr>
            </w:pPr>
            <w:r>
              <w:rPr>
                <w:rFonts w:hint="eastAsia" w:ascii="宋体" w:hAnsi="宋体" w:cs="Arial"/>
                <w:color w:val="000000"/>
                <w:kern w:val="0"/>
                <w:sz w:val="24"/>
                <w:szCs w:val="24"/>
              </w:rPr>
              <w:t>编制单位：湘潭县石潭镇人民政府</w:t>
            </w:r>
          </w:p>
        </w:tc>
        <w:tc>
          <w:tcPr>
            <w:tcW w:w="2240" w:type="dxa"/>
            <w:tcBorders>
              <w:top w:val="nil"/>
              <w:left w:val="nil"/>
              <w:bottom w:val="nil"/>
              <w:right w:val="nil"/>
            </w:tcBorders>
            <w:shd w:val="clear" w:color="auto" w:fill="auto"/>
            <w:noWrap/>
            <w:vAlign w:val="bottom"/>
          </w:tcPr>
          <w:p>
            <w:pPr>
              <w:widowControl/>
              <w:jc w:val="right"/>
              <w:rPr>
                <w:rFonts w:ascii="Arial" w:hAnsi="Arial" w:cs="Arial"/>
                <w:color w:val="000000"/>
                <w:kern w:val="0"/>
                <w:sz w:val="20"/>
                <w:szCs w:val="20"/>
              </w:rPr>
            </w:pPr>
          </w:p>
        </w:tc>
        <w:tc>
          <w:tcPr>
            <w:tcW w:w="5460" w:type="dxa"/>
            <w:gridSpan w:val="2"/>
            <w:tcBorders>
              <w:top w:val="nil"/>
              <w:left w:val="nil"/>
              <w:bottom w:val="nil"/>
              <w:right w:val="nil"/>
            </w:tcBorders>
            <w:shd w:val="clear" w:color="auto" w:fill="auto"/>
            <w:noWrap/>
            <w:vAlign w:val="bottom"/>
          </w:tcPr>
          <w:p>
            <w:pPr>
              <w:widowControl/>
              <w:jc w:val="right"/>
              <w:rPr>
                <w:rFonts w:hint="eastAsia" w:ascii="Arial" w:hAnsi="Arial" w:cs="Arial"/>
                <w:color w:val="000000"/>
                <w:kern w:val="0"/>
                <w:sz w:val="20"/>
                <w:szCs w:val="20"/>
              </w:rPr>
            </w:pPr>
            <w:r>
              <w:rPr>
                <w:rFonts w:hint="eastAsia" w:ascii="Arial" w:hAnsi="Arial" w:cs="Arial"/>
                <w:color w:val="000000"/>
                <w:kern w:val="0"/>
                <w:sz w:val="20"/>
                <w:szCs w:val="20"/>
              </w:rPr>
              <w:t>公开05表</w:t>
            </w:r>
          </w:p>
          <w:p>
            <w:pPr>
              <w:widowControl/>
              <w:jc w:val="right"/>
              <w:rPr>
                <w:rFonts w:ascii="Arial" w:hAnsi="Arial" w:cs="Arial"/>
                <w:color w:val="000000"/>
                <w:kern w:val="0"/>
                <w:sz w:val="20"/>
                <w:szCs w:val="20"/>
              </w:rPr>
            </w:pPr>
            <w:r>
              <w:rPr>
                <w:rFonts w:hint="eastAsia" w:ascii="Arial" w:hAnsi="Arial" w:cs="Arial"/>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7602"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2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52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9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94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5660" w:type="dxa"/>
            <w:vMerge w:val="restart"/>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622"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5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7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5660" w:type="dxa"/>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40"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520" w:type="dxa"/>
            <w:tcBorders>
              <w:top w:val="nil"/>
              <w:left w:val="nil"/>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940" w:type="dxa"/>
            <w:tcBorders>
              <w:top w:val="nil"/>
              <w:left w:val="nil"/>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62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7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4068.07</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3264.95</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hint="eastAsia" w:ascii="Arial" w:hAnsi="Arial" w:cs="Arial"/>
                <w:color w:val="000000"/>
                <w:kern w:val="0"/>
                <w:sz w:val="20"/>
                <w:szCs w:val="20"/>
              </w:rPr>
              <w:t>803.12</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2,392.31</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1,946.81</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445.50</w:t>
            </w:r>
          </w:p>
        </w:tc>
      </w:tr>
      <w:tr>
        <w:tblPrEx>
          <w:tblCellMar>
            <w:top w:w="0" w:type="dxa"/>
            <w:left w:w="108" w:type="dxa"/>
            <w:bottom w:w="0" w:type="dxa"/>
            <w:right w:w="108" w:type="dxa"/>
          </w:tblCellMar>
        </w:tblPrEx>
        <w:trPr>
          <w:trHeight w:val="90"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人大事务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2010103</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1,257.44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1,116.93</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671.43</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445.50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413.31</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413.31</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528.60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240.68</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287.92</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2010308</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27.58</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27.58</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2010399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17.44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130.00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2010699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宣传事务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2013399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9.94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公共安全支出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公安</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2040219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16.31</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文化和旅游</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2070102</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218.96</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218.96</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2080102</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155.14</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2080801</w:t>
            </w:r>
          </w:p>
        </w:tc>
        <w:tc>
          <w:tcPr>
            <w:tcW w:w="566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54.42</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20899</w:t>
            </w:r>
          </w:p>
        </w:tc>
        <w:tc>
          <w:tcPr>
            <w:tcW w:w="5660" w:type="dxa"/>
            <w:tcBorders>
              <w:top w:val="nil"/>
              <w:left w:val="nil"/>
              <w:bottom w:val="single" w:color="auto" w:sz="4" w:space="0"/>
              <w:right w:val="nil"/>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3.66</w:t>
            </w:r>
          </w:p>
        </w:tc>
        <w:tc>
          <w:tcPr>
            <w:tcW w:w="2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3.66</w:t>
            </w:r>
          </w:p>
        </w:tc>
        <w:tc>
          <w:tcPr>
            <w:tcW w:w="29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2089999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3.66</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3.66</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211.70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139.85</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71.85</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21004</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公共卫生</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50.38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45.38</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2100409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45.38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45.38</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2100499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21007</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计划生育事务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50.64</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24.17</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26.47</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2100717</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26.47</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26.47</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2100799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24.17</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24.17</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110.68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110.68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2101101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110.68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110.68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节能环保支出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21104</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自然生态保护</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2110402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1,069.48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788.72</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280.76</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农业农村</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212.58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21.58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191.00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2130126</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2130142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197.58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6.58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191.00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21303</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水利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2130302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21307</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农村综合改革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840.90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751.14</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89.76</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2130701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12.95</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12.95</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2130705</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827.95</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738.19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89.76</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115.49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17.83</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17.83</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消防救援事务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17.83</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17.83</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2240202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9.41</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9.41</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2240299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其他消防救援事务支出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8.41</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8.41</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r>
        <w:rPr>
          <w:rFonts w:hint="eastAsia" w:ascii="宋体" w:hAnsi="宋体" w:cs="Arial"/>
          <w:color w:val="000000"/>
          <w:kern w:val="0"/>
          <w:sz w:val="44"/>
          <w:szCs w:val="44"/>
        </w:rPr>
        <w:t>一般公共预算财政拨款基本支出决算明细表</w:t>
      </w:r>
    </w:p>
    <w:tbl>
      <w:tblPr>
        <w:tblStyle w:val="7"/>
        <w:tblW w:w="15342" w:type="dxa"/>
        <w:tblInd w:w="95" w:type="dxa"/>
        <w:tblLayout w:type="fixed"/>
        <w:tblCellMar>
          <w:top w:w="0" w:type="dxa"/>
          <w:left w:w="108" w:type="dxa"/>
          <w:bottom w:w="0" w:type="dxa"/>
          <w:right w:w="108" w:type="dxa"/>
        </w:tblCellMar>
      </w:tblPr>
      <w:tblGrid>
        <w:gridCol w:w="780"/>
        <w:gridCol w:w="3682"/>
        <w:gridCol w:w="1180"/>
        <w:gridCol w:w="820"/>
        <w:gridCol w:w="2480"/>
        <w:gridCol w:w="1100"/>
        <w:gridCol w:w="780"/>
        <w:gridCol w:w="3528"/>
        <w:gridCol w:w="992"/>
      </w:tblGrid>
      <w:tr>
        <w:tblPrEx>
          <w:tblCellMar>
            <w:top w:w="0" w:type="dxa"/>
            <w:left w:w="108" w:type="dxa"/>
            <w:bottom w:w="0" w:type="dxa"/>
            <w:right w:w="108" w:type="dxa"/>
          </w:tblCellMar>
        </w:tblPrEx>
        <w:trPr>
          <w:trHeight w:val="624" w:hRule="atLeast"/>
        </w:trPr>
        <w:tc>
          <w:tcPr>
            <w:tcW w:w="15342" w:type="dxa"/>
            <w:gridSpan w:val="9"/>
            <w:tcBorders>
              <w:top w:val="nil"/>
              <w:left w:val="nil"/>
              <w:right w:val="nil"/>
            </w:tcBorders>
            <w:shd w:val="clear" w:color="000000" w:fill="C0C0C0"/>
            <w:noWrap/>
            <w:vAlign w:val="bottom"/>
          </w:tcPr>
          <w:p>
            <w:pPr>
              <w:shd w:val="clear"/>
              <w:jc w:val="right"/>
              <w:rPr>
                <w:rFonts w:hint="eastAsia" w:ascii="宋体" w:hAnsi="宋体" w:cs="Arial"/>
                <w:color w:val="000000"/>
                <w:kern w:val="0"/>
                <w:sz w:val="24"/>
                <w:szCs w:val="24"/>
                <w:lang w:val="en-US" w:eastAsia="zh-CN"/>
              </w:rPr>
            </w:pPr>
            <w:r>
              <w:rPr>
                <w:rFonts w:hint="eastAsia" w:ascii="宋体" w:hAnsi="宋体" w:cs="Arial"/>
                <w:color w:val="000000"/>
                <w:kern w:val="0"/>
                <w:sz w:val="24"/>
                <w:szCs w:val="24"/>
                <w:lang w:val="en-US" w:eastAsia="zh-CN"/>
              </w:rPr>
              <w:t>公开06表</w:t>
            </w:r>
          </w:p>
          <w:p>
            <w:pPr>
              <w:shd w:val="clear"/>
              <w:jc w:val="right"/>
              <w:rPr>
                <w:rFonts w:hint="default" w:cs="Arial"/>
                <w:color w:val="000000"/>
                <w:sz w:val="22"/>
                <w:szCs w:val="22"/>
                <w:lang w:val="en-US" w:eastAsia="zh-CN"/>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单位：万元</w:t>
            </w:r>
          </w:p>
        </w:tc>
      </w:tr>
      <w:tr>
        <w:tblPrEx>
          <w:tblCellMar>
            <w:top w:w="0" w:type="dxa"/>
            <w:left w:w="108" w:type="dxa"/>
            <w:bottom w:w="0" w:type="dxa"/>
            <w:right w:w="108" w:type="dxa"/>
          </w:tblCellMar>
        </w:tblPrEx>
        <w:trPr>
          <w:trHeight w:val="223" w:hRule="atLeast"/>
        </w:trPr>
        <w:tc>
          <w:tcPr>
            <w:tcW w:w="5642" w:type="dxa"/>
            <w:gridSpan w:val="3"/>
            <w:tcBorders>
              <w:top w:val="single" w:color="000000" w:sz="8" w:space="0"/>
              <w:left w:val="single" w:color="000000" w:sz="8" w:space="0"/>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人员经费</w:t>
            </w:r>
          </w:p>
        </w:tc>
        <w:tc>
          <w:tcPr>
            <w:tcW w:w="9700" w:type="dxa"/>
            <w:gridSpan w:val="6"/>
            <w:tcBorders>
              <w:top w:val="single" w:color="000000" w:sz="8" w:space="0"/>
              <w:left w:val="nil"/>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公用经费</w:t>
            </w:r>
          </w:p>
        </w:tc>
      </w:tr>
      <w:tr>
        <w:tblPrEx>
          <w:tblCellMar>
            <w:top w:w="0" w:type="dxa"/>
            <w:left w:w="108" w:type="dxa"/>
            <w:bottom w:w="0" w:type="dxa"/>
            <w:right w:w="108" w:type="dxa"/>
          </w:tblCellMar>
        </w:tblPrEx>
        <w:trPr>
          <w:trHeight w:val="312" w:hRule="atLeast"/>
        </w:trPr>
        <w:tc>
          <w:tcPr>
            <w:tcW w:w="7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3682"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11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c>
          <w:tcPr>
            <w:tcW w:w="82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24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110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c>
          <w:tcPr>
            <w:tcW w:w="7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3528"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992"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r>
      <w:tr>
        <w:tblPrEx>
          <w:tblCellMar>
            <w:top w:w="0" w:type="dxa"/>
            <w:left w:w="108" w:type="dxa"/>
            <w:bottom w:w="0" w:type="dxa"/>
            <w:right w:w="108" w:type="dxa"/>
          </w:tblCellMar>
        </w:tblPrEx>
        <w:trPr>
          <w:trHeight w:val="312" w:hRule="atLeast"/>
        </w:trPr>
        <w:tc>
          <w:tcPr>
            <w:tcW w:w="7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3682"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11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82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24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110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7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3528"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992"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工资福利支出</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2478.13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商品和服务支出</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673.0</w:t>
            </w:r>
            <w:r>
              <w:rPr>
                <w:rFonts w:hint="eastAsia" w:ascii="宋体" w:hAnsi="宋体" w:cs="宋体"/>
                <w:i w:val="0"/>
                <w:iCs w:val="0"/>
                <w:color w:val="000000"/>
                <w:kern w:val="0"/>
                <w:sz w:val="24"/>
                <w:szCs w:val="24"/>
                <w:u w:val="none"/>
                <w:lang w:val="en-US" w:eastAsia="zh-CN" w:bidi="ar"/>
              </w:rPr>
              <w:t>1</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债务利息及费用支出</w:t>
            </w:r>
          </w:p>
        </w:tc>
        <w:tc>
          <w:tcPr>
            <w:tcW w:w="992"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ascii="宋体" w:hAnsi="宋体" w:cs="Arial"/>
                <w:color w:val="000000"/>
                <w:sz w:val="22"/>
                <w:szCs w:val="22"/>
              </w:rPr>
            </w:pPr>
            <w:r>
              <w:rPr>
                <w:rFonts w:hint="default"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基本工资</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1292.83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办公费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65.52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30701</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国内债务付息</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津贴补贴</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145.99</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印刷费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16.78</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30702</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国外债务付息</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奖金</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403.54</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30203</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咨询费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资本性支出</w:t>
            </w:r>
          </w:p>
        </w:tc>
        <w:tc>
          <w:tcPr>
            <w:tcW w:w="99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30106</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伙食补助费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手续费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31001</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房屋建筑物购建</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30107</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绩效工资</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220.07</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水费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1.63</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31002</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办公设备购置</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30108</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机关事业单位基本养老保险缴费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158.88</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电费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16</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31003</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专用设备购置</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职业年金缴费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3.66</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邮电费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1.55</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31005</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基础设施建设</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hint="default" w:ascii="宋体" w:hAnsi="宋体" w:eastAsia="宋体" w:cs="Arial"/>
                <w:color w:val="000000"/>
                <w:sz w:val="22"/>
                <w:szCs w:val="22"/>
                <w:lang w:val="en-US" w:eastAsia="zh-CN"/>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30110</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职工基本医疗保险缴费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114.94</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取暖费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31006</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大型修缮</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公务员医疗补助缴费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物业管理费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31007</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信息网络及软件购置更新</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其他社会保障缴费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22.73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差旅费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9.74</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31008</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物资储备</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住房公积金</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115.49</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因公出国（境）费用</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31009</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土地补偿</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30114</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医疗费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30213</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维修（护）费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106.79</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31010</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安置补助</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30199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其他工资福利支出</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租赁费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31011</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地上附着物和青苗补偿</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对个人和家庭的补助</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113.81</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会议费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31012</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拆迁补偿</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离休费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培训费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1.14</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31013</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公务用车购置</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退休费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公务接待费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31019</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其他交通工具购置</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退职（役）费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专用材料费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17.83</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31021</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文物和陈列品购置</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30304</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抚恤金</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54.42</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被装购置费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31022</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无形资产购置</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30305</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生活补助</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32.09</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专用燃料费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31099</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其他资本性支出</w:t>
            </w:r>
          </w:p>
        </w:tc>
        <w:tc>
          <w:tcPr>
            <w:tcW w:w="992"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30306</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救济费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劳务费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27.47</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其他支出</w:t>
            </w:r>
          </w:p>
        </w:tc>
        <w:tc>
          <w:tcPr>
            <w:tcW w:w="992"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30307</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医疗费补助</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委托业务费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39906</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赠与</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30308</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助学金</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工会经费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12.07</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39907</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国家赔偿费用支出</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奖励金</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福利费</w:t>
            </w:r>
          </w:p>
        </w:tc>
        <w:tc>
          <w:tcPr>
            <w:tcW w:w="11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20.55</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39908</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对民间非营利组织和群众性自治组织补贴</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30310</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个人农业生产补贴</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30231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公务用车运行维护费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39999</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其他支出</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hint="default" w:ascii="宋体" w:hAnsi="宋体" w:eastAsia="宋体" w:cs="Arial"/>
                <w:color w:val="000000"/>
                <w:sz w:val="22"/>
                <w:szCs w:val="22"/>
                <w:lang w:val="en-US" w:eastAsia="zh-CN"/>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30311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代缴社会保险费</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30239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其他交通费用</w:t>
            </w:r>
          </w:p>
        </w:tc>
        <w:tc>
          <w:tcPr>
            <w:tcW w:w="1100"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Arial"/>
                <w:color w:val="000000"/>
                <w:sz w:val="22"/>
                <w:szCs w:val="22"/>
                <w:lang w:val="en-US" w:eastAsia="zh-CN"/>
              </w:rPr>
            </w:pPr>
            <w:r>
              <w:rPr>
                <w:rFonts w:hint="default" w:ascii="Calibri" w:hAnsi="Calibri" w:eastAsia="宋体" w:cs="Calibri"/>
                <w:i w:val="0"/>
                <w:iCs w:val="0"/>
                <w:color w:val="000000"/>
                <w:kern w:val="0"/>
                <w:sz w:val="22"/>
                <w:szCs w:val="22"/>
                <w:u w:val="none"/>
                <w:lang w:val="en-US" w:eastAsia="zh-CN" w:bidi="ar"/>
              </w:rPr>
              <w:t>176.57</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90"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30399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其他对个人和家庭的补助</w:t>
            </w:r>
          </w:p>
        </w:tc>
        <w:tc>
          <w:tcPr>
            <w:tcW w:w="118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27.3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30240</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税金及附加费用</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30299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其他商品和服务支出</w:t>
            </w:r>
          </w:p>
        </w:tc>
        <w:tc>
          <w:tcPr>
            <w:tcW w:w="1100"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Arial"/>
                <w:color w:val="000000"/>
                <w:sz w:val="22"/>
                <w:szCs w:val="22"/>
                <w:lang w:val="en-US" w:eastAsia="zh-CN"/>
              </w:rPr>
            </w:pPr>
            <w:r>
              <w:rPr>
                <w:rFonts w:hint="default" w:ascii="Calibri" w:hAnsi="Calibri" w:eastAsia="宋体" w:cs="Calibri"/>
                <w:i w:val="0"/>
                <w:iCs w:val="0"/>
                <w:color w:val="000000"/>
                <w:kern w:val="0"/>
                <w:sz w:val="22"/>
                <w:szCs w:val="22"/>
                <w:u w:val="none"/>
                <w:lang w:val="en-US" w:eastAsia="zh-CN" w:bidi="ar"/>
              </w:rPr>
              <w:t>199.3</w:t>
            </w:r>
            <w:r>
              <w:rPr>
                <w:rFonts w:hint="eastAsia" w:cs="Calibri"/>
                <w:i w:val="0"/>
                <w:iCs w:val="0"/>
                <w:color w:val="000000"/>
                <w:kern w:val="0"/>
                <w:sz w:val="22"/>
                <w:szCs w:val="22"/>
                <w:u w:val="none"/>
                <w:lang w:val="en-US" w:eastAsia="zh-CN" w:bidi="ar"/>
              </w:rPr>
              <w:t>8</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28"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92" w:type="dxa"/>
            <w:tcBorders>
              <w:top w:val="nil"/>
              <w:left w:val="nil"/>
              <w:bottom w:val="single" w:color="000000" w:sz="8" w:space="0"/>
              <w:right w:val="single" w:color="000000" w:sz="8" w:space="0"/>
            </w:tcBorders>
            <w:shd w:val="clear" w:color="auto" w:fill="auto"/>
            <w:noWrap/>
            <w:vAlign w:val="bottom"/>
          </w:tcPr>
          <w:p>
            <w:pPr>
              <w:jc w:val="center"/>
              <w:rPr>
                <w:rFonts w:ascii="宋体" w:hAnsi="宋体" w:cs="Arial"/>
                <w:color w:val="000000"/>
                <w:sz w:val="22"/>
                <w:szCs w:val="22"/>
              </w:rPr>
            </w:pPr>
          </w:p>
        </w:tc>
      </w:tr>
      <w:tr>
        <w:tblPrEx>
          <w:tblCellMar>
            <w:top w:w="0" w:type="dxa"/>
            <w:left w:w="108" w:type="dxa"/>
            <w:bottom w:w="0" w:type="dxa"/>
            <w:right w:w="108" w:type="dxa"/>
          </w:tblCellMar>
        </w:tblPrEx>
        <w:trPr>
          <w:trHeight w:val="41" w:hRule="atLeast"/>
        </w:trPr>
        <w:tc>
          <w:tcPr>
            <w:tcW w:w="4462" w:type="dxa"/>
            <w:gridSpan w:val="2"/>
            <w:tcBorders>
              <w:top w:val="single" w:color="000000" w:sz="8" w:space="0"/>
              <w:left w:val="single" w:color="000000" w:sz="8" w:space="0"/>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人员经费合计</w:t>
            </w:r>
          </w:p>
        </w:tc>
        <w:tc>
          <w:tcPr>
            <w:tcW w:w="1180"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Arial"/>
                <w:color w:val="000000"/>
                <w:sz w:val="22"/>
                <w:szCs w:val="22"/>
                <w:lang w:val="en-US" w:eastAsia="zh-CN"/>
              </w:rPr>
            </w:pPr>
            <w:r>
              <w:rPr>
                <w:rFonts w:hint="default" w:ascii="Calibri" w:hAnsi="Calibri" w:eastAsia="宋体" w:cs="Calibri"/>
                <w:i w:val="0"/>
                <w:iCs w:val="0"/>
                <w:color w:val="000000"/>
                <w:kern w:val="0"/>
                <w:sz w:val="22"/>
                <w:szCs w:val="22"/>
                <w:u w:val="none"/>
                <w:lang w:val="en-US" w:eastAsia="zh-CN" w:bidi="ar"/>
              </w:rPr>
              <w:t>2591.94</w:t>
            </w:r>
          </w:p>
        </w:tc>
        <w:tc>
          <w:tcPr>
            <w:tcW w:w="8708" w:type="dxa"/>
            <w:gridSpan w:val="5"/>
            <w:tcBorders>
              <w:top w:val="single" w:color="000000" w:sz="8" w:space="0"/>
              <w:left w:val="nil"/>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公用经费合计</w:t>
            </w:r>
          </w:p>
        </w:tc>
        <w:tc>
          <w:tcPr>
            <w:tcW w:w="992"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Arial"/>
                <w:color w:val="000000"/>
                <w:sz w:val="22"/>
                <w:szCs w:val="22"/>
                <w:lang w:val="en-US" w:eastAsia="zh-CN"/>
              </w:rPr>
            </w:pPr>
            <w:r>
              <w:rPr>
                <w:rFonts w:hint="default" w:ascii="Calibri" w:hAnsi="Calibri" w:eastAsia="宋体" w:cs="Calibri"/>
                <w:i w:val="0"/>
                <w:iCs w:val="0"/>
                <w:color w:val="000000"/>
                <w:kern w:val="0"/>
                <w:sz w:val="22"/>
                <w:szCs w:val="22"/>
                <w:u w:val="none"/>
                <w:lang w:val="en-US" w:eastAsia="zh-CN" w:bidi="ar"/>
              </w:rPr>
              <w:t>3264.95</w:t>
            </w:r>
          </w:p>
        </w:tc>
      </w:tr>
    </w:tbl>
    <w:p>
      <w:pPr>
        <w:widowControl/>
        <w:rPr>
          <w:rFonts w:ascii="Times New Roman" w:hAnsi="Times New Roman" w:eastAsia="方正小标宋_GBK" w:cs="Times New Roman"/>
          <w:color w:val="000000"/>
          <w:kern w:val="0"/>
          <w:sz w:val="36"/>
          <w:szCs w:val="36"/>
        </w:rPr>
      </w:pPr>
      <w:r>
        <w:rPr>
          <w:rFonts w:hint="eastAsia" w:ascii="宋体" w:hAnsi="宋体" w:cs="Arial"/>
          <w:color w:val="000000"/>
          <w:kern w:val="0"/>
          <w:sz w:val="22"/>
          <w:szCs w:val="22"/>
        </w:rPr>
        <w:t>注：本表反映部门本年度一般公共预算财政拨款基本支出明细情况。</w:t>
      </w: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7"/>
        <w:tblW w:w="15522" w:type="dxa"/>
        <w:tblInd w:w="-106"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bookmarkEnd w:id="1"/>
    </w:tbl>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宋体" w:hAns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公开</w:t>
      </w:r>
      <w:r>
        <w:rPr>
          <w:rFonts w:ascii="宋体" w:hAnsi="宋体" w:cs="Arial"/>
          <w:color w:val="000000"/>
          <w:kern w:val="0"/>
          <w:sz w:val="22"/>
          <w:szCs w:val="22"/>
        </w:rPr>
        <w:t>07</w:t>
      </w:r>
      <w:r>
        <w:rPr>
          <w:rFonts w:hint="eastAsia" w:ascii="宋体" w:hAnsi="宋体" w:cs="Arial"/>
          <w:color w:val="000000"/>
          <w:kern w:val="0"/>
          <w:sz w:val="22"/>
          <w:szCs w:val="22"/>
        </w:rPr>
        <w:t>表</w:t>
      </w:r>
    </w:p>
    <w:p>
      <w:pPr>
        <w:widowControl/>
        <w:jc w:val="left"/>
        <w:rPr>
          <w:rFonts w:ascii="宋体" w:hAnsi="宋体" w:cs="Arial"/>
          <w:color w:val="000000"/>
          <w:kern w:val="0"/>
          <w:sz w:val="22"/>
          <w:szCs w:val="22"/>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r>
        <w:rPr>
          <w:rFonts w:hint="eastAsia" w:ascii="宋体" w:hAnsi="宋体" w:cs="Arial"/>
          <w:color w:val="000000"/>
          <w:kern w:val="0"/>
          <w:sz w:val="22"/>
          <w:szCs w:val="22"/>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1</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2</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3</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4</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5</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6</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7</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8</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10</w:t>
            </w:r>
          </w:p>
        </w:tc>
        <w:tc>
          <w:tcPr>
            <w:tcW w:w="1220" w:type="dxa"/>
            <w:tcBorders>
              <w:top w:val="nil"/>
              <w:left w:val="nil"/>
              <w:bottom w:val="single" w:color="auto" w:sz="4" w:space="0"/>
              <w:right w:val="single" w:color="auto" w:sz="4"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11</w:t>
            </w:r>
          </w:p>
        </w:tc>
        <w:tc>
          <w:tcPr>
            <w:tcW w:w="1220" w:type="dxa"/>
            <w:tcBorders>
              <w:top w:val="nil"/>
              <w:left w:val="nil"/>
              <w:bottom w:val="single" w:color="auto" w:sz="4" w:space="0"/>
              <w:right w:val="single" w:color="auto" w:sz="8" w:space="0"/>
            </w:tcBorders>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1220" w:type="dxa"/>
            <w:tcBorders>
              <w:top w:val="nil"/>
              <w:left w:val="nil"/>
              <w:bottom w:val="single" w:color="auto" w:sz="8" w:space="0"/>
              <w:right w:val="single" w:color="auto" w:sz="4" w:space="0"/>
            </w:tcBorders>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bookmarkStart w:id="18" w:name="_GoBack"/>
            <w:bookmarkEnd w:id="18"/>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nil"/>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tbl>
      <w:tblPr>
        <w:tblStyle w:val="7"/>
        <w:tblW w:w="16042" w:type="dxa"/>
        <w:tblInd w:w="95" w:type="dxa"/>
        <w:tblLayout w:type="autofit"/>
        <w:tblCellMar>
          <w:top w:w="0" w:type="dxa"/>
          <w:left w:w="108" w:type="dxa"/>
          <w:bottom w:w="0" w:type="dxa"/>
          <w:right w:w="108" w:type="dxa"/>
        </w:tblCellMar>
      </w:tblPr>
      <w:tblGrid>
        <w:gridCol w:w="436"/>
        <w:gridCol w:w="17"/>
        <w:gridCol w:w="354"/>
        <w:gridCol w:w="65"/>
        <w:gridCol w:w="245"/>
        <w:gridCol w:w="191"/>
        <w:gridCol w:w="4588"/>
        <w:gridCol w:w="1537"/>
        <w:gridCol w:w="1617"/>
        <w:gridCol w:w="1617"/>
        <w:gridCol w:w="1537"/>
        <w:gridCol w:w="1617"/>
        <w:gridCol w:w="2221"/>
      </w:tblGrid>
      <w:tr>
        <w:tblPrEx>
          <w:tblCellMar>
            <w:top w:w="0" w:type="dxa"/>
            <w:left w:w="108" w:type="dxa"/>
            <w:bottom w:w="0" w:type="dxa"/>
            <w:right w:w="108" w:type="dxa"/>
          </w:tblCellMar>
        </w:tblPrEx>
        <w:trPr>
          <w:trHeight w:val="390" w:hRule="atLeast"/>
        </w:trPr>
        <w:tc>
          <w:tcPr>
            <w:tcW w:w="16042" w:type="dxa"/>
            <w:gridSpan w:val="13"/>
            <w:tcBorders>
              <w:top w:val="nil"/>
              <w:left w:val="nil"/>
              <w:bottom w:val="nil"/>
              <w:right w:val="nil"/>
            </w:tcBorders>
            <w:shd w:val="clear" w:color="auto" w:fill="auto"/>
            <w:noWrap/>
            <w:vAlign w:val="bottom"/>
          </w:tcPr>
          <w:p>
            <w:pPr>
              <w:widowControl/>
              <w:ind w:firstLine="3960" w:firstLineChars="11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政府性基金预算财政拨款收入支出决算表</w:t>
            </w:r>
          </w:p>
        </w:tc>
      </w:tr>
      <w:tr>
        <w:tblPrEx>
          <w:tblCellMar>
            <w:top w:w="0" w:type="dxa"/>
            <w:left w:w="108" w:type="dxa"/>
            <w:bottom w:w="0" w:type="dxa"/>
            <w:right w:w="108" w:type="dxa"/>
          </w:tblCellMar>
        </w:tblPrEx>
        <w:trPr>
          <w:trHeight w:val="255" w:hRule="atLeast"/>
        </w:trPr>
        <w:tc>
          <w:tcPr>
            <w:tcW w:w="453"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5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1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779"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5896" w:type="dxa"/>
            <w:gridSpan w:val="7"/>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896"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3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1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771"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222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1308" w:type="dxa"/>
            <w:gridSpan w:val="6"/>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588"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53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1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36" w:type="dxa"/>
            <w:gridSpan w:val="3"/>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436" w:type="dxa"/>
            <w:gridSpan w:val="2"/>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栏次</w:t>
            </w:r>
          </w:p>
        </w:tc>
        <w:tc>
          <w:tcPr>
            <w:tcW w:w="153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3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2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kern w:val="0"/>
                <w:sz w:val="22"/>
                <w:szCs w:val="22"/>
              </w:rPr>
            </w:pPr>
          </w:p>
        </w:tc>
        <w:tc>
          <w:tcPr>
            <w:tcW w:w="436" w:type="dxa"/>
            <w:gridSpan w:val="3"/>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pPr>
          </w:p>
        </w:tc>
        <w:tc>
          <w:tcPr>
            <w:tcW w:w="436" w:type="dxa"/>
            <w:gridSpan w:val="2"/>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pP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合计</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121.90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lang w:val="en-US" w:eastAsia="zh-CN"/>
              </w:rPr>
              <w:t>121.90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121.90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城乡社区支出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21208</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2120899</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其他国有土地使用权出让收入安排的支出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116.90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116.90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2296002</w:t>
            </w:r>
          </w:p>
        </w:tc>
        <w:tc>
          <w:tcPr>
            <w:tcW w:w="45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5</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5</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6042" w:type="dxa"/>
            <w:gridSpan w:val="13"/>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pPr>
        <w:autoSpaceDE w:val="0"/>
        <w:autoSpaceDN w:val="0"/>
        <w:adjustRightInd w:val="0"/>
        <w:ind w:left="315" w:leftChars="150"/>
        <w:jc w:val="left"/>
        <w:rPr>
          <w:rFonts w:ascii="宋体" w:cs="Times New Roman"/>
          <w:kern w:val="0"/>
          <w:sz w:val="24"/>
          <w:szCs w:val="24"/>
        </w:rPr>
      </w:pPr>
    </w:p>
    <w:p>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宋体"/>
          <w:sz w:val="72"/>
          <w:szCs w:val="72"/>
        </w:rPr>
      </w:pPr>
    </w:p>
    <w:p>
      <w:pPr>
        <w:pStyle w:val="11"/>
        <w:ind w:firstLine="3960" w:firstLineChars="550"/>
        <w:rPr>
          <w:rFonts w:ascii="宋体" w:hAnsi="宋体" w:eastAsia="宋体" w:cs="宋体"/>
          <w:sz w:val="72"/>
          <w:szCs w:val="72"/>
        </w:rPr>
      </w:pPr>
      <w:r>
        <w:rPr>
          <w:rFonts w:hint="eastAsia" w:ascii="宋体" w:hAnsi="宋体" w:eastAsia="宋体" w:cs="宋体"/>
          <w:sz w:val="72"/>
          <w:szCs w:val="72"/>
        </w:rPr>
        <w:t>第三部分</w:t>
      </w: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lang w:eastAsia="zh-CN"/>
        </w:rPr>
        <w:t>2022年</w:t>
      </w:r>
      <w:r>
        <w:rPr>
          <w:rFonts w:hint="eastAsia" w:ascii="宋体" w:hAnsi="宋体" w:eastAsia="宋体" w:cs="宋体"/>
          <w:sz w:val="72"/>
          <w:szCs w:val="72"/>
        </w:rPr>
        <w:t>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2022年</w:t>
      </w:r>
      <w:r>
        <w:rPr>
          <w:rFonts w:hint="eastAsia" w:ascii="宋体" w:hAnsi="宋体" w:eastAsia="宋体" w:cs="宋体"/>
          <w:sz w:val="32"/>
          <w:szCs w:val="32"/>
        </w:rPr>
        <w:t>度收、支总计</w:t>
      </w:r>
      <w:r>
        <w:rPr>
          <w:rFonts w:hint="eastAsia" w:ascii="宋体" w:hAnsi="宋体" w:eastAsia="宋体" w:cs="宋体"/>
          <w:sz w:val="32"/>
          <w:szCs w:val="32"/>
          <w:lang w:val="en-US" w:eastAsia="zh-CN"/>
        </w:rPr>
        <w:t>5107.54</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710.34</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12.21</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受</w:t>
      </w:r>
      <w:r>
        <w:rPr>
          <w:rFonts w:hint="eastAsia" w:ascii="宋体" w:hAnsi="宋体" w:eastAsia="宋体" w:cs="宋体"/>
          <w:sz w:val="32"/>
          <w:szCs w:val="32"/>
        </w:rPr>
        <w:t>疫情</w:t>
      </w:r>
      <w:r>
        <w:rPr>
          <w:rFonts w:hint="eastAsia" w:ascii="宋体" w:hAnsi="宋体" w:eastAsia="宋体" w:cs="宋体"/>
          <w:sz w:val="32"/>
          <w:szCs w:val="32"/>
          <w:lang w:eastAsia="zh-CN"/>
        </w:rPr>
        <w:t>影响</w:t>
      </w:r>
      <w:r>
        <w:rPr>
          <w:rFonts w:hint="eastAsia" w:ascii="宋体" w:hAnsi="宋体" w:eastAsia="宋体" w:cs="宋体"/>
          <w:sz w:val="32"/>
          <w:szCs w:val="32"/>
        </w:rPr>
        <w:t>，经济</w:t>
      </w:r>
      <w:r>
        <w:rPr>
          <w:rFonts w:hint="eastAsia" w:ascii="宋体" w:hAnsi="宋体" w:eastAsia="宋体" w:cs="宋体"/>
          <w:sz w:val="32"/>
          <w:szCs w:val="32"/>
          <w:lang w:eastAsia="zh-CN"/>
        </w:rPr>
        <w:t>不景气，收入减少</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5107.54</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4068.07</w:t>
      </w:r>
      <w:r>
        <w:rPr>
          <w:rFonts w:hint="eastAsia" w:ascii="宋体" w:hAnsi="宋体" w:eastAsia="宋体" w:cs="宋体"/>
          <w:sz w:val="32"/>
          <w:szCs w:val="32"/>
        </w:rPr>
        <w:t>万元，占</w:t>
      </w:r>
      <w:r>
        <w:rPr>
          <w:rFonts w:hint="eastAsia" w:ascii="宋体" w:hAnsi="宋体" w:eastAsia="宋体" w:cs="宋体"/>
          <w:sz w:val="32"/>
          <w:szCs w:val="32"/>
          <w:lang w:val="en-US" w:eastAsia="zh-CN"/>
        </w:rPr>
        <w:t>79.64</w:t>
      </w:r>
      <w:r>
        <w:rPr>
          <w:rFonts w:ascii="宋体" w:hAnsi="宋体" w:eastAsia="宋体" w:cs="宋体"/>
          <w:sz w:val="32"/>
          <w:szCs w:val="32"/>
        </w:rPr>
        <w:t>%</w:t>
      </w:r>
      <w:r>
        <w:rPr>
          <w:rFonts w:hint="eastAsia" w:ascii="宋体" w:hAnsi="宋体" w:eastAsia="宋体" w:cs="宋体"/>
          <w:sz w:val="32"/>
          <w:szCs w:val="32"/>
        </w:rPr>
        <w:t>；政府性基金预算财政拨款收入</w:t>
      </w:r>
      <w:r>
        <w:rPr>
          <w:rFonts w:hint="eastAsia" w:ascii="宋体" w:hAnsi="宋体" w:eastAsia="宋体" w:cs="宋体"/>
          <w:sz w:val="32"/>
          <w:szCs w:val="32"/>
          <w:lang w:val="en-US" w:eastAsia="zh-CN"/>
        </w:rPr>
        <w:t>121.9万元，占2.39%，</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917.57</w:t>
      </w:r>
      <w:r>
        <w:rPr>
          <w:rFonts w:hint="eastAsia" w:ascii="宋体" w:hAnsi="宋体" w:eastAsia="宋体" w:cs="宋体"/>
          <w:sz w:val="32"/>
          <w:szCs w:val="32"/>
        </w:rPr>
        <w:t>万元，占</w:t>
      </w:r>
      <w:r>
        <w:rPr>
          <w:rFonts w:hint="eastAsia" w:ascii="宋体" w:hAnsi="宋体" w:eastAsia="宋体" w:cs="宋体"/>
          <w:sz w:val="32"/>
          <w:szCs w:val="32"/>
          <w:lang w:val="en-US" w:eastAsia="zh-CN"/>
        </w:rPr>
        <w:t>17.97</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5107.54</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4304.42</w:t>
      </w:r>
      <w:r>
        <w:rPr>
          <w:rFonts w:hint="eastAsia" w:ascii="宋体" w:hAnsi="宋体" w:eastAsia="宋体" w:cs="宋体"/>
          <w:sz w:val="32"/>
          <w:szCs w:val="32"/>
        </w:rPr>
        <w:t>万元，占</w:t>
      </w:r>
      <w:r>
        <w:rPr>
          <w:rFonts w:hint="eastAsia" w:ascii="宋体" w:hAnsi="宋体" w:eastAsia="宋体" w:cs="宋体"/>
          <w:sz w:val="32"/>
          <w:szCs w:val="32"/>
          <w:lang w:val="en-US" w:eastAsia="zh-CN"/>
        </w:rPr>
        <w:t>84.28</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803.12</w:t>
      </w:r>
      <w:r>
        <w:rPr>
          <w:rFonts w:hint="eastAsia" w:ascii="宋体" w:hAnsi="宋体" w:eastAsia="宋体" w:cs="宋体"/>
          <w:sz w:val="32"/>
          <w:szCs w:val="32"/>
        </w:rPr>
        <w:t>万元，占1</w:t>
      </w:r>
      <w:r>
        <w:rPr>
          <w:rFonts w:hint="eastAsia" w:ascii="宋体" w:hAnsi="宋体" w:eastAsia="宋体" w:cs="宋体"/>
          <w:sz w:val="32"/>
          <w:szCs w:val="32"/>
          <w:lang w:val="en-US" w:eastAsia="zh-CN"/>
        </w:rPr>
        <w:t>5.72</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ind w:left="315" w:leftChars="150" w:firstLine="640" w:firstLineChars="200"/>
        <w:rPr>
          <w:rFonts w:ascii="宋体" w:hAnsi="宋体" w:eastAsia="宋体" w:cs="Times New Roman"/>
          <w:sz w:val="32"/>
          <w:szCs w:val="32"/>
        </w:rPr>
      </w:pPr>
      <w:r>
        <w:rPr>
          <w:rFonts w:ascii="宋体" w:hAnsi="宋体" w:eastAsia="宋体" w:cs="宋体"/>
          <w:sz w:val="32"/>
          <w:szCs w:val="32"/>
        </w:rPr>
        <w:t xml:space="preserve"> </w:t>
      </w:r>
      <w:r>
        <w:rPr>
          <w:rFonts w:hint="eastAsia" w:ascii="宋体" w:hAnsi="宋体" w:eastAsia="宋体" w:cs="宋体"/>
          <w:sz w:val="32"/>
          <w:szCs w:val="32"/>
          <w:lang w:eastAsia="zh-CN"/>
        </w:rPr>
        <w:t>2022年</w:t>
      </w:r>
      <w:r>
        <w:rPr>
          <w:rFonts w:hint="eastAsia" w:ascii="宋体" w:hAnsi="宋体" w:eastAsia="宋体" w:cs="宋体"/>
          <w:sz w:val="32"/>
          <w:szCs w:val="32"/>
        </w:rPr>
        <w:t>度财政拨款收、支总计</w:t>
      </w:r>
      <w:r>
        <w:rPr>
          <w:rFonts w:hint="eastAsia" w:ascii="宋体" w:hAnsi="宋体" w:eastAsia="宋体" w:cs="宋体"/>
          <w:sz w:val="32"/>
          <w:szCs w:val="32"/>
          <w:lang w:val="en-US" w:eastAsia="zh-CN"/>
        </w:rPr>
        <w:t>4189.79</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增加了</w:t>
      </w:r>
      <w:r>
        <w:rPr>
          <w:rFonts w:hint="eastAsia" w:ascii="宋体" w:hAnsi="宋体" w:eastAsia="宋体" w:cs="宋体"/>
          <w:sz w:val="32"/>
          <w:szCs w:val="32"/>
          <w:lang w:val="en-US" w:eastAsia="zh-CN"/>
        </w:rPr>
        <w:t>791.58</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23.29</w:t>
      </w:r>
      <w:r>
        <w:rPr>
          <w:rFonts w:hint="eastAsia" w:ascii="宋体" w:hAnsi="宋体" w:eastAsia="宋体" w:cs="宋体"/>
          <w:sz w:val="32"/>
          <w:szCs w:val="32"/>
        </w:rPr>
        <w:t>%，主要是</w:t>
      </w:r>
      <w:r>
        <w:rPr>
          <w:rFonts w:hint="eastAsia" w:ascii="宋体" w:hAnsi="宋体" w:eastAsia="宋体" w:cs="宋体"/>
          <w:sz w:val="32"/>
          <w:szCs w:val="32"/>
          <w:lang w:eastAsia="zh-CN"/>
        </w:rPr>
        <w:t>增加了全年工资指标收入</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rPr>
          <w:rFonts w:ascii="宋体" w:hAnsi="宋体" w:eastAsia="宋体" w:cs="宋体"/>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pPr>
        <w:pStyle w:val="11"/>
        <w:ind w:left="315" w:leftChars="150"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2022年</w:t>
      </w:r>
      <w:r>
        <w:rPr>
          <w:rFonts w:hint="eastAsia" w:ascii="宋体" w:hAnsi="宋体" w:eastAsia="宋体" w:cs="宋体"/>
          <w:sz w:val="32"/>
          <w:szCs w:val="32"/>
          <w:highlight w:val="none"/>
        </w:rPr>
        <w:t>度一般公共预算财政拨款支出</w:t>
      </w:r>
      <w:r>
        <w:rPr>
          <w:rFonts w:hint="eastAsia" w:ascii="宋体" w:hAnsi="宋体" w:eastAsia="宋体" w:cs="宋体"/>
          <w:sz w:val="32"/>
          <w:szCs w:val="32"/>
          <w:lang w:val="en-US" w:eastAsia="zh-CN"/>
        </w:rPr>
        <w:t>4189.79</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82.03</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791.58</w:t>
      </w:r>
      <w:r>
        <w:rPr>
          <w:rFonts w:hint="eastAsia" w:ascii="宋体" w:hAnsi="宋体" w:eastAsia="宋体" w:cs="宋体"/>
          <w:sz w:val="32"/>
          <w:szCs w:val="32"/>
          <w:highlight w:val="none"/>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23.29</w:t>
      </w:r>
      <w:r>
        <w:rPr>
          <w:rFonts w:hint="eastAsia" w:ascii="宋体" w:hAnsi="宋体" w:eastAsia="宋体" w:cs="宋体"/>
          <w:sz w:val="32"/>
          <w:szCs w:val="32"/>
        </w:rPr>
        <w:t>%</w:t>
      </w:r>
      <w:r>
        <w:rPr>
          <w:rFonts w:hint="eastAsia" w:ascii="宋体" w:hAnsi="宋体" w:eastAsia="宋体" w:cs="宋体"/>
          <w:sz w:val="32"/>
          <w:szCs w:val="32"/>
          <w:highlight w:val="none"/>
        </w:rPr>
        <w:t>，主要是</w:t>
      </w:r>
      <w:r>
        <w:rPr>
          <w:rFonts w:hint="eastAsia" w:ascii="宋体" w:hAnsi="宋体" w:eastAsia="宋体" w:cs="宋体"/>
          <w:sz w:val="32"/>
          <w:szCs w:val="32"/>
          <w:highlight w:val="none"/>
          <w:lang w:val="en-US" w:eastAsia="zh-CN"/>
        </w:rPr>
        <w:t>2022年度干部工资已在乡镇发放，与去年相比增加了工资指标</w:t>
      </w:r>
      <w:r>
        <w:rPr>
          <w:rFonts w:hint="eastAsia" w:ascii="宋体" w:hAnsi="宋体" w:eastAsia="宋体" w:cs="宋体"/>
          <w:sz w:val="32"/>
          <w:szCs w:val="32"/>
          <w:highlight w:val="none"/>
        </w:rPr>
        <w:t>。</w:t>
      </w:r>
    </w:p>
    <w:p>
      <w:pPr>
        <w:pStyle w:val="11"/>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pPr>
        <w:pStyle w:val="12"/>
        <w:spacing w:line="560" w:lineRule="exact"/>
        <w:ind w:left="714" w:leftChars="340" w:firstLine="640"/>
        <w:rPr>
          <w:rFonts w:hint="eastAsia" w:ascii="宋体" w:hAnsi="宋体" w:eastAsia="宋体" w:cs="宋体"/>
          <w:color w:val="000000"/>
          <w:kern w:val="0"/>
          <w:sz w:val="32"/>
          <w:szCs w:val="32"/>
          <w:highlight w:val="none"/>
          <w:lang w:val="en-US" w:eastAsia="zh-CN"/>
        </w:rPr>
      </w:pPr>
      <w:r>
        <w:rPr>
          <w:rFonts w:hint="eastAsia" w:ascii="宋体" w:hAnsi="宋体" w:cs="宋体"/>
          <w:sz w:val="32"/>
          <w:szCs w:val="32"/>
          <w:highlight w:val="none"/>
          <w:lang w:eastAsia="zh-CN"/>
        </w:rPr>
        <w:t>2022年</w:t>
      </w:r>
      <w:r>
        <w:rPr>
          <w:rFonts w:hint="eastAsia" w:ascii="宋体" w:hAnsi="宋体" w:cs="宋体"/>
          <w:color w:val="000000"/>
          <w:kern w:val="0"/>
          <w:sz w:val="32"/>
          <w:szCs w:val="32"/>
          <w:highlight w:val="none"/>
        </w:rPr>
        <w:t>度一般公共预算财政拨款支出</w:t>
      </w:r>
      <w:r>
        <w:rPr>
          <w:rFonts w:hint="eastAsia" w:ascii="宋体" w:hAnsi="宋体" w:cs="宋体"/>
          <w:color w:val="000000"/>
          <w:kern w:val="0"/>
          <w:sz w:val="32"/>
          <w:szCs w:val="32"/>
          <w:highlight w:val="none"/>
          <w:lang w:val="en-US" w:eastAsia="zh-CN"/>
        </w:rPr>
        <w:t>4068.07</w:t>
      </w:r>
      <w:r>
        <w:rPr>
          <w:rFonts w:hint="eastAsia" w:ascii="宋体" w:hAnsi="宋体" w:cs="宋体"/>
          <w:color w:val="000000"/>
          <w:kern w:val="0"/>
          <w:sz w:val="32"/>
          <w:szCs w:val="32"/>
          <w:highlight w:val="none"/>
        </w:rPr>
        <w:t>万元，主要用于以下方面：一般公共服务支出2392.31万元，占5</w:t>
      </w:r>
      <w:r>
        <w:rPr>
          <w:rFonts w:hint="eastAsia" w:ascii="宋体" w:hAnsi="宋体" w:cs="宋体"/>
          <w:color w:val="000000"/>
          <w:kern w:val="0"/>
          <w:sz w:val="32"/>
          <w:szCs w:val="32"/>
          <w:highlight w:val="none"/>
          <w:lang w:val="en-US" w:eastAsia="zh-CN"/>
        </w:rPr>
        <w:t>8.81</w:t>
      </w:r>
      <w:r>
        <w:rPr>
          <w:rFonts w:ascii="宋体" w:hAnsi="宋体" w:cs="宋体"/>
          <w:color w:val="000000"/>
          <w:kern w:val="0"/>
          <w:sz w:val="32"/>
          <w:szCs w:val="32"/>
          <w:highlight w:val="none"/>
        </w:rPr>
        <w:t>%</w:t>
      </w:r>
      <w:r>
        <w:rPr>
          <w:rFonts w:hint="eastAsia" w:ascii="宋体" w:hAnsi="宋体" w:cs="宋体"/>
          <w:color w:val="000000"/>
          <w:kern w:val="0"/>
          <w:sz w:val="32"/>
          <w:szCs w:val="32"/>
          <w:highlight w:val="none"/>
        </w:rPr>
        <w:t>；公共安全支出16.31</w:t>
      </w:r>
      <w:r>
        <w:rPr>
          <w:rFonts w:hint="eastAsia" w:ascii="宋体" w:hAnsi="宋体" w:cs="宋体"/>
          <w:color w:val="000000"/>
          <w:kern w:val="0"/>
          <w:sz w:val="32"/>
          <w:szCs w:val="32"/>
          <w:highlight w:val="none"/>
          <w:lang w:eastAsia="zh-CN"/>
        </w:rPr>
        <w:t>万元，</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0.4</w:t>
      </w:r>
      <w:r>
        <w:rPr>
          <w:rFonts w:hint="eastAsia" w:ascii="宋体" w:hAnsi="宋体" w:cs="宋体"/>
          <w:color w:val="000000"/>
          <w:kern w:val="0"/>
          <w:sz w:val="32"/>
          <w:szCs w:val="32"/>
          <w:highlight w:val="none"/>
        </w:rPr>
        <w:t>%文化体育与传媒支出</w:t>
      </w:r>
      <w:r>
        <w:rPr>
          <w:rFonts w:hint="eastAsia" w:ascii="宋体" w:hAnsi="宋体" w:cs="宋体"/>
          <w:color w:val="000000"/>
          <w:kern w:val="0"/>
          <w:sz w:val="32"/>
          <w:szCs w:val="32"/>
          <w:highlight w:val="none"/>
          <w:lang w:val="en-US" w:eastAsia="zh-CN"/>
        </w:rPr>
        <w:t>21</w:t>
      </w:r>
      <w:r>
        <w:rPr>
          <w:rFonts w:hint="eastAsia" w:ascii="宋体" w:hAnsi="宋体" w:cs="宋体"/>
          <w:color w:val="000000"/>
          <w:kern w:val="0"/>
          <w:sz w:val="32"/>
          <w:szCs w:val="32"/>
          <w:highlight w:val="none"/>
        </w:rPr>
        <w:t>万元，占</w:t>
      </w:r>
      <w:r>
        <w:rPr>
          <w:rFonts w:hint="eastAsia" w:ascii="宋体" w:hAnsi="宋体" w:cs="宋体"/>
          <w:color w:val="000000"/>
          <w:kern w:val="0"/>
          <w:sz w:val="32"/>
          <w:szCs w:val="32"/>
          <w:highlight w:val="none"/>
          <w:lang w:val="en-US" w:eastAsia="zh-CN"/>
        </w:rPr>
        <w:t>0.52</w:t>
      </w:r>
      <w:r>
        <w:rPr>
          <w:rFonts w:hint="eastAsia" w:ascii="宋体" w:hAnsi="宋体" w:cs="宋体"/>
          <w:color w:val="000000"/>
          <w:kern w:val="0"/>
          <w:sz w:val="32"/>
          <w:szCs w:val="32"/>
          <w:highlight w:val="none"/>
        </w:rPr>
        <w:t>%；社会保障和就业支出218.96万元，占</w:t>
      </w:r>
      <w:r>
        <w:rPr>
          <w:rFonts w:hint="eastAsia" w:ascii="宋体" w:hAnsi="宋体" w:cs="宋体"/>
          <w:color w:val="000000"/>
          <w:kern w:val="0"/>
          <w:sz w:val="32"/>
          <w:szCs w:val="32"/>
          <w:highlight w:val="none"/>
          <w:lang w:val="en-US" w:eastAsia="zh-CN"/>
        </w:rPr>
        <w:t>5.38</w:t>
      </w:r>
      <w:r>
        <w:rPr>
          <w:rFonts w:hint="eastAsia" w:ascii="宋体" w:hAnsi="宋体" w:cs="宋体"/>
          <w:color w:val="000000"/>
          <w:kern w:val="0"/>
          <w:sz w:val="32"/>
          <w:szCs w:val="32"/>
          <w:highlight w:val="none"/>
        </w:rPr>
        <w:t>%；卫生健康支出211.7万元，占</w:t>
      </w:r>
      <w:r>
        <w:rPr>
          <w:rFonts w:hint="eastAsia" w:ascii="宋体" w:hAnsi="宋体" w:cs="宋体"/>
          <w:color w:val="000000"/>
          <w:kern w:val="0"/>
          <w:sz w:val="32"/>
          <w:szCs w:val="32"/>
          <w:highlight w:val="none"/>
          <w:lang w:val="en-US" w:eastAsia="zh-CN"/>
        </w:rPr>
        <w:t>5.2</w:t>
      </w:r>
      <w:r>
        <w:rPr>
          <w:rFonts w:hint="eastAsia" w:ascii="宋体" w:hAnsi="宋体" w:cs="宋体"/>
          <w:color w:val="000000"/>
          <w:kern w:val="0"/>
          <w:sz w:val="32"/>
          <w:szCs w:val="32"/>
          <w:highlight w:val="none"/>
        </w:rPr>
        <w:t>%；节能环保支出</w:t>
      </w:r>
      <w:r>
        <w:rPr>
          <w:rFonts w:hint="eastAsia" w:ascii="宋体" w:hAnsi="宋体" w:cs="宋体"/>
          <w:color w:val="000000"/>
          <w:kern w:val="0"/>
          <w:sz w:val="32"/>
          <w:szCs w:val="32"/>
          <w:highlight w:val="none"/>
          <w:lang w:val="en-US" w:eastAsia="zh-CN"/>
        </w:rPr>
        <w:t>5万元，</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0.12</w:t>
      </w:r>
      <w:r>
        <w:rPr>
          <w:rFonts w:hint="eastAsia" w:ascii="宋体" w:hAnsi="宋体" w:cs="宋体"/>
          <w:color w:val="000000"/>
          <w:kern w:val="0"/>
          <w:sz w:val="32"/>
          <w:szCs w:val="32"/>
          <w:highlight w:val="none"/>
        </w:rPr>
        <w:t>%；农林水支出1069.48万元，占</w:t>
      </w:r>
      <w:r>
        <w:rPr>
          <w:rFonts w:hint="eastAsia" w:ascii="宋体" w:hAnsi="宋体" w:cs="宋体"/>
          <w:color w:val="000000"/>
          <w:kern w:val="0"/>
          <w:sz w:val="32"/>
          <w:szCs w:val="32"/>
          <w:highlight w:val="none"/>
          <w:lang w:val="en-US" w:eastAsia="zh-CN"/>
        </w:rPr>
        <w:t>26.29</w:t>
      </w:r>
      <w:r>
        <w:rPr>
          <w:rFonts w:hint="eastAsia" w:ascii="宋体" w:hAnsi="宋体" w:cs="宋体"/>
          <w:color w:val="000000"/>
          <w:kern w:val="0"/>
          <w:sz w:val="32"/>
          <w:szCs w:val="32"/>
          <w:highlight w:val="none"/>
        </w:rPr>
        <w:t>%；住房保障支出115.49万元，占</w:t>
      </w:r>
      <w:r>
        <w:rPr>
          <w:rFonts w:hint="eastAsia" w:ascii="宋体" w:hAnsi="宋体" w:cs="宋体"/>
          <w:color w:val="000000"/>
          <w:kern w:val="0"/>
          <w:sz w:val="32"/>
          <w:szCs w:val="32"/>
          <w:highlight w:val="none"/>
          <w:lang w:val="en-US" w:eastAsia="zh-CN"/>
        </w:rPr>
        <w:t>2.84</w:t>
      </w:r>
      <w:r>
        <w:rPr>
          <w:rFonts w:hint="eastAsia" w:ascii="宋体" w:hAnsi="宋体" w:cs="宋体"/>
          <w:color w:val="000000"/>
          <w:kern w:val="0"/>
          <w:sz w:val="32"/>
          <w:szCs w:val="32"/>
          <w:highlight w:val="none"/>
        </w:rPr>
        <w:t>%</w:t>
      </w:r>
      <w:r>
        <w:rPr>
          <w:rFonts w:hint="eastAsia" w:ascii="宋体" w:hAnsi="宋体" w:cs="宋体"/>
          <w:color w:val="000000"/>
          <w:kern w:val="0"/>
          <w:sz w:val="32"/>
          <w:szCs w:val="32"/>
          <w:highlight w:val="none"/>
          <w:lang w:eastAsia="zh-CN"/>
        </w:rPr>
        <w:t>；</w:t>
      </w:r>
      <w:r>
        <w:rPr>
          <w:rFonts w:hint="eastAsia" w:ascii="宋体" w:hAnsi="宋体" w:cs="宋体"/>
          <w:color w:val="000000"/>
          <w:kern w:val="0"/>
          <w:sz w:val="32"/>
          <w:szCs w:val="32"/>
          <w:highlight w:val="none"/>
        </w:rPr>
        <w:t>灾害防治及应急管理支出17.83</w:t>
      </w:r>
      <w:r>
        <w:rPr>
          <w:rFonts w:hint="eastAsia" w:ascii="宋体" w:hAnsi="宋体" w:cs="宋体"/>
          <w:color w:val="000000"/>
          <w:kern w:val="0"/>
          <w:sz w:val="32"/>
          <w:szCs w:val="32"/>
          <w:highlight w:val="none"/>
          <w:lang w:eastAsia="zh-CN"/>
        </w:rPr>
        <w:t>，</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0.44</w:t>
      </w:r>
      <w:r>
        <w:rPr>
          <w:rFonts w:hint="eastAsia" w:ascii="宋体" w:hAnsi="宋体" w:cs="宋体"/>
          <w:color w:val="000000"/>
          <w:kern w:val="0"/>
          <w:sz w:val="32"/>
          <w:szCs w:val="32"/>
          <w:highlight w:val="none"/>
        </w:rPr>
        <w:t>%</w:t>
      </w:r>
      <w:r>
        <w:rPr>
          <w:rFonts w:hint="eastAsia" w:ascii="宋体" w:hAnsi="宋体" w:cs="宋体"/>
          <w:color w:val="000000"/>
          <w:kern w:val="0"/>
          <w:sz w:val="32"/>
          <w:szCs w:val="32"/>
          <w:highlight w:val="none"/>
          <w:lang w:eastAsia="zh-CN"/>
        </w:rPr>
        <w:t>。</w:t>
      </w:r>
    </w:p>
    <w:p>
      <w:pPr>
        <w:spacing w:line="560" w:lineRule="exact"/>
        <w:ind w:firstLine="800" w:firstLineChars="250"/>
        <w:rPr>
          <w:rFonts w:ascii="宋体" w:hAnsi="宋体" w:cs="宋体"/>
          <w:color w:val="000000"/>
          <w:kern w:val="0"/>
          <w:sz w:val="32"/>
          <w:szCs w:val="32"/>
          <w:highlight w:val="none"/>
        </w:rPr>
      </w:pPr>
      <w:r>
        <w:rPr>
          <w:rFonts w:hint="eastAsia" w:ascii="宋体" w:hAnsi="宋体" w:cs="宋体"/>
          <w:color w:val="000000"/>
          <w:kern w:val="0"/>
          <w:sz w:val="32"/>
          <w:szCs w:val="32"/>
          <w:highlight w:val="none"/>
        </w:rPr>
        <w:t xml:space="preserve">    </w:t>
      </w:r>
    </w:p>
    <w:p>
      <w:pPr>
        <w:pStyle w:val="11"/>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pPr>
        <w:pStyle w:val="11"/>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lang w:eastAsia="zh-CN"/>
        </w:rPr>
        <w:t>2022年</w:t>
      </w:r>
      <w:r>
        <w:rPr>
          <w:rFonts w:hint="eastAsia" w:ascii="宋体" w:hAnsi="宋体" w:eastAsia="宋体" w:cs="宋体"/>
          <w:sz w:val="32"/>
          <w:szCs w:val="32"/>
          <w:highlight w:val="none"/>
        </w:rPr>
        <w:t>度一般公共预算财政拨款支出年初预算数为</w:t>
      </w:r>
      <w:r>
        <w:rPr>
          <w:rFonts w:hint="eastAsia" w:ascii="宋体" w:hAnsi="宋体" w:eastAsia="宋体" w:cs="宋体"/>
          <w:sz w:val="32"/>
          <w:szCs w:val="32"/>
          <w:highlight w:val="none"/>
          <w:lang w:val="en-US" w:eastAsia="zh-CN"/>
        </w:rPr>
        <w:t>4068.07</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4068.07</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pPr>
        <w:pStyle w:val="11"/>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、一般公共服务（类）人大事务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机关服务（项）</w:t>
      </w:r>
    </w:p>
    <w:p>
      <w:pPr>
        <w:pStyle w:val="11"/>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年初预算为1257.44万元，支出决算为1257.44万元，完成年初预算的100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2、一般公共服务（类）政府办公厅（室）及相关机构事务（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w:t>
      </w:r>
    </w:p>
    <w:p>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 xml:space="preserve">  行政运行</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年初预算为413.31万元，支出决算为413.31万元，完成年初预算的100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 xml:space="preserve">  一般行政管理事务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528.6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528.6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 xml:space="preserve">  信访事务（项）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27.58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27.58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 xml:space="preserve">  其他政府办公厅（室）及相关机构事务支出（项）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147.44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147.44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 xml:space="preserve">3、一般公共服务（类）财政事务（款） </w:t>
      </w:r>
      <w:r>
        <w:rPr>
          <w:rFonts w:hint="eastAsia" w:ascii="宋体" w:hAnsi="宋体" w:eastAsia="宋体" w:cs="宋体"/>
          <w:sz w:val="32"/>
          <w:szCs w:val="32"/>
          <w:highlight w:val="none"/>
          <w:lang w:eastAsia="zh-CN"/>
        </w:rPr>
        <w:t>其他财政事务支出</w:t>
      </w:r>
      <w:r>
        <w:rPr>
          <w:rFonts w:hint="eastAsia" w:ascii="宋体" w:hAnsi="宋体" w:eastAsia="宋体" w:cs="宋体"/>
          <w:sz w:val="32"/>
          <w:szCs w:val="32"/>
          <w:highlight w:val="none"/>
        </w:rPr>
        <w:t>（项）</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一般公共服务（类）宣传事务（款）其他宣传事务支出（项）</w:t>
      </w:r>
    </w:p>
    <w:p>
      <w:pPr>
        <w:pStyle w:val="11"/>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9.94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9.94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公共安全支出（类）公安（款）信息化建设（项）</w:t>
      </w:r>
    </w:p>
    <w:p>
      <w:pPr>
        <w:pStyle w:val="11"/>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16.31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16.31</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numPr>
          <w:ilvl w:val="0"/>
          <w:numId w:val="2"/>
        </w:numPr>
        <w:ind w:firstLine="800" w:firstLineChars="25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rPr>
        <w:t>（类）文化</w:t>
      </w:r>
      <w:r>
        <w:rPr>
          <w:rFonts w:hint="eastAsia" w:ascii="宋体" w:hAnsi="宋体" w:eastAsia="宋体" w:cs="宋体"/>
          <w:sz w:val="32"/>
          <w:szCs w:val="32"/>
          <w:highlight w:val="none"/>
          <w:lang w:eastAsia="zh-CN"/>
        </w:rPr>
        <w:t>和</w:t>
      </w:r>
      <w:r>
        <w:rPr>
          <w:rFonts w:hint="eastAsia" w:ascii="宋体" w:hAnsi="宋体" w:eastAsia="宋体" w:cs="宋体"/>
          <w:sz w:val="32"/>
          <w:szCs w:val="32"/>
          <w:highlight w:val="none"/>
        </w:rPr>
        <w:t>旅游（款）一般行政管理事务（项）</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万元，完成年初预算的100%</w:t>
      </w:r>
      <w:r>
        <w:rPr>
          <w:rFonts w:hint="eastAsia" w:ascii="宋体" w:hAnsi="宋体" w:eastAsia="宋体" w:cs="宋体"/>
          <w:sz w:val="32"/>
          <w:szCs w:val="32"/>
          <w:highlight w:val="none"/>
        </w:rPr>
        <w:t>。</w:t>
      </w:r>
    </w:p>
    <w:p>
      <w:pPr>
        <w:pStyle w:val="11"/>
        <w:numPr>
          <w:ilvl w:val="0"/>
          <w:numId w:val="2"/>
        </w:numPr>
        <w:ind w:firstLine="800" w:firstLineChars="250"/>
        <w:rPr>
          <w:rFonts w:ascii="宋体" w:hAnsi="宋体" w:eastAsia="宋体" w:cs="Times New Roman"/>
          <w:sz w:val="32"/>
          <w:szCs w:val="32"/>
          <w:highlight w:val="none"/>
        </w:rPr>
      </w:pP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eastAsia="zh-CN"/>
        </w:rPr>
        <w:t>其他文化旅游</w:t>
      </w:r>
      <w:r>
        <w:rPr>
          <w:rFonts w:hint="eastAsia" w:ascii="宋体" w:hAnsi="宋体" w:eastAsia="宋体" w:cs="宋体"/>
          <w:sz w:val="32"/>
          <w:szCs w:val="32"/>
          <w:highlight w:val="none"/>
        </w:rPr>
        <w:t>体育与传媒支出（款）其他文化旅游体育与传媒支出（项）</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万元，完成年初预算的100%</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、社会保障和就业（类）人力资源和社会保障管理事务（款）一般行政管理事务（项）</w:t>
      </w:r>
    </w:p>
    <w:p>
      <w:pPr>
        <w:pStyle w:val="11"/>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、社会保障和就业（类） 行政事业单位养老支出（款）  机关事业单位基本养老保险缴费支出（项）</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155.14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155.14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、社会保障和就业（类）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rPr>
        <w:t>抚恤</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 xml:space="preserve">款）  </w:t>
      </w:r>
      <w:r>
        <w:rPr>
          <w:rFonts w:hint="eastAsia" w:ascii="宋体" w:hAnsi="宋体" w:eastAsia="宋体" w:cs="宋体"/>
          <w:sz w:val="32"/>
          <w:szCs w:val="32"/>
          <w:highlight w:val="none"/>
          <w:lang w:eastAsia="zh-CN"/>
        </w:rPr>
        <w:t>死亡</w:t>
      </w:r>
      <w:r>
        <w:rPr>
          <w:rFonts w:hint="eastAsia" w:ascii="宋体" w:hAnsi="宋体" w:eastAsia="宋体" w:cs="宋体"/>
          <w:sz w:val="32"/>
          <w:szCs w:val="32"/>
          <w:highlight w:val="none"/>
        </w:rPr>
        <w:t>抚恤（项）</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54.42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54.42</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11、</w:t>
      </w:r>
      <w:r>
        <w:rPr>
          <w:rFonts w:hint="eastAsia" w:ascii="宋体" w:hAnsi="宋体" w:eastAsia="宋体" w:cs="宋体"/>
          <w:sz w:val="32"/>
          <w:szCs w:val="32"/>
          <w:highlight w:val="none"/>
        </w:rPr>
        <w:t>社会保障和就业（类）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rPr>
        <w:t>其他社会保障和就业支出</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 xml:space="preserve">款） </w:t>
      </w:r>
      <w:r>
        <w:rPr>
          <w:rFonts w:hint="eastAsia" w:ascii="宋体" w:hAnsi="宋体" w:eastAsia="宋体" w:cs="宋体"/>
          <w:sz w:val="32"/>
          <w:szCs w:val="32"/>
          <w:highlight w:val="none"/>
          <w:lang w:eastAsia="zh-CN"/>
        </w:rPr>
        <w:t>其他社会保障和就业支出</w:t>
      </w:r>
      <w:r>
        <w:rPr>
          <w:rFonts w:hint="eastAsia" w:ascii="宋体" w:hAnsi="宋体" w:eastAsia="宋体" w:cs="宋体"/>
          <w:sz w:val="32"/>
          <w:szCs w:val="32"/>
          <w:highlight w:val="none"/>
        </w:rPr>
        <w:t>（项）</w:t>
      </w:r>
    </w:p>
    <w:p>
      <w:pPr>
        <w:pStyle w:val="11"/>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3.66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3.66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12</w:t>
      </w:r>
      <w:r>
        <w:rPr>
          <w:rFonts w:hint="eastAsia" w:ascii="宋体" w:hAnsi="宋体" w:eastAsia="宋体" w:cs="宋体"/>
          <w:color w:val="auto"/>
          <w:sz w:val="32"/>
          <w:szCs w:val="32"/>
          <w:highlight w:val="none"/>
        </w:rPr>
        <w:t>、卫生健康（类） 公共卫生（款）</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重大公共卫生服务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45.38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45.38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其他公共卫生</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13、</w:t>
      </w:r>
      <w:r>
        <w:rPr>
          <w:rFonts w:hint="eastAsia" w:ascii="宋体" w:hAnsi="宋体" w:eastAsia="宋体" w:cs="宋体"/>
          <w:color w:val="auto"/>
          <w:sz w:val="32"/>
          <w:szCs w:val="32"/>
          <w:highlight w:val="none"/>
        </w:rPr>
        <w:t>卫生健康（类） 计划生育事务（款）</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计划生育服务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26.47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26.47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其他计划生育事务支出</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24.17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24.17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14、卫生健康（类） 行政事业单位医疗（款）行政单位医疗（项）</w:t>
      </w:r>
    </w:p>
    <w:p>
      <w:pPr>
        <w:pStyle w:val="11"/>
        <w:numPr>
          <w:numId w:val="0"/>
        </w:numPr>
        <w:ind w:firstLine="960" w:firstLineChars="30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110.68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110.68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numPr>
          <w:ilvl w:val="0"/>
          <w:numId w:val="0"/>
        </w:numPr>
        <w:ind w:firstLine="960" w:firstLineChars="300"/>
        <w:rPr>
          <w:rFonts w:hint="eastAsia" w:ascii="宋体" w:hAnsi="宋体" w:eastAsia="宋体" w:cs="宋体"/>
          <w:sz w:val="32"/>
          <w:szCs w:val="32"/>
          <w:highlight w:val="none"/>
          <w:lang w:eastAsia="zh-CN"/>
        </w:rPr>
      </w:pPr>
      <w:r>
        <w:rPr>
          <w:rFonts w:hint="eastAsia" w:ascii="宋体" w:hAnsi="宋体" w:eastAsia="宋体" w:cs="宋体"/>
          <w:color w:val="auto"/>
          <w:sz w:val="32"/>
          <w:szCs w:val="32"/>
          <w:highlight w:val="none"/>
          <w:lang w:val="en-US" w:eastAsia="zh-CN"/>
        </w:rPr>
        <w:t>15、</w:t>
      </w:r>
      <w:r>
        <w:rPr>
          <w:rFonts w:hint="eastAsia" w:ascii="宋体" w:hAnsi="宋体" w:eastAsia="宋体" w:cs="宋体"/>
          <w:color w:val="auto"/>
          <w:sz w:val="32"/>
          <w:szCs w:val="32"/>
          <w:highlight w:val="none"/>
        </w:rPr>
        <w:t>节能环保支出（类）自然生态保护（款）</w:t>
      </w:r>
      <w:r>
        <w:rPr>
          <w:rFonts w:hint="eastAsia" w:ascii="宋体" w:hAnsi="宋体" w:eastAsia="宋体" w:cs="宋体"/>
          <w:sz w:val="32"/>
          <w:szCs w:val="32"/>
          <w:highlight w:val="none"/>
        </w:rPr>
        <w:t>农村环境保护</w:t>
      </w:r>
      <w:r>
        <w:rPr>
          <w:rFonts w:hint="eastAsia" w:ascii="宋体" w:hAnsi="宋体" w:eastAsia="宋体" w:cs="宋体"/>
          <w:sz w:val="32"/>
          <w:szCs w:val="32"/>
          <w:highlight w:val="none"/>
          <w:lang w:eastAsia="zh-CN"/>
        </w:rPr>
        <w:t>（项）</w:t>
      </w:r>
    </w:p>
    <w:p>
      <w:pPr>
        <w:pStyle w:val="11"/>
        <w:numPr>
          <w:ilvl w:val="0"/>
          <w:numId w:val="0"/>
        </w:numPr>
        <w:ind w:firstLine="960" w:firstLineChars="30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pPr>
        <w:pStyle w:val="11"/>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、农林水支出（类）农业农村（款）</w:t>
      </w: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sz w:val="32"/>
          <w:szCs w:val="32"/>
          <w:highlight w:val="none"/>
        </w:rPr>
        <w:t>农村社会事业（项）年初预算为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万元，完成年初预算的100%。</w:t>
      </w:r>
    </w:p>
    <w:p>
      <w:pPr>
        <w:pStyle w:val="11"/>
        <w:numPr>
          <w:ilvl w:val="0"/>
          <w:numId w:val="0"/>
        </w:numPr>
        <w:ind w:firstLine="960" w:firstLineChars="30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sz w:val="32"/>
          <w:szCs w:val="32"/>
          <w:highlight w:val="none"/>
        </w:rPr>
        <w:t>农村道路建设（项）年初预算为197.58万元，支出决算为197.58万元，完成年初预算的100%。</w:t>
      </w:r>
    </w:p>
    <w:p>
      <w:pPr>
        <w:pStyle w:val="11"/>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17、农林水支出（类）水利（款）一般行政管理事务（项）</w:t>
      </w:r>
    </w:p>
    <w:p>
      <w:pPr>
        <w:pStyle w:val="11"/>
        <w:numPr>
          <w:ilvl w:val="0"/>
          <w:numId w:val="0"/>
        </w:numPr>
        <w:ind w:firstLine="960" w:firstLineChars="300"/>
        <w:rPr>
          <w:rFonts w:ascii="宋体" w:hAnsi="宋体" w:eastAsia="宋体" w:cs="宋体"/>
          <w:color w:val="auto"/>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w:t>
      </w:r>
      <w:r>
        <w:rPr>
          <w:rFonts w:hint="eastAsia" w:ascii="宋体" w:hAnsi="宋体" w:eastAsia="宋体" w:cs="宋体"/>
          <w:color w:val="auto"/>
          <w:sz w:val="32"/>
          <w:szCs w:val="32"/>
          <w:highlight w:val="none"/>
        </w:rPr>
        <w:t>元，支出决算为</w:t>
      </w: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万元，完成年初预算的100%。</w:t>
      </w:r>
    </w:p>
    <w:p>
      <w:pPr>
        <w:pStyle w:val="11"/>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 xml:space="preserve"> 18、农林水支出（类）农村综合改革（款）    </w:t>
      </w:r>
    </w:p>
    <w:p>
      <w:pPr>
        <w:pStyle w:val="11"/>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对村级</w:t>
      </w:r>
      <w:r>
        <w:rPr>
          <w:rFonts w:hint="eastAsia" w:ascii="宋体" w:hAnsi="宋体" w:eastAsia="宋体" w:cs="宋体"/>
          <w:color w:val="auto"/>
          <w:sz w:val="32"/>
          <w:szCs w:val="32"/>
          <w:highlight w:val="none"/>
        </w:rPr>
        <w:t>公益事业建设的补助</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12.95</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12.95</w:t>
      </w:r>
      <w:r>
        <w:rPr>
          <w:rFonts w:hint="eastAsia" w:ascii="宋体" w:hAnsi="宋体" w:eastAsia="宋体" w:cs="宋体"/>
          <w:color w:val="auto"/>
          <w:sz w:val="32"/>
          <w:szCs w:val="32"/>
          <w:highlight w:val="none"/>
        </w:rPr>
        <w:t>万元，完成年初预算的100%。</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对村民委员会和村党支部的补助（项）年初预算为827.95万元，支出决算为827.95万元，完成年初预算的100%。</w:t>
      </w:r>
    </w:p>
    <w:p>
      <w:pPr>
        <w:pStyle w:val="11"/>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19、农林水支出（类）其他农林水支出（款）</w:t>
      </w:r>
    </w:p>
    <w:p>
      <w:pPr>
        <w:pStyle w:val="11"/>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 xml:space="preserve"> 其他农</w:t>
      </w:r>
      <w:r>
        <w:rPr>
          <w:rFonts w:hint="eastAsia" w:ascii="宋体" w:hAnsi="宋体" w:eastAsia="宋体" w:cs="宋体"/>
          <w:color w:val="auto"/>
          <w:sz w:val="32"/>
          <w:szCs w:val="32"/>
          <w:highlight w:val="none"/>
        </w:rPr>
        <w:t>林水支出</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万元，完成年初预算的100%。</w:t>
      </w:r>
    </w:p>
    <w:p>
      <w:pPr>
        <w:pStyle w:val="11"/>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20、住房保障支出（类）住房改革支出（款）住房公积</w:t>
      </w:r>
      <w:r>
        <w:rPr>
          <w:rFonts w:hint="eastAsia" w:ascii="宋体" w:hAnsi="宋体" w:eastAsia="宋体" w:cs="宋体"/>
          <w:color w:val="auto"/>
          <w:sz w:val="32"/>
          <w:szCs w:val="32"/>
          <w:highlight w:val="none"/>
          <w:lang w:val="en-US" w:eastAsia="zh-CN"/>
        </w:rPr>
        <w:t>金（项）</w:t>
      </w:r>
    </w:p>
    <w:p>
      <w:pPr>
        <w:pStyle w:val="11"/>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115.49</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115.49</w:t>
      </w:r>
      <w:r>
        <w:rPr>
          <w:rFonts w:hint="eastAsia" w:ascii="宋体" w:hAnsi="宋体" w:eastAsia="宋体" w:cs="宋体"/>
          <w:color w:val="auto"/>
          <w:sz w:val="32"/>
          <w:szCs w:val="32"/>
          <w:highlight w:val="none"/>
        </w:rPr>
        <w:t>万元，完成年初预算的100%。</w:t>
      </w:r>
    </w:p>
    <w:p>
      <w:pPr>
        <w:pStyle w:val="11"/>
        <w:numPr>
          <w:numId w:val="0"/>
        </w:numPr>
        <w:ind w:left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21、</w:t>
      </w:r>
      <w:r>
        <w:rPr>
          <w:rFonts w:hint="eastAsia" w:ascii="宋体" w:hAnsi="宋体" w:eastAsia="宋体" w:cs="宋体"/>
          <w:color w:val="auto"/>
          <w:sz w:val="32"/>
          <w:szCs w:val="32"/>
          <w:highlight w:val="none"/>
        </w:rPr>
        <w:t>灾害防治及应急管理支出（类）消防救援事务</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 xml:space="preserve">款） </w:t>
      </w:r>
      <w:r>
        <w:rPr>
          <w:rFonts w:hint="eastAsia" w:ascii="宋体" w:hAnsi="宋体" w:eastAsia="宋体" w:cs="宋体"/>
          <w:color w:val="auto"/>
          <w:sz w:val="32"/>
          <w:szCs w:val="32"/>
          <w:highlight w:val="none"/>
          <w:lang w:val="en-US" w:eastAsia="zh-CN"/>
        </w:rPr>
        <w:t xml:space="preserve"> </w:t>
      </w:r>
    </w:p>
    <w:p>
      <w:pPr>
        <w:pStyle w:val="11"/>
        <w:numPr>
          <w:ilvl w:val="0"/>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rPr>
        <w:t>一般行政管理事务</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9.41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9.41</w:t>
      </w:r>
      <w:r>
        <w:rPr>
          <w:rFonts w:hint="eastAsia" w:ascii="宋体" w:hAnsi="宋体" w:eastAsia="宋体" w:cs="宋体"/>
          <w:color w:val="auto"/>
          <w:sz w:val="32"/>
          <w:szCs w:val="32"/>
          <w:highlight w:val="none"/>
        </w:rPr>
        <w:t>万元，完成年初预算的100%。</w:t>
      </w:r>
    </w:p>
    <w:p>
      <w:pPr>
        <w:pStyle w:val="11"/>
        <w:numPr>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其他消防救援事务支出</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8.41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8.41</w:t>
      </w:r>
      <w:r>
        <w:rPr>
          <w:rFonts w:hint="eastAsia" w:ascii="宋体" w:hAnsi="宋体" w:eastAsia="宋体" w:cs="宋体"/>
          <w:color w:val="auto"/>
          <w:sz w:val="32"/>
          <w:szCs w:val="32"/>
          <w:highlight w:val="none"/>
        </w:rPr>
        <w:t>万元，完成年初预算的100%。</w:t>
      </w:r>
    </w:p>
    <w:p>
      <w:pPr>
        <w:pStyle w:val="11"/>
        <w:numPr>
          <w:numId w:val="0"/>
        </w:numPr>
        <w:rPr>
          <w:rFonts w:hint="eastAsia" w:ascii="宋体" w:hAnsi="宋体" w:eastAsia="宋体" w:cs="宋体"/>
          <w:sz w:val="32"/>
          <w:szCs w:val="32"/>
          <w:highlight w:val="none"/>
        </w:rPr>
      </w:pPr>
    </w:p>
    <w:p>
      <w:pPr>
        <w:pStyle w:val="11"/>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w:t>
      </w:r>
    </w:p>
    <w:p>
      <w:pPr>
        <w:pStyle w:val="11"/>
        <w:ind w:firstLine="800" w:firstLineChars="250"/>
        <w:rPr>
          <w:rFonts w:hint="eastAsia" w:ascii="宋体" w:hAnsi="宋体" w:eastAsia="宋体" w:cs="宋体"/>
          <w:sz w:val="32"/>
          <w:szCs w:val="32"/>
          <w:highlight w:val="none"/>
        </w:rPr>
      </w:pPr>
    </w:p>
    <w:p>
      <w:pPr>
        <w:pStyle w:val="11"/>
        <w:ind w:firstLine="800" w:firstLineChars="250"/>
        <w:rPr>
          <w:rFonts w:hint="eastAsia" w:ascii="宋体" w:hAnsi="宋体" w:eastAsia="宋体" w:cs="宋体"/>
          <w:sz w:val="32"/>
          <w:szCs w:val="32"/>
          <w:highlight w:val="none"/>
        </w:rPr>
      </w:pP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22</w:t>
      </w:r>
      <w:r>
        <w:rPr>
          <w:rFonts w:hint="eastAsia" w:ascii="宋体" w:hAnsi="宋体" w:eastAsia="宋体" w:cs="宋体"/>
          <w:color w:val="auto"/>
          <w:sz w:val="32"/>
          <w:szCs w:val="32"/>
          <w:highlight w:val="none"/>
        </w:rPr>
        <w:t>、城乡社区支出（类） 城乡社区管理事务（款） 城管执法（项）。</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年初预算为67.10万元，支出决算为67.10万元，完成年初预算的100%。</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23</w:t>
      </w:r>
      <w:r>
        <w:rPr>
          <w:rFonts w:hint="eastAsia" w:ascii="宋体" w:hAnsi="宋体" w:eastAsia="宋体" w:cs="宋体"/>
          <w:color w:val="auto"/>
          <w:sz w:val="32"/>
          <w:szCs w:val="32"/>
          <w:highlight w:val="none"/>
        </w:rPr>
        <w:t>、城乡社区支出（类） 城乡社区管理事务（款）其他城乡社区管理事务（项）</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年初预算为37.06万元，支出决算为37.06万元，完成年初预算的100%</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24</w:t>
      </w:r>
      <w:r>
        <w:rPr>
          <w:rFonts w:hint="eastAsia" w:ascii="宋体" w:hAnsi="宋体" w:eastAsia="宋体" w:cs="宋体"/>
          <w:color w:val="auto"/>
          <w:sz w:val="32"/>
          <w:szCs w:val="32"/>
          <w:highlight w:val="none"/>
        </w:rPr>
        <w:t>、灾害防治及应急管理（类）应急管理事务（款）其他应急管理支出（项）</w:t>
      </w:r>
    </w:p>
    <w:p>
      <w:pPr>
        <w:pStyle w:val="11"/>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年初预算为109.01万元，支出决算为109.01万元，完成年初预算的100%。</w:t>
      </w:r>
    </w:p>
    <w:p>
      <w:pPr>
        <w:pStyle w:val="11"/>
        <w:rPr>
          <w:rFonts w:ascii="宋体" w:hAnsi="宋体" w:eastAsia="宋体" w:cs="宋体"/>
          <w:color w:val="auto"/>
          <w:sz w:val="32"/>
          <w:szCs w:val="32"/>
          <w:highlight w:val="none"/>
        </w:rPr>
      </w:pPr>
    </w:p>
    <w:p>
      <w:pPr>
        <w:pStyle w:val="11"/>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pPr>
        <w:pStyle w:val="11"/>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2022年</w:t>
      </w:r>
      <w:r>
        <w:rPr>
          <w:rFonts w:hint="eastAsia" w:ascii="宋体" w:hAnsi="宋体" w:eastAsia="宋体" w:cs="宋体"/>
          <w:sz w:val="32"/>
          <w:szCs w:val="32"/>
          <w:highlight w:val="none"/>
        </w:rPr>
        <w:t>度一般公共预算财政拨款基本支出</w:t>
      </w:r>
      <w:r>
        <w:rPr>
          <w:rFonts w:hint="eastAsia" w:ascii="宋体" w:hAnsi="宋体" w:eastAsia="宋体" w:cs="宋体"/>
          <w:sz w:val="32"/>
          <w:szCs w:val="32"/>
          <w:highlight w:val="none"/>
          <w:lang w:val="en-US" w:eastAsia="zh-CN"/>
        </w:rPr>
        <w:t>3264.95</w:t>
      </w:r>
      <w:r>
        <w:rPr>
          <w:rFonts w:hint="eastAsia" w:ascii="宋体" w:hAnsi="宋体" w:eastAsia="宋体" w:cs="宋体"/>
          <w:sz w:val="32"/>
          <w:szCs w:val="32"/>
          <w:highlight w:val="none"/>
        </w:rPr>
        <w:t>万元，其中：人员经费</w:t>
      </w:r>
      <w:r>
        <w:rPr>
          <w:rFonts w:hint="default" w:ascii="宋体" w:hAnsi="宋体" w:eastAsia="宋体" w:cs="宋体"/>
          <w:sz w:val="32"/>
          <w:szCs w:val="32"/>
          <w:highlight w:val="none"/>
          <w:lang w:val="en-US" w:eastAsia="zh-CN"/>
        </w:rPr>
        <w:t>2591.94</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79.39</w:t>
      </w:r>
      <w:r>
        <w:rPr>
          <w:rFonts w:ascii="宋体" w:hAnsi="宋体" w:eastAsia="宋体" w:cs="宋体"/>
          <w:sz w:val="32"/>
          <w:szCs w:val="32"/>
          <w:highlight w:val="none"/>
        </w:rPr>
        <w:t>%,</w:t>
      </w:r>
      <w:r>
        <w:rPr>
          <w:rFonts w:hint="eastAsia" w:ascii="宋体" w:hAnsi="宋体" w:eastAsia="宋体" w:cs="宋体"/>
          <w:sz w:val="32"/>
          <w:szCs w:val="32"/>
          <w:highlight w:val="none"/>
        </w:rPr>
        <w:t>主要包括基本工资、津贴补贴、奖金、伙食补助费、住房公积金、养老保险、职业年金等；公用经费</w:t>
      </w:r>
      <w:r>
        <w:rPr>
          <w:rFonts w:hint="eastAsia" w:ascii="宋体" w:hAnsi="宋体" w:eastAsia="宋体" w:cs="宋体"/>
          <w:sz w:val="32"/>
          <w:szCs w:val="32"/>
          <w:highlight w:val="none"/>
          <w:lang w:val="en-US" w:eastAsia="zh-CN"/>
        </w:rPr>
        <w:t>673.01</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20.01</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，主要包括办公费、印刷费、咨询费、手续费、水电费、邮电费、维修维护费、</w:t>
      </w:r>
      <w:r>
        <w:rPr>
          <w:rFonts w:hint="eastAsia" w:ascii="宋体" w:hAnsi="宋体" w:eastAsia="宋体" w:cs="宋体"/>
          <w:sz w:val="32"/>
          <w:szCs w:val="32"/>
          <w:highlight w:val="none"/>
          <w:lang w:eastAsia="zh-CN"/>
        </w:rPr>
        <w:t>劳务</w:t>
      </w:r>
      <w:r>
        <w:rPr>
          <w:rFonts w:hint="eastAsia" w:ascii="宋体" w:hAnsi="宋体" w:eastAsia="宋体" w:cs="宋体"/>
          <w:sz w:val="32"/>
          <w:szCs w:val="32"/>
          <w:highlight w:val="none"/>
        </w:rPr>
        <w:t>费等。</w:t>
      </w:r>
    </w:p>
    <w:p>
      <w:pPr>
        <w:pStyle w:val="11"/>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pPr>
        <w:pStyle w:val="11"/>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pPr>
        <w:pStyle w:val="11"/>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“三公”经费财政拨款支出预算为15万元，支出决算为0万元，完成预算的0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w:t>
      </w:r>
      <w:r>
        <w:rPr>
          <w:rFonts w:hint="eastAsia" w:ascii="宋体" w:hAnsi="宋体" w:eastAsia="宋体" w:cs="宋体"/>
          <w:sz w:val="32"/>
          <w:szCs w:val="32"/>
          <w:lang w:eastAsia="zh-CN"/>
        </w:rPr>
        <w:t>、</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无增减</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highlight w:val="none"/>
        </w:rPr>
      </w:pPr>
      <w:r>
        <w:rPr>
          <w:rFonts w:hint="eastAsia" w:ascii="宋体" w:hAnsi="宋体" w:eastAsia="宋体" w:cs="宋体"/>
          <w:sz w:val="32"/>
          <w:szCs w:val="32"/>
        </w:rPr>
        <w:t>公务接待费支出预算为15万元，支出决算为0万元，完成预算的0</w:t>
      </w:r>
      <w:r>
        <w:rPr>
          <w:rFonts w:ascii="宋体" w:hAnsi="宋体" w:eastAsia="宋体" w:cs="宋体"/>
          <w:sz w:val="32"/>
          <w:szCs w:val="32"/>
        </w:rPr>
        <w:t>%</w:t>
      </w:r>
      <w:r>
        <w:rPr>
          <w:rFonts w:hint="eastAsia" w:ascii="宋体" w:hAnsi="宋体" w:eastAsia="宋体" w:cs="宋体"/>
          <w:sz w:val="32"/>
          <w:szCs w:val="32"/>
        </w:rPr>
        <w:t>，决算数小于预算数的主要原因是本镇严格按照上级文件指示精神每年压减三公经费。</w:t>
      </w:r>
      <w:r>
        <w:rPr>
          <w:rFonts w:hint="eastAsia" w:ascii="宋体" w:hAnsi="宋体" w:eastAsia="宋体" w:cs="宋体"/>
          <w:sz w:val="32"/>
          <w:szCs w:val="32"/>
          <w:highlight w:val="none"/>
        </w:rPr>
        <w:t>与上年相比减少0.</w:t>
      </w:r>
      <w:r>
        <w:rPr>
          <w:rFonts w:hint="eastAsia" w:ascii="宋体" w:hAnsi="宋体" w:eastAsia="宋体" w:cs="宋体"/>
          <w:sz w:val="32"/>
          <w:szCs w:val="32"/>
          <w:highlight w:val="none"/>
          <w:lang w:val="en-US" w:eastAsia="zh-CN"/>
        </w:rPr>
        <w:t>34</w:t>
      </w:r>
      <w:r>
        <w:rPr>
          <w:rFonts w:hint="eastAsia" w:ascii="宋体" w:hAnsi="宋体" w:eastAsia="宋体" w:cs="宋体"/>
          <w:sz w:val="32"/>
          <w:szCs w:val="32"/>
          <w:highlight w:val="none"/>
        </w:rPr>
        <w:t>万元，减少100</w:t>
      </w:r>
      <w:r>
        <w:rPr>
          <w:rFonts w:ascii="宋体" w:hAnsi="宋体" w:eastAsia="宋体" w:cs="宋体"/>
          <w:sz w:val="32"/>
          <w:szCs w:val="32"/>
          <w:highlight w:val="none"/>
        </w:rPr>
        <w:t>%,</w:t>
      </w:r>
      <w:r>
        <w:rPr>
          <w:rFonts w:hint="eastAsia" w:ascii="宋体" w:hAnsi="宋体" w:eastAsia="宋体" w:cs="宋体"/>
          <w:sz w:val="32"/>
          <w:szCs w:val="32"/>
          <w:highlight w:val="none"/>
        </w:rPr>
        <w:t>减少的主要原是本镇严格按照上级文件指示精神每年压减30%的三公经费。</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公务用车购置费及运行维护费支出预算为0万元，支出决算为0万元，决算数与预算数相等，与上年相比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2022年</w:t>
      </w:r>
      <w:r>
        <w:rPr>
          <w:rFonts w:hint="eastAsia" w:ascii="宋体" w:hAnsi="宋体" w:eastAsia="宋体" w:cs="宋体"/>
          <w:sz w:val="32"/>
          <w:szCs w:val="32"/>
        </w:rPr>
        <w:t>度“三公”经费财政拨款支出决算中，公务接待费支出决算0万元，占100</w:t>
      </w:r>
      <w:r>
        <w:rPr>
          <w:rFonts w:ascii="宋体" w:hAnsi="宋体" w:eastAsia="宋体" w:cs="宋体"/>
          <w:sz w:val="32"/>
          <w:szCs w:val="32"/>
        </w:rPr>
        <w:t>%,</w:t>
      </w:r>
      <w:r>
        <w:rPr>
          <w:rFonts w:hint="eastAsia" w:ascii="宋体" w:hAnsi="宋体" w:eastAsia="宋体" w:cs="宋体"/>
          <w:sz w:val="32"/>
          <w:szCs w:val="32"/>
        </w:rPr>
        <w:t>因公出国（境）费支出决算0万元，公务用车购置费及运行维护费支出决算0万元。其中：</w:t>
      </w:r>
    </w:p>
    <w:p>
      <w:pPr>
        <w:pStyle w:val="11"/>
        <w:ind w:firstLine="640" w:firstLineChars="20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ascii="宋体" w:hAnsi="宋体" w:eastAsia="宋体" w:cs="宋体"/>
          <w:sz w:val="32"/>
          <w:szCs w:val="32"/>
        </w:rPr>
        <w:t>,</w:t>
      </w:r>
      <w:r>
        <w:rPr>
          <w:rFonts w:hint="eastAsia" w:ascii="宋体" w:hAnsi="宋体" w:eastAsia="宋体" w:cs="宋体"/>
          <w:sz w:val="32"/>
          <w:szCs w:val="32"/>
        </w:rPr>
        <w:t>开支内容：无。</w:t>
      </w:r>
    </w:p>
    <w:p>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、公务接待费支出决算为0万元，全年共接待来访团组0个、来宾0人次。</w:t>
      </w:r>
    </w:p>
    <w:p>
      <w:pPr>
        <w:ind w:firstLine="800" w:firstLineChars="250"/>
        <w:rPr>
          <w:rFonts w:ascii="宋体" w:hAnsi="宋体" w:eastAsia="宋体" w:cs="Times New Roman"/>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、公务用车购置费及运行维护费支出决算为0万元，其中：公务用车购置费0万元，石潭镇人民政府更新公务用车0辆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公务用车运行维护费0万元，截止</w:t>
      </w:r>
      <w:r>
        <w:rPr>
          <w:rFonts w:hint="eastAsia" w:ascii="宋体" w:hAnsi="宋体" w:cs="宋体"/>
          <w:sz w:val="32"/>
          <w:szCs w:val="32"/>
          <w:lang w:eastAsia="zh-CN"/>
        </w:rPr>
        <w:t>2022年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pPr>
        <w:pStyle w:val="11"/>
        <w:ind w:firstLine="320" w:firstLineChars="100"/>
        <w:rPr>
          <w:rFonts w:hAnsi="黑体" w:cs="Times New Roman"/>
          <w:b/>
          <w:bCs/>
          <w:sz w:val="32"/>
          <w:szCs w:val="32"/>
        </w:rPr>
      </w:pPr>
      <w:r>
        <w:rPr>
          <w:rFonts w:hint="eastAsia" w:hAnsi="黑体"/>
          <w:b/>
          <w:bCs/>
          <w:sz w:val="32"/>
          <w:szCs w:val="32"/>
        </w:rPr>
        <w:t>八、政府性基金预算收入支出决算情况</w:t>
      </w:r>
    </w:p>
    <w:p>
      <w:pPr>
        <w:pStyle w:val="11"/>
        <w:rPr>
          <w:rFonts w:ascii="宋体" w:hAnsi="宋体" w:eastAsia="宋体" w:cs="宋体"/>
          <w:sz w:val="32"/>
          <w:szCs w:val="32"/>
        </w:rPr>
      </w:pPr>
      <w:r>
        <w:rPr>
          <w:rFonts w:ascii="宋体" w:hAnsi="宋体" w:eastAsia="宋体" w:cs="宋体"/>
          <w:sz w:val="32"/>
          <w:szCs w:val="32"/>
        </w:rPr>
        <w:t xml:space="preserve">     </w:t>
      </w:r>
      <w:r>
        <w:rPr>
          <w:rFonts w:hint="eastAsia" w:ascii="宋体" w:hAnsi="宋体" w:eastAsia="宋体" w:cs="宋体"/>
          <w:sz w:val="32"/>
          <w:szCs w:val="32"/>
          <w:lang w:eastAsia="zh-CN"/>
        </w:rPr>
        <w:t>2022年</w:t>
      </w:r>
      <w:r>
        <w:rPr>
          <w:rFonts w:hint="eastAsia" w:ascii="宋体" w:hAnsi="宋体" w:eastAsia="宋体" w:cs="宋体"/>
          <w:sz w:val="32"/>
          <w:szCs w:val="32"/>
        </w:rPr>
        <w:t>度政府性基金预算财政拨款收入</w:t>
      </w:r>
      <w:r>
        <w:rPr>
          <w:rFonts w:hint="eastAsia" w:ascii="宋体" w:hAnsi="宋体" w:eastAsia="宋体" w:cs="宋体"/>
          <w:sz w:val="32"/>
          <w:szCs w:val="32"/>
          <w:lang w:val="en-US" w:eastAsia="zh-CN"/>
        </w:rPr>
        <w:t>121.9</w:t>
      </w:r>
      <w:r>
        <w:rPr>
          <w:rFonts w:hint="eastAsia" w:ascii="宋体" w:hAnsi="宋体" w:eastAsia="宋体" w:cs="宋体"/>
          <w:sz w:val="32"/>
          <w:szCs w:val="32"/>
        </w:rPr>
        <w:t>万元；年初结转和结余0万元；支出0万元，其中基本支出</w:t>
      </w:r>
      <w:r>
        <w:rPr>
          <w:rFonts w:hint="eastAsia" w:ascii="宋体" w:hAnsi="宋体" w:eastAsia="宋体" w:cs="宋体"/>
          <w:sz w:val="32"/>
          <w:szCs w:val="32"/>
          <w:lang w:val="en-US" w:eastAsia="zh-CN"/>
        </w:rPr>
        <w:t>121.9</w:t>
      </w:r>
      <w:r>
        <w:rPr>
          <w:rFonts w:hint="eastAsia" w:ascii="宋体" w:hAnsi="宋体" w:eastAsia="宋体" w:cs="宋体"/>
          <w:sz w:val="32"/>
          <w:szCs w:val="32"/>
        </w:rPr>
        <w:t>万元，项目支出0万元；年末结转和结余0万元。</w:t>
      </w:r>
    </w:p>
    <w:p>
      <w:pPr>
        <w:pStyle w:val="11"/>
        <w:spacing w:line="600" w:lineRule="exact"/>
        <w:ind w:firstLine="320" w:firstLineChars="100"/>
        <w:outlineLvl w:val="1"/>
        <w:rPr>
          <w:rFonts w:hAnsi="黑体"/>
          <w:b/>
          <w:bCs/>
          <w:sz w:val="32"/>
          <w:szCs w:val="32"/>
        </w:rPr>
      </w:pPr>
      <w:r>
        <w:rPr>
          <w:rFonts w:hint="eastAsia" w:hAnsi="黑体"/>
          <w:b/>
          <w:bCs/>
          <w:sz w:val="32"/>
          <w:szCs w:val="32"/>
        </w:rPr>
        <w:t>九</w:t>
      </w:r>
      <w:r>
        <w:rPr>
          <w:rFonts w:hAnsi="黑体"/>
          <w:b/>
          <w:bCs/>
          <w:sz w:val="32"/>
          <w:szCs w:val="32"/>
        </w:rPr>
        <w:t>、</w:t>
      </w:r>
      <w:r>
        <w:rPr>
          <w:rFonts w:hint="eastAsia" w:hAnsi="黑体"/>
          <w:b/>
          <w:bCs/>
          <w:sz w:val="32"/>
          <w:szCs w:val="32"/>
        </w:rPr>
        <w:t>国有资本经营预算财政拨款支出决算情况</w:t>
      </w:r>
    </w:p>
    <w:p>
      <w:pPr>
        <w:pStyle w:val="11"/>
        <w:spacing w:line="600" w:lineRule="exact"/>
        <w:ind w:firstLine="640" w:firstLineChars="200"/>
        <w:rPr>
          <w:rFonts w:ascii="宋体" w:hAnsi="宋体" w:eastAsia="宋体" w:cs="宋体"/>
          <w:sz w:val="32"/>
          <w:szCs w:val="32"/>
        </w:rPr>
      </w:pPr>
      <w:r>
        <w:rPr>
          <w:rFonts w:ascii="宋体" w:hAnsi="宋体" w:eastAsia="宋体" w:cs="宋体"/>
          <w:sz w:val="32"/>
          <w:szCs w:val="32"/>
        </w:rPr>
        <w:t>本单位无</w:t>
      </w:r>
      <w:r>
        <w:rPr>
          <w:rFonts w:hint="eastAsia" w:ascii="宋体" w:hAnsi="宋体" w:eastAsia="宋体" w:cs="宋体"/>
          <w:sz w:val="32"/>
          <w:szCs w:val="32"/>
        </w:rPr>
        <w:t>国有资本经营预算支出</w:t>
      </w:r>
    </w:p>
    <w:p>
      <w:pPr>
        <w:pStyle w:val="11"/>
        <w:spacing w:line="600" w:lineRule="exact"/>
        <w:ind w:firstLine="320" w:firstLineChars="100"/>
        <w:outlineLvl w:val="1"/>
        <w:rPr>
          <w:rFonts w:hAnsi="黑体"/>
          <w:b/>
          <w:bCs/>
          <w:sz w:val="32"/>
          <w:szCs w:val="32"/>
        </w:rPr>
      </w:pPr>
      <w:r>
        <w:rPr>
          <w:rFonts w:hint="eastAsia" w:hAnsi="黑体"/>
          <w:b/>
          <w:bCs/>
          <w:sz w:val="32"/>
          <w:szCs w:val="32"/>
        </w:rPr>
        <w:t>十</w:t>
      </w:r>
      <w:r>
        <w:rPr>
          <w:rFonts w:hAnsi="黑体"/>
          <w:b/>
          <w:bCs/>
          <w:sz w:val="32"/>
          <w:szCs w:val="32"/>
        </w:rPr>
        <w:t>、关于</w:t>
      </w:r>
      <w:r>
        <w:rPr>
          <w:rFonts w:hint="eastAsia" w:hAnsi="黑体"/>
          <w:b/>
          <w:bCs/>
          <w:sz w:val="32"/>
          <w:szCs w:val="32"/>
          <w:lang w:eastAsia="zh-CN"/>
        </w:rPr>
        <w:t>2022年</w:t>
      </w:r>
      <w:r>
        <w:rPr>
          <w:rFonts w:hAnsi="黑体"/>
          <w:b/>
          <w:bCs/>
          <w:sz w:val="32"/>
          <w:szCs w:val="32"/>
        </w:rPr>
        <w:t>度预算绩效情况说明</w:t>
      </w:r>
    </w:p>
    <w:p>
      <w:pPr>
        <w:pStyle w:val="11"/>
        <w:ind w:firstLine="640" w:firstLineChars="200"/>
        <w:jc w:val="both"/>
        <w:rPr>
          <w:rFonts w:ascii="宋体" w:hAnsi="宋体" w:eastAsia="宋体" w:cs="宋体"/>
          <w:sz w:val="32"/>
          <w:szCs w:val="32"/>
        </w:rPr>
      </w:pPr>
      <w:r>
        <w:rPr>
          <w:rFonts w:hint="eastAsia" w:ascii="宋体" w:hAnsi="宋体" w:eastAsia="宋体" w:cs="宋体"/>
          <w:sz w:val="32"/>
          <w:szCs w:val="32"/>
        </w:rPr>
        <w:t>本年度无重点绩效评价，本部门预算绩效管理开展情况于202</w:t>
      </w:r>
      <w:r>
        <w:rPr>
          <w:rFonts w:hint="eastAsia" w:ascii="宋体" w:hAnsi="宋体" w:eastAsia="宋体" w:cs="宋体"/>
          <w:sz w:val="32"/>
          <w:szCs w:val="32"/>
          <w:lang w:val="en-US" w:eastAsia="zh-CN"/>
        </w:rPr>
        <w:t>3</w:t>
      </w:r>
      <w:r>
        <w:rPr>
          <w:rFonts w:hint="eastAsia" w:ascii="宋体" w:hAnsi="宋体" w:eastAsia="宋体" w:cs="宋体"/>
          <w:sz w:val="32"/>
          <w:szCs w:val="32"/>
        </w:rPr>
        <w:t>年</w:t>
      </w:r>
      <w:r>
        <w:rPr>
          <w:rFonts w:hint="eastAsia" w:ascii="宋体" w:hAnsi="宋体" w:eastAsia="宋体" w:cs="宋体"/>
          <w:sz w:val="32"/>
          <w:szCs w:val="32"/>
          <w:lang w:val="en-US" w:eastAsia="zh-CN"/>
        </w:rPr>
        <w:t>5</w:t>
      </w:r>
      <w:r>
        <w:rPr>
          <w:rFonts w:hint="eastAsia" w:ascii="宋体" w:hAnsi="宋体" w:eastAsia="宋体" w:cs="宋体"/>
          <w:sz w:val="32"/>
          <w:szCs w:val="32"/>
        </w:rPr>
        <w:t>月份开始开展，其中绩效目标和绩效评价报告等严格按照上级业务部门的要求进行相关业务处理，</w:t>
      </w:r>
      <w:r>
        <w:rPr>
          <w:rFonts w:hint="eastAsia" w:ascii="宋体" w:hAnsi="宋体" w:eastAsia="宋体" w:cs="宋体"/>
          <w:sz w:val="32"/>
          <w:szCs w:val="32"/>
          <w:lang w:eastAsia="zh-CN"/>
        </w:rPr>
        <w:t>2022年</w:t>
      </w:r>
      <w:r>
        <w:rPr>
          <w:rFonts w:hint="eastAsia" w:ascii="宋体" w:hAnsi="宋体" w:eastAsia="宋体" w:cs="宋体"/>
          <w:sz w:val="32"/>
          <w:szCs w:val="32"/>
        </w:rPr>
        <w:t>度部门整体支出绩效评价自评得分9</w:t>
      </w:r>
      <w:r>
        <w:rPr>
          <w:rFonts w:hint="eastAsia" w:ascii="宋体" w:hAnsi="宋体" w:eastAsia="宋体" w:cs="宋体"/>
          <w:sz w:val="32"/>
          <w:szCs w:val="32"/>
          <w:lang w:val="en-US" w:eastAsia="zh-CN"/>
        </w:rPr>
        <w:t>5</w:t>
      </w:r>
      <w:r>
        <w:rPr>
          <w:rFonts w:hint="eastAsia" w:ascii="宋体" w:hAnsi="宋体" w:eastAsia="宋体" w:cs="宋体"/>
          <w:sz w:val="32"/>
          <w:szCs w:val="32"/>
        </w:rPr>
        <w:t>分（详情见附件</w:t>
      </w:r>
      <w:r>
        <w:rPr>
          <w:rFonts w:hint="eastAsia" w:ascii="宋体" w:hAnsi="宋体" w:eastAsia="宋体" w:cs="宋体"/>
          <w:sz w:val="32"/>
          <w:szCs w:val="32"/>
          <w:lang w:eastAsia="zh-CN"/>
        </w:rPr>
        <w:t>2022年</w:t>
      </w:r>
      <w:r>
        <w:rPr>
          <w:rFonts w:hint="eastAsia" w:ascii="宋体" w:hAnsi="宋体" w:eastAsia="宋体" w:cs="宋体"/>
          <w:sz w:val="32"/>
          <w:szCs w:val="32"/>
        </w:rPr>
        <w:t>度部门整体支出绩效评价自评报告）。</w:t>
      </w:r>
    </w:p>
    <w:p>
      <w:pPr>
        <w:pStyle w:val="11"/>
        <w:ind w:firstLine="480" w:firstLineChars="150"/>
        <w:rPr>
          <w:rFonts w:ascii="宋体" w:hAnsi="宋体" w:eastAsia="宋体" w:cs="宋体"/>
          <w:sz w:val="32"/>
          <w:szCs w:val="32"/>
        </w:rPr>
      </w:pPr>
    </w:p>
    <w:p>
      <w:pPr>
        <w:pStyle w:val="11"/>
        <w:ind w:firstLine="320" w:firstLineChars="100"/>
        <w:rPr>
          <w:rFonts w:hAnsi="黑体"/>
          <w:b/>
          <w:bCs/>
          <w:sz w:val="32"/>
          <w:szCs w:val="32"/>
        </w:rPr>
      </w:pPr>
      <w:r>
        <w:rPr>
          <w:rFonts w:hint="eastAsia" w:hAnsi="黑体"/>
          <w:b/>
          <w:bCs/>
          <w:sz w:val="32"/>
          <w:szCs w:val="32"/>
        </w:rPr>
        <w:t>十一、其他重要事项情况说明</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（一）机关运行经费支出情况</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2022年</w:t>
      </w:r>
      <w:r>
        <w:rPr>
          <w:rFonts w:hint="eastAsia" w:ascii="宋体" w:hAnsi="宋体" w:eastAsia="宋体" w:cs="宋体"/>
          <w:sz w:val="32"/>
          <w:szCs w:val="32"/>
          <w:highlight w:val="none"/>
        </w:rPr>
        <w:t>度机关运行经费支出</w:t>
      </w:r>
      <w:r>
        <w:rPr>
          <w:rFonts w:hint="eastAsia" w:ascii="宋体" w:hAnsi="宋体" w:eastAsia="宋体" w:cs="宋体"/>
          <w:sz w:val="32"/>
          <w:szCs w:val="32"/>
          <w:highlight w:val="none"/>
          <w:lang w:val="en-US" w:eastAsia="zh-CN"/>
        </w:rPr>
        <w:t>673.01</w:t>
      </w:r>
      <w:r>
        <w:rPr>
          <w:rFonts w:hint="eastAsia" w:ascii="宋体" w:hAnsi="宋体" w:eastAsia="宋体" w:cs="宋体"/>
          <w:sz w:val="32"/>
          <w:szCs w:val="32"/>
          <w:highlight w:val="none"/>
        </w:rPr>
        <w:t>万元，比年初预算数</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447.09</w:t>
      </w:r>
      <w:r>
        <w:rPr>
          <w:rFonts w:hint="eastAsia" w:ascii="宋体" w:hAnsi="宋体" w:eastAsia="宋体" w:cs="宋体"/>
          <w:sz w:val="32"/>
          <w:szCs w:val="32"/>
          <w:highlight w:val="none"/>
        </w:rPr>
        <w:t>万元，增加</w:t>
      </w:r>
      <w:r>
        <w:rPr>
          <w:rFonts w:hint="eastAsia" w:ascii="宋体" w:hAnsi="宋体" w:eastAsia="宋体" w:cs="宋体"/>
          <w:sz w:val="32"/>
          <w:szCs w:val="32"/>
          <w:highlight w:val="none"/>
          <w:lang w:val="en-US" w:eastAsia="zh-CN"/>
        </w:rPr>
        <w:t>197.9</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rPr>
        <w:t>两年统计口径不一致。</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（二）一般性支出情况</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万元，会议费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sz w:val="32"/>
          <w:szCs w:val="32"/>
        </w:rPr>
        <w:t>。开支培训费1</w:t>
      </w:r>
      <w:r>
        <w:rPr>
          <w:rFonts w:hint="eastAsia" w:ascii="宋体" w:hAnsi="宋体" w:eastAsia="宋体" w:cs="宋体"/>
          <w:sz w:val="32"/>
          <w:szCs w:val="32"/>
          <w:lang w:val="en-US" w:eastAsia="zh-CN"/>
        </w:rPr>
        <w:t>.14</w:t>
      </w:r>
      <w:r>
        <w:rPr>
          <w:rFonts w:hint="eastAsia" w:ascii="宋体" w:hAnsi="宋体" w:eastAsia="宋体" w:cs="宋体"/>
          <w:sz w:val="32"/>
          <w:szCs w:val="32"/>
        </w:rPr>
        <w:t>万元，用于镇村干部培训会议及镇区人民就业培训会等，人员</w:t>
      </w:r>
      <w:r>
        <w:rPr>
          <w:rFonts w:hint="eastAsia" w:ascii="宋体" w:hAnsi="宋体" w:eastAsia="宋体" w:cs="宋体"/>
          <w:sz w:val="32"/>
          <w:szCs w:val="32"/>
          <w:lang w:val="en-US" w:eastAsia="zh-CN"/>
        </w:rPr>
        <w:t>21</w:t>
      </w:r>
      <w:r>
        <w:rPr>
          <w:rFonts w:hint="eastAsia" w:ascii="宋体" w:hAnsi="宋体" w:eastAsia="宋体" w:cs="宋体"/>
          <w:sz w:val="32"/>
          <w:szCs w:val="32"/>
        </w:rPr>
        <w:t>00余人，内容为基层党建业务培训会、意识形态工作学习培训会、财务培训会、镇区就业人群各项技能培训等。培训费</w:t>
      </w:r>
      <w:r>
        <w:rPr>
          <w:rFonts w:hint="eastAsia" w:ascii="宋体" w:hAnsi="宋体" w:eastAsia="宋体" w:cs="宋体"/>
          <w:color w:val="auto"/>
          <w:sz w:val="32"/>
          <w:szCs w:val="32"/>
        </w:rPr>
        <w:t>年初预算为8.</w:t>
      </w:r>
      <w:r>
        <w:rPr>
          <w:rFonts w:hint="eastAsia" w:ascii="宋体" w:hAnsi="宋体" w:eastAsia="宋体" w:cs="宋体"/>
          <w:color w:val="auto"/>
          <w:sz w:val="32"/>
          <w:szCs w:val="32"/>
          <w:lang w:val="en-US" w:eastAsia="zh-CN"/>
        </w:rPr>
        <w:t>41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1.14</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13.56</w:t>
      </w:r>
      <w:r>
        <w:rPr>
          <w:rFonts w:hint="eastAsia" w:ascii="宋体" w:hAnsi="宋体" w:eastAsia="宋体" w:cs="宋体"/>
          <w:color w:val="auto"/>
          <w:sz w:val="32"/>
          <w:szCs w:val="32"/>
        </w:rPr>
        <w:t>%。本年无节庆、晚会、论坛、赛事活动开支。</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（三）政府采购支出情况</w:t>
      </w:r>
    </w:p>
    <w:p>
      <w:pPr>
        <w:pStyle w:val="11"/>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2022年</w:t>
      </w:r>
      <w:r>
        <w:rPr>
          <w:rFonts w:hint="eastAsia" w:ascii="宋体" w:hAnsi="宋体" w:eastAsia="宋体" w:cs="宋体"/>
          <w:sz w:val="32"/>
          <w:szCs w:val="32"/>
          <w:highlight w:val="none"/>
        </w:rPr>
        <w:t>度政府采购支出总额</w:t>
      </w:r>
      <w:r>
        <w:rPr>
          <w:rFonts w:hint="eastAsia" w:ascii="宋体" w:hAnsi="宋体" w:eastAsia="宋体" w:cs="宋体"/>
          <w:sz w:val="32"/>
          <w:szCs w:val="32"/>
          <w:highlight w:val="none"/>
          <w:lang w:val="en-US" w:eastAsia="zh-CN"/>
        </w:rPr>
        <w:t>560.98</w:t>
      </w:r>
      <w:r>
        <w:rPr>
          <w:rFonts w:hint="eastAsia" w:ascii="宋体" w:hAnsi="宋体" w:eastAsia="宋体" w:cs="宋体"/>
          <w:sz w:val="32"/>
          <w:szCs w:val="32"/>
          <w:highlight w:val="none"/>
        </w:rPr>
        <w:t>万元，其中：政府采购货物支出</w:t>
      </w:r>
      <w:r>
        <w:rPr>
          <w:rFonts w:hint="eastAsia" w:ascii="宋体" w:hAnsi="宋体" w:eastAsia="宋体" w:cs="宋体"/>
          <w:sz w:val="32"/>
          <w:szCs w:val="32"/>
          <w:highlight w:val="none"/>
          <w:lang w:val="en-US" w:eastAsia="zh-CN"/>
        </w:rPr>
        <w:t>68.68</w:t>
      </w:r>
      <w:r>
        <w:rPr>
          <w:rFonts w:hint="eastAsia" w:ascii="宋体" w:hAnsi="宋体" w:eastAsia="宋体" w:cs="宋体"/>
          <w:sz w:val="32"/>
          <w:szCs w:val="32"/>
          <w:highlight w:val="none"/>
        </w:rPr>
        <w:t>万元、政府采购工程支出</w:t>
      </w:r>
      <w:r>
        <w:rPr>
          <w:rFonts w:hint="eastAsia" w:ascii="宋体" w:hAnsi="宋体" w:eastAsia="宋体" w:cs="宋体"/>
          <w:sz w:val="32"/>
          <w:szCs w:val="32"/>
          <w:highlight w:val="none"/>
          <w:lang w:val="en-US" w:eastAsia="zh-CN"/>
        </w:rPr>
        <w:t>194.96</w:t>
      </w:r>
      <w:r>
        <w:rPr>
          <w:rFonts w:hint="eastAsia" w:ascii="宋体" w:hAnsi="宋体" w:eastAsia="宋体" w:cs="宋体"/>
          <w:sz w:val="32"/>
          <w:szCs w:val="32"/>
          <w:highlight w:val="none"/>
        </w:rPr>
        <w:t>万元、政府采购服务支出</w:t>
      </w:r>
      <w:r>
        <w:rPr>
          <w:rFonts w:hint="eastAsia" w:ascii="宋体" w:hAnsi="宋体" w:eastAsia="宋体" w:cs="宋体"/>
          <w:sz w:val="32"/>
          <w:szCs w:val="32"/>
          <w:highlight w:val="none"/>
          <w:lang w:val="en-US" w:eastAsia="zh-CN"/>
        </w:rPr>
        <w:t>297.34</w:t>
      </w:r>
      <w:r>
        <w:rPr>
          <w:rFonts w:hint="eastAsia" w:ascii="宋体" w:hAnsi="宋体" w:eastAsia="宋体" w:cs="宋体"/>
          <w:sz w:val="32"/>
          <w:szCs w:val="32"/>
          <w:highlight w:val="none"/>
        </w:rPr>
        <w:t>万元。授予中小企业合同金额</w:t>
      </w:r>
      <w:r>
        <w:rPr>
          <w:rFonts w:hint="eastAsia" w:ascii="宋体" w:hAnsi="宋体" w:eastAsia="宋体" w:cs="宋体"/>
          <w:sz w:val="32"/>
          <w:szCs w:val="32"/>
          <w:highlight w:val="none"/>
          <w:lang w:val="en-US" w:eastAsia="zh-CN"/>
        </w:rPr>
        <w:t>560.98</w:t>
      </w:r>
      <w:r>
        <w:rPr>
          <w:rFonts w:hint="eastAsia" w:ascii="宋体" w:hAnsi="宋体" w:eastAsia="宋体" w:cs="宋体"/>
          <w:sz w:val="32"/>
          <w:szCs w:val="32"/>
          <w:highlight w:val="none"/>
        </w:rPr>
        <w:t>万元，占政府采购支出总额的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，其中：授予小微企业合同金额</w:t>
      </w:r>
      <w:r>
        <w:rPr>
          <w:rFonts w:hint="eastAsia" w:ascii="宋体" w:hAnsi="宋体" w:eastAsia="宋体" w:cs="宋体"/>
          <w:sz w:val="32"/>
          <w:szCs w:val="32"/>
          <w:highlight w:val="none"/>
          <w:lang w:val="en-US" w:eastAsia="zh-CN"/>
        </w:rPr>
        <w:t>553.97</w:t>
      </w:r>
      <w:r>
        <w:rPr>
          <w:rFonts w:hint="eastAsia" w:ascii="宋体" w:hAnsi="宋体" w:eastAsia="宋体" w:cs="宋体"/>
          <w:sz w:val="32"/>
          <w:szCs w:val="32"/>
          <w:highlight w:val="none"/>
        </w:rPr>
        <w:t>万元，占政府采购支出总额9</w:t>
      </w:r>
      <w:r>
        <w:rPr>
          <w:rFonts w:hint="eastAsia" w:ascii="宋体" w:hAnsi="宋体" w:eastAsia="宋体" w:cs="宋体"/>
          <w:sz w:val="32"/>
          <w:szCs w:val="32"/>
          <w:highlight w:val="none"/>
          <w:lang w:val="en-US" w:eastAsia="zh-CN"/>
        </w:rPr>
        <w:t>8.75</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（四）国有资产占用情况</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hint="eastAsia" w:ascii="宋体" w:hAnsi="宋体" w:eastAsia="宋体" w:cs="宋体"/>
          <w:sz w:val="32"/>
          <w:szCs w:val="32"/>
          <w:lang w:eastAsia="zh-CN"/>
        </w:rPr>
        <w:t>2022年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日，本单位共有车辆4辆。其中，主要领导干部用车0辆，机要通信用车0辆、应急保障用车0辆、执法执勤用车2辆、特种专业技术用车1辆、其他用车1辆；单位价值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11"/>
        <w:jc w:val="center"/>
        <w:rPr>
          <w:rFonts w:ascii="宋体" w:hAnsi="宋体" w:eastAsia="宋体" w:cs="宋体"/>
          <w:sz w:val="32"/>
          <w:szCs w:val="32"/>
        </w:rPr>
      </w:pPr>
    </w:p>
    <w:p>
      <w:pPr>
        <w:pStyle w:val="11"/>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ind w:firstLine="3600" w:firstLineChars="500"/>
        <w:rPr>
          <w:rFonts w:ascii="宋体" w:hAnsi="宋体" w:eastAsia="宋体" w:cs="宋体"/>
          <w:sz w:val="72"/>
          <w:szCs w:val="72"/>
        </w:rPr>
      </w:pPr>
      <w:r>
        <w:rPr>
          <w:rFonts w:hint="eastAsia" w:ascii="宋体" w:hAnsi="宋体" w:eastAsia="宋体" w:cs="宋体"/>
          <w:sz w:val="72"/>
          <w:szCs w:val="72"/>
        </w:rPr>
        <w:t>第四部分</w:t>
      </w:r>
    </w:p>
    <w:p>
      <w:pPr>
        <w:ind w:firstLine="3600" w:firstLineChars="500"/>
        <w:rPr>
          <w:rFonts w:ascii="宋体" w:hAnsi="宋体" w:cs="宋体"/>
          <w:color w:val="000000"/>
          <w:kern w:val="0"/>
          <w:sz w:val="72"/>
          <w:szCs w:val="72"/>
        </w:rPr>
      </w:pPr>
      <w:r>
        <w:rPr>
          <w:rFonts w:hint="eastAsia" w:ascii="宋体" w:hAnsi="宋体" w:cs="宋体"/>
          <w:color w:val="000000"/>
          <w:kern w:val="0"/>
          <w:sz w:val="72"/>
          <w:szCs w:val="72"/>
        </w:rPr>
        <w:t>名词解释</w:t>
      </w:r>
    </w:p>
    <w:p>
      <w:pPr>
        <w:autoSpaceDE w:val="0"/>
        <w:autoSpaceDN w:val="0"/>
        <w:adjustRightInd w:val="0"/>
        <w:ind w:left="1060" w:leftChars="200" w:hanging="640" w:hangingChars="200"/>
        <w:rPr>
          <w:rFonts w:ascii="宋体" w:hAnsi="宋体" w:cs="宋体"/>
          <w:color w:val="000000"/>
          <w:kern w:val="0"/>
          <w:sz w:val="32"/>
          <w:szCs w:val="32"/>
        </w:rPr>
      </w:pPr>
      <w:r>
        <w:rPr>
          <w:rFonts w:hint="eastAsia" w:ascii="宋体" w:hAnsi="宋体" w:cs="宋体"/>
          <w:sz w:val="32"/>
          <w:szCs w:val="32"/>
        </w:rPr>
        <w:t xml:space="preserve">       </w:t>
      </w: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pPr>
        <w:autoSpaceDE w:val="0"/>
        <w:autoSpaceDN w:val="0"/>
        <w:adjustRightInd w:val="0"/>
        <w:ind w:left="420" w:leftChars="200" w:firstLine="1120" w:firstLineChars="350"/>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 展目标，在基本支出之外发生的各项支出。</w:t>
      </w:r>
    </w:p>
    <w:p>
      <w:pPr>
        <w:autoSpaceDE w:val="0"/>
        <w:autoSpaceDN w:val="0"/>
        <w:adjustRightInd w:val="0"/>
        <w:ind w:left="945" w:leftChars="450" w:firstLine="640" w:firstLineChars="200"/>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支出（含车辆购置税）及租用费、燃料费、维修费、过桥过路费、保险费等支出；公务接待费反映单位按规定开支的各类公务接待支出。</w:t>
      </w:r>
    </w:p>
    <w:p>
      <w:pPr>
        <w:widowControl/>
        <w:ind w:left="945" w:leftChars="450"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pPr>
        <w:widowControl/>
        <w:ind w:firstLine="420" w:firstLineChars="200"/>
      </w:pPr>
    </w:p>
    <w:p>
      <w:pPr>
        <w:pStyle w:val="11"/>
        <w:ind w:firstLine="480" w:firstLineChars="150"/>
        <w:rPr>
          <w:rFonts w:ascii="宋体" w:hAnsi="宋体" w:eastAsia="宋体" w:cs="宋体"/>
          <w:sz w:val="32"/>
          <w:szCs w:val="3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0" w:firstLineChars="300"/>
        <w:jc w:val="left"/>
        <w:rPr>
          <w:rFonts w:hint="eastAsia" w:ascii="宋体" w:hAnsi="宋体" w:cs="宋体"/>
          <w:b/>
          <w:bCs/>
          <w:color w:val="000000"/>
          <w:kern w:val="0"/>
          <w:sz w:val="32"/>
          <w:szCs w:val="32"/>
        </w:rPr>
      </w:pPr>
      <w:r>
        <w:rPr>
          <w:rFonts w:hint="eastAsia" w:ascii="宋体" w:hAnsi="宋体" w:cs="宋体"/>
          <w:b/>
          <w:bCs/>
          <w:color w:val="000000"/>
          <w:kern w:val="0"/>
          <w:sz w:val="32"/>
          <w:szCs w:val="32"/>
          <w:lang w:eastAsia="zh-CN"/>
        </w:rPr>
        <w:t>2022年</w:t>
      </w:r>
      <w:r>
        <w:rPr>
          <w:rFonts w:hint="eastAsia" w:ascii="宋体" w:hAnsi="宋体" w:cs="宋体"/>
          <w:b/>
          <w:bCs/>
          <w:color w:val="000000"/>
          <w:kern w:val="0"/>
          <w:sz w:val="32"/>
          <w:szCs w:val="32"/>
        </w:rPr>
        <w:t>度部门整体支出绩效评价报告</w:t>
      </w:r>
    </w:p>
    <w:tbl>
      <w:tblPr>
        <w:tblStyle w:val="7"/>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2427"/>
        <w:gridCol w:w="5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restart"/>
            <w:noWrap w:val="0"/>
            <w:vAlign w:val="center"/>
          </w:tcPr>
          <w:p>
            <w:pPr>
              <w:spacing w:line="576" w:lineRule="exact"/>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部门 概况</w:t>
            </w:r>
          </w:p>
        </w:tc>
        <w:tc>
          <w:tcPr>
            <w:tcW w:w="2427"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单位名称</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湘潭县石潭镇人民政府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pPr>
              <w:spacing w:line="576" w:lineRule="exact"/>
              <w:jc w:val="center"/>
              <w:rPr>
                <w:rFonts w:hint="eastAsia" w:ascii="宋体" w:hAnsi="宋体" w:eastAsia="方正仿宋_GBK" w:cs="Times New Roman"/>
                <w:kern w:val="2"/>
                <w:sz w:val="28"/>
                <w:szCs w:val="28"/>
                <w:lang w:val="en-US" w:eastAsia="zh-CN" w:bidi="ar-SA"/>
              </w:rPr>
            </w:pPr>
          </w:p>
        </w:tc>
        <w:tc>
          <w:tcPr>
            <w:tcW w:w="2427"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年度预算金额</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6165万元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pPr>
              <w:spacing w:line="576" w:lineRule="exact"/>
              <w:jc w:val="center"/>
              <w:rPr>
                <w:rFonts w:hint="eastAsia" w:ascii="宋体" w:hAnsi="宋体" w:eastAsia="方正仿宋_GBK" w:cs="Times New Roman"/>
                <w:kern w:val="2"/>
                <w:sz w:val="28"/>
                <w:szCs w:val="28"/>
                <w:lang w:val="en-US" w:eastAsia="zh-CN" w:bidi="ar-SA"/>
              </w:rPr>
            </w:pPr>
          </w:p>
        </w:tc>
        <w:tc>
          <w:tcPr>
            <w:tcW w:w="2427"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主管部门</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pPr>
              <w:spacing w:line="576" w:lineRule="exact"/>
              <w:jc w:val="center"/>
              <w:rPr>
                <w:rFonts w:hint="eastAsia" w:ascii="宋体" w:hAnsi="宋体" w:eastAsia="方正仿宋_GBK" w:cs="Times New Roman"/>
                <w:kern w:val="2"/>
                <w:sz w:val="28"/>
                <w:szCs w:val="28"/>
                <w:lang w:val="en-US" w:eastAsia="zh-CN" w:bidi="ar-SA"/>
              </w:rPr>
            </w:pPr>
          </w:p>
        </w:tc>
        <w:tc>
          <w:tcPr>
            <w:tcW w:w="2427" w:type="dxa"/>
            <w:noWrap w:val="0"/>
            <w:vAlign w:val="center"/>
          </w:tcPr>
          <w:p>
            <w:pPr>
              <w:spacing w:line="576" w:lineRule="exact"/>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单位基本职能</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宋体" w:cs="宋体"/>
                <w:i w:val="0"/>
                <w:iCs w:val="0"/>
                <w:caps w:val="0"/>
                <w:color w:val="333333"/>
                <w:spacing w:val="0"/>
                <w:sz w:val="24"/>
                <w:szCs w:val="24"/>
                <w:shd w:val="clear" w:color="auto" w:fill="FFFFFF"/>
              </w:rPr>
              <w:t>1、贯</w:t>
            </w:r>
            <w:r>
              <w:rPr>
                <w:rFonts w:hint="eastAsia" w:ascii="宋体" w:hAnsi="宋体" w:eastAsia="方正仿宋_GBK" w:cs="Times New Roman"/>
                <w:kern w:val="2"/>
                <w:sz w:val="28"/>
                <w:szCs w:val="28"/>
                <w:lang w:val="en-US" w:eastAsia="zh-CN" w:bidi="ar-SA"/>
              </w:rPr>
              <w:t>彻执行党的路线、方针、政策和国家的各项法律、法规；负责镇辖区内地区性、群众性、公益性、社会性工作。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2、负责精神文明建设工作，积极组织以提高民众素质为目的的活动，树立文明新风。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3、按照职责范围，负责镇辖区内的建设和管理、环境卫生、环境保护等监督、管理、服务工作。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4、负责镇辖区内的维护稳定及社会治安综合治理工作，依照有关规定做好出租屋和外来暂住人员的管理工作；负责民事调解，法律服务工作，维护居民的合法权益。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5、负责村（社区、居委会）的建设和管理，积极开展镇区服务工作，大力兴办福利企业，发动和组织镇区成员开展各类公益活动；负责拥军优属、优抚安置、社会救济、社会福利、社区文化、科普、体育、教育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right="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6、发展镇区经济，为镇区经济组织提供人才、科技、信息和各类服务，以经济、法律和必要的行政手段推动镇区经济发展和维护市场经济秩序。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7、负责计划生育、劳动就业、安全生产管理、初级卫生保健、民兵、兵役、侨务等工作。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8、指导和帮助村（居）民委员会搞好组织建设和制度建设，发挥基层群众自治组织作用。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9、配合有关部门做好房屋拆迁、防汛、防风、防火、动物防疫、防震、防灾和抢险工作。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10、向县人民政府反映居民群众的意见和要求，办理人民群众来信来访事项。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11、负责辖区内普法教育工作，维护老人、妇女儿童的合法权益。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12、负责辖区内安全生产和消防工作的指导、监督。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13、会同有关部门做好辖区内的企业服务、在地统计工作。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宋体" w:cs="宋体"/>
                <w:i w:val="0"/>
                <w:iCs w:val="0"/>
                <w:caps w:val="0"/>
                <w:color w:val="333333"/>
                <w:spacing w:val="0"/>
                <w:sz w:val="24"/>
                <w:szCs w:val="24"/>
                <w:shd w:val="clear" w:color="auto" w:fill="FFFFFF"/>
              </w:rPr>
              <w:t>1</w:t>
            </w:r>
            <w:r>
              <w:rPr>
                <w:rFonts w:hint="eastAsia" w:ascii="宋体" w:hAnsi="宋体" w:eastAsia="方正仿宋_GBK" w:cs="Times New Roman"/>
                <w:kern w:val="2"/>
                <w:sz w:val="28"/>
                <w:szCs w:val="28"/>
                <w:lang w:val="en-US" w:eastAsia="zh-CN" w:bidi="ar-SA"/>
              </w:rPr>
              <w:t>4、承办上级部门交办的其他事项。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117" w:type="dxa"/>
            <w:vMerge w:val="restart"/>
            <w:noWrap w:val="0"/>
            <w:vAlign w:val="center"/>
          </w:tcPr>
          <w:p>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绩效完成情况</w:t>
            </w:r>
          </w:p>
        </w:tc>
        <w:tc>
          <w:tcPr>
            <w:tcW w:w="2427" w:type="dxa"/>
            <w:noWrap w:val="0"/>
            <w:vAlign w:val="center"/>
          </w:tcPr>
          <w:p>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部门整体支出管理和使用基本情况</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认真贯彻执行《会计法》、《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2022年部门整体支出5107万元，其中：工资福利支出2709万元、商品和服务支出1695万元、对个人和家庭的补助272万元、资本性支出 370万元、对企业补助61万元。该支出中其中：基本支出4304万元，项目支出803万元，当年无结余。“三公”经费支出0万元。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117" w:type="dxa"/>
            <w:vMerge w:val="continue"/>
            <w:noWrap w:val="0"/>
            <w:vAlign w:val="top"/>
          </w:tcPr>
          <w:p>
            <w:pPr>
              <w:spacing w:line="576" w:lineRule="exact"/>
              <w:jc w:val="center"/>
              <w:rPr>
                <w:rFonts w:hint="eastAsia" w:ascii="仿宋_GB2312" w:hAnsi="仿宋_GB2312" w:eastAsia="仿宋_GB2312" w:cs="仿宋_GB2312"/>
                <w:sz w:val="30"/>
                <w:szCs w:val="30"/>
              </w:rPr>
            </w:pPr>
          </w:p>
        </w:tc>
        <w:tc>
          <w:tcPr>
            <w:tcW w:w="2427" w:type="dxa"/>
            <w:noWrap w:val="0"/>
            <w:vAlign w:val="center"/>
          </w:tcPr>
          <w:p>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绩效目标完成情况</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 xml:space="preserve">  2022年，在县委、县政府的坚强领导下，全镇上下坚持以习近平新时代中国特色社会主义思想为指导，深入学习贯彻党的二十大精神，认真落实“疫情要防住、经济要稳住、发展要安全”总体要求，紧扣县委“三提一领”发展目标，发扬“三牛”精神、弘扬“四干”作风，紧紧围绕我镇“基础教育强镇、红色连接纽带”发展定位，负重前行、迎难而上，圆满完成了各项目标任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bookmarkStart w:id="2" w:name="_Toc18018"/>
            <w:bookmarkStart w:id="3" w:name="_Toc23842"/>
            <w:bookmarkStart w:id="4" w:name="_Toc29277"/>
            <w:bookmarkStart w:id="5" w:name="_Toc21996"/>
            <w:bookmarkStart w:id="6" w:name="_Toc32544"/>
            <w:r>
              <w:rPr>
                <w:rFonts w:hint="eastAsia" w:ascii="宋体" w:hAnsi="宋体" w:eastAsia="方正仿宋_GBK" w:cs="Times New Roman"/>
                <w:kern w:val="2"/>
                <w:sz w:val="28"/>
                <w:szCs w:val="28"/>
                <w:lang w:val="en-US" w:eastAsia="zh-CN" w:bidi="ar-SA"/>
              </w:rPr>
              <w:t>1、抓责任、强担当，压实党建主体责任。坚持把党建工作摆在首要位置，从严开好“党史学习教育”专题民主生活会，不断巩固拓展党史学习教育成果。把学习贯彻习近平新时代中国特色社会主义思想作为党委会议“第一议题”、党委理论学习中心组学习和党员干部教育培训“第一主题”，教育引导党员干部补足精神之钙。全面加强基层组织建设。通过逐村自查、镇级研判、分类施策，有序推进村级党组织整建提质。组织党风廉政建设学习，注重强化日常监督，持续正风肃纪，坚决纠治“四风”，推动思想大解放、精神大提振、能力大提升，构建良好政治生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2、抓项目、促招商，经济运行平稳向好。</w:t>
            </w:r>
            <w:bookmarkEnd w:id="2"/>
            <w:bookmarkEnd w:id="3"/>
            <w:bookmarkEnd w:id="4"/>
            <w:bookmarkStart w:id="7" w:name="_Toc21959"/>
            <w:bookmarkStart w:id="8" w:name="_Toc32091"/>
            <w:bookmarkStart w:id="9" w:name="_Toc16942"/>
            <w:r>
              <w:rPr>
                <w:rFonts w:hint="eastAsia" w:ascii="宋体" w:hAnsi="宋体" w:eastAsia="方正仿宋_GBK" w:cs="Times New Roman"/>
                <w:kern w:val="2"/>
                <w:sz w:val="28"/>
                <w:szCs w:val="28"/>
                <w:lang w:val="en-US" w:eastAsia="zh-CN" w:bidi="ar-SA"/>
              </w:rPr>
              <w:t>全年完成税收1343万元，工业固定资产投资4.17亿元，规模工业总产值2.2亿元，总体表现稳中向好。全年完成招商引资项目6个，投资1.5亿，资金已全部到位。滴水生态、好顺来商贸、石潭综合商贸服务中心、渔光互补等重点项目加快推进。全镇现有规企6家，新申报入规企业3家。“百十亿工程”初见成效，培育制造业主体5家，发展新型经营主体89家，打造省级示范性家庭农场2个、市级示范性家庭农场1个、市级示范性合作社1个、县级示范性家庭农场1个，该项工作2022年一季度列同级（工业和综合发展类）乡镇第二名，二季度排名第一。扎实开展“送政策、解难题、优服务”行动，帮助解决企业融资困难2个，调解企业周边矛盾纠纷2起，解决其他急难愁盼问题5个。</w:t>
            </w:r>
            <w:bookmarkEnd w:id="7"/>
            <w:bookmarkEnd w:id="8"/>
          </w:p>
          <w:bookmarkEnd w:id="5"/>
          <w:bookmarkEnd w:id="6"/>
          <w:bookmarkEnd w:id="9"/>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bookmarkStart w:id="10" w:name="_Toc1908"/>
            <w:bookmarkStart w:id="11" w:name="_Toc14018"/>
            <w:r>
              <w:rPr>
                <w:rFonts w:hint="eastAsia" w:ascii="宋体" w:hAnsi="宋体" w:eastAsia="方正仿宋_GBK" w:cs="Times New Roman"/>
                <w:kern w:val="2"/>
                <w:sz w:val="28"/>
                <w:szCs w:val="28"/>
                <w:lang w:val="en-US" w:eastAsia="zh-CN" w:bidi="ar-SA"/>
              </w:rPr>
              <w:t>3、重实效、出实招，</w:t>
            </w:r>
            <w:r>
              <w:rPr>
                <w:rFonts w:hint="eastAsia" w:ascii="宋体" w:hAnsi="宋体" w:eastAsia="方正仿宋_GBK" w:cs="Times New Roman"/>
                <w:kern w:val="2"/>
                <w:sz w:val="28"/>
                <w:szCs w:val="28"/>
                <w:lang w:val="en-US" w:eastAsia="zh-Hans" w:bidi="ar-SA"/>
              </w:rPr>
              <w:t>乡村振兴</w:t>
            </w:r>
            <w:bookmarkEnd w:id="10"/>
            <w:r>
              <w:rPr>
                <w:rFonts w:hint="eastAsia" w:ascii="宋体" w:hAnsi="宋体" w:eastAsia="方正仿宋_GBK" w:cs="Times New Roman"/>
                <w:kern w:val="2"/>
                <w:sz w:val="28"/>
                <w:szCs w:val="28"/>
                <w:lang w:val="en-US" w:eastAsia="zh-CN" w:bidi="ar-SA"/>
              </w:rPr>
              <w:t>全面推进。</w:t>
            </w:r>
            <w:bookmarkEnd w:id="11"/>
            <w:bookmarkStart w:id="12" w:name="_Toc19981"/>
            <w:bookmarkStart w:id="13" w:name="_Toc11842"/>
            <w:r>
              <w:rPr>
                <w:rFonts w:hint="eastAsia" w:ascii="宋体" w:hAnsi="宋体" w:eastAsia="方正仿宋_GBK" w:cs="Times New Roman"/>
                <w:kern w:val="2"/>
                <w:sz w:val="28"/>
                <w:szCs w:val="28"/>
                <w:lang w:val="en-US" w:eastAsia="zh-CN" w:bidi="ar-SA"/>
              </w:rPr>
              <w:t>积极应对今年前涝后旱的极端天气，紧紧围绕“两稳两提”目标，发挥新型农业主体主力军作用，创新“六统一分 村社共建”同庆模式，同步打造以古城片区为核心的省级绿色高效万亩示范片，承办全市“三夏”生产、耕地抛荒治理暨全面推广。全年完成粮食播种12.66万亩，其中水稻播种12.45万亩，双季稻11.21万亩，三项指标均居全县之首，粮食稳产5.8万吨。全镇现有养殖场1589个，存栏生猪8.5万头，年利润达9250余万元，存笼家禽35.5万羽，出产水产2270吨，实现企业发展、农户获利和产业发展三赢目标。</w:t>
            </w:r>
            <w:r>
              <w:rPr>
                <w:rFonts w:hint="default" w:ascii="宋体" w:hAnsi="宋体" w:eastAsia="方正仿宋_GBK" w:cs="Times New Roman"/>
                <w:kern w:val="2"/>
                <w:sz w:val="28"/>
                <w:szCs w:val="28"/>
                <w:lang w:val="en-US" w:eastAsia="zh-CN" w:bidi="ar-SA"/>
              </w:rPr>
              <w:t>实施“入账”工程</w:t>
            </w:r>
            <w:r>
              <w:rPr>
                <w:rFonts w:hint="eastAsia" w:ascii="宋体" w:hAnsi="宋体" w:eastAsia="方正仿宋_GBK" w:cs="Times New Roman"/>
                <w:kern w:val="2"/>
                <w:sz w:val="28"/>
                <w:szCs w:val="28"/>
                <w:lang w:val="en-US" w:eastAsia="zh-CN" w:bidi="ar-SA"/>
              </w:rPr>
              <w:t>，</w:t>
            </w:r>
            <w:r>
              <w:rPr>
                <w:rFonts w:hint="default" w:ascii="宋体" w:hAnsi="宋体" w:eastAsia="方正仿宋_GBK" w:cs="Times New Roman"/>
                <w:kern w:val="2"/>
                <w:sz w:val="28"/>
                <w:szCs w:val="28"/>
                <w:lang w:val="en-US" w:eastAsia="zh-CN" w:bidi="ar-SA"/>
              </w:rPr>
              <w:t>拓宽集体经济发展新思路，</w:t>
            </w:r>
            <w:r>
              <w:rPr>
                <w:rFonts w:hint="eastAsia" w:ascii="宋体" w:hAnsi="宋体" w:eastAsia="方正仿宋_GBK" w:cs="Times New Roman"/>
                <w:kern w:val="2"/>
                <w:sz w:val="28"/>
                <w:szCs w:val="28"/>
                <w:lang w:val="en-US" w:eastAsia="zh-CN" w:bidi="ar-SA"/>
              </w:rPr>
              <w:t>规范</w:t>
            </w:r>
            <w:r>
              <w:rPr>
                <w:rFonts w:hint="default" w:ascii="宋体" w:hAnsi="宋体" w:eastAsia="方正仿宋_GBK" w:cs="Times New Roman"/>
                <w:kern w:val="2"/>
                <w:sz w:val="28"/>
                <w:szCs w:val="28"/>
                <w:lang w:val="en-US" w:eastAsia="zh-CN" w:bidi="ar-SA"/>
              </w:rPr>
              <w:t>村集体经济的收支</w:t>
            </w:r>
            <w:r>
              <w:rPr>
                <w:rFonts w:hint="eastAsia" w:ascii="宋体" w:hAnsi="宋体" w:eastAsia="方正仿宋_GBK" w:cs="Times New Roman"/>
                <w:kern w:val="2"/>
                <w:sz w:val="28"/>
                <w:szCs w:val="28"/>
                <w:lang w:val="en-US" w:eastAsia="zh-CN" w:bidi="ar-SA"/>
              </w:rPr>
              <w:t>；把握乡村振兴新动向，构建村民、村集体、供销合作社“经济利益主体”，成立村级供销合作社2个，总营业额达150万元，直接带动农户520户，解决就业80人。实现脱贫户增收、村级集体经济创收和主体建立稳定种粮基地的多赢局面。</w:t>
            </w:r>
            <w:bookmarkEnd w:id="12"/>
            <w:bookmarkEnd w:id="13"/>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bookmarkStart w:id="14" w:name="_Toc18132"/>
            <w:bookmarkStart w:id="15" w:name="_Toc7979"/>
            <w:r>
              <w:rPr>
                <w:rFonts w:hint="eastAsia" w:ascii="宋体" w:hAnsi="宋体" w:eastAsia="方正仿宋_GBK" w:cs="Times New Roman"/>
                <w:kern w:val="2"/>
                <w:sz w:val="28"/>
                <w:szCs w:val="28"/>
                <w:lang w:val="en-US" w:eastAsia="zh-CN" w:bidi="ar-SA"/>
              </w:rPr>
              <w:t>4、解难题、保安定，基层治理卓有成效</w:t>
            </w:r>
            <w:bookmarkEnd w:id="14"/>
            <w:bookmarkEnd w:id="15"/>
            <w:r>
              <w:rPr>
                <w:rFonts w:hint="eastAsia" w:ascii="宋体" w:hAnsi="宋体" w:eastAsia="方正仿宋_GBK" w:cs="Times New Roman"/>
                <w:kern w:val="2"/>
                <w:sz w:val="28"/>
                <w:szCs w:val="28"/>
                <w:lang w:val="en-US" w:eastAsia="zh-CN" w:bidi="ar-SA"/>
              </w:rPr>
              <w:t>。扎实开展“面对面解难题、心连心走基层”活动，强化矛盾纠纷排查化解，做到小事不出村、大事不出镇、问题不激化、矛盾不上交。围绕“减存量、控增量”目标，强化</w:t>
            </w:r>
            <w:r>
              <w:rPr>
                <w:rFonts w:hint="eastAsia" w:ascii="宋体" w:hAnsi="宋体" w:eastAsia="方正仿宋_GBK" w:cs="Times New Roman"/>
                <w:kern w:val="2"/>
                <w:sz w:val="28"/>
                <w:szCs w:val="28"/>
                <w:lang w:val="en-US" w:eastAsia="zh-Hans" w:bidi="ar-SA"/>
              </w:rPr>
              <w:t>信访</w:t>
            </w:r>
            <w:r>
              <w:rPr>
                <w:rFonts w:hint="eastAsia" w:ascii="宋体" w:hAnsi="宋体" w:eastAsia="方正仿宋_GBK" w:cs="Times New Roman"/>
                <w:kern w:val="2"/>
                <w:sz w:val="28"/>
                <w:szCs w:val="28"/>
                <w:lang w:val="en-US" w:eastAsia="zh-CN" w:bidi="ar-SA"/>
              </w:rPr>
              <w:t>源头预防，接待群众来访280人次，网上结案率达100%，全年未发生重大集体上访、越级上访问题。2022年度公众安全感民意调查排名全县第4、全市第21。建立镇应急救援总指挥部、专项应急指挥部，全年开展联合执法450余次，立案21起，查处交通违法行为310余次，严厉打击违法犯罪行为。深入扎实开展“敲门行动”“上路行动”，动员全体镇村干部参与隐患排查，累计排查村组道路风险隐患158处，采取紧急措施3处，稳妥处置涟水河石潭堤滑坡险情，拆除空心房17栋、违规加层构筑物2处，有效保障群众住房安全。成功调解重点矛盾25起，有偿服务的环卫治理深入人心，村民群众安全感、幸福感显著提升。准确把握疫情防控的阶段性变化</w:t>
            </w:r>
            <w:r>
              <w:rPr>
                <w:rFonts w:hint="eastAsia" w:ascii="宋体" w:hAnsi="宋体" w:eastAsia="方正仿宋_GBK" w:cs="Times New Roman"/>
                <w:kern w:val="2"/>
                <w:sz w:val="28"/>
                <w:szCs w:val="28"/>
                <w:lang w:val="en-US" w:eastAsia="zh-Hans" w:bidi="ar-SA"/>
              </w:rPr>
              <w:t>，扎实做好核酸检测、人员管控、物资储备、疫苗接种等防控工作，</w:t>
            </w:r>
            <w:r>
              <w:rPr>
                <w:rFonts w:hint="eastAsia" w:ascii="宋体" w:hAnsi="宋体" w:eastAsia="方正仿宋_GBK" w:cs="Times New Roman"/>
                <w:kern w:val="2"/>
                <w:sz w:val="28"/>
                <w:szCs w:val="28"/>
                <w:lang w:val="en-US" w:eastAsia="zh-CN" w:bidi="ar-SA"/>
              </w:rPr>
              <w:t>交出了“零感染、零传播、零扩散”的优异答卷。大力压缩一般性支出，严格规范镇村两级财务，严控政府债务风险和财政风险；深入开展禁毒、反恐、反电诈、反洗钱宣传，严厉打击非法集资、金融诈骗等违法活动。坚决打好污染防治攻坚战，持续落实河长制、林长制，严厉打击燃烧垃圾秸秆等行为，持续开展非法采砂洗沙专项行动和一二级饮用水源保护区禁捕禁钓工作，处理蓝天保卫战交办问题8起，下达责令改正文书4份</w:t>
            </w:r>
            <w:r>
              <w:rPr>
                <w:rFonts w:hint="eastAsia" w:ascii="宋体" w:hAnsi="宋体" w:eastAsia="方正仿宋_GBK" w:cs="Times New Roman"/>
                <w:kern w:val="2"/>
                <w:sz w:val="28"/>
                <w:szCs w:val="28"/>
                <w:lang w:val="en-US" w:eastAsia="zh-Hans" w:bidi="ar-SA"/>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bookmarkStart w:id="16" w:name="_Toc20540"/>
            <w:bookmarkStart w:id="17" w:name="_Toc346"/>
            <w:r>
              <w:rPr>
                <w:rFonts w:hint="eastAsia" w:ascii="宋体" w:hAnsi="宋体" w:eastAsia="方正仿宋_GBK" w:cs="Times New Roman"/>
                <w:kern w:val="2"/>
                <w:sz w:val="28"/>
                <w:szCs w:val="28"/>
                <w:lang w:val="en-US" w:eastAsia="zh-CN" w:bidi="ar-SA"/>
              </w:rPr>
              <w:t>5、补短板、兜底线，民生福祉不断改善</w:t>
            </w:r>
            <w:bookmarkEnd w:id="16"/>
            <w:bookmarkEnd w:id="17"/>
            <w:r>
              <w:rPr>
                <w:rFonts w:hint="eastAsia" w:ascii="宋体" w:hAnsi="宋体" w:eastAsia="方正仿宋_GBK" w:cs="Times New Roman"/>
                <w:kern w:val="2"/>
                <w:sz w:val="28"/>
                <w:szCs w:val="28"/>
                <w:lang w:val="en-US" w:eastAsia="zh-Hans" w:bidi="ar-SA"/>
              </w:rPr>
              <w:t>。</w:t>
            </w:r>
            <w:r>
              <w:rPr>
                <w:rFonts w:hint="eastAsia" w:ascii="宋体" w:hAnsi="宋体" w:eastAsia="方正仿宋_GBK" w:cs="Times New Roman"/>
                <w:kern w:val="2"/>
                <w:sz w:val="28"/>
                <w:szCs w:val="28"/>
                <w:lang w:val="en-US" w:eastAsia="zh-CN" w:bidi="ar-SA"/>
              </w:rPr>
              <w:t>争取涵洞连接便道2.5公里，建设农村公路安防设施29.627公里。开展11处移民项目建设，争取中央水利救灾资金55万元用于农村饮水工程恢复、小水源工程抗旱能力修复和提升；争取上级资金35万元推进小水源建设及其他乡村振兴衔接水利薄弱环节治理。</w:t>
            </w:r>
            <w:r>
              <w:rPr>
                <w:rFonts w:hint="eastAsia" w:ascii="宋体" w:hAnsi="宋体" w:eastAsia="方正仿宋_GBK" w:cs="Times New Roman"/>
                <w:kern w:val="2"/>
                <w:sz w:val="28"/>
                <w:szCs w:val="28"/>
                <w:lang w:val="en-US" w:eastAsia="zh-Hans" w:bidi="ar-SA"/>
              </w:rPr>
              <w:t>强化困难群体和特殊群体的基本生活救助，农村低保740户1428人，城镇低保49户71人，特困供养对象395人生活补贴均按时足额发放到位。持续推进</w:t>
            </w:r>
            <w:r>
              <w:rPr>
                <w:rFonts w:hint="eastAsia" w:ascii="宋体" w:hAnsi="宋体" w:eastAsia="方正仿宋_GBK" w:cs="Times New Roman"/>
                <w:kern w:val="2"/>
                <w:sz w:val="28"/>
                <w:szCs w:val="28"/>
                <w:lang w:val="en-US" w:eastAsia="zh-CN" w:bidi="ar-SA"/>
              </w:rPr>
              <w:t>城乡居民养老保险全覆盖</w:t>
            </w:r>
            <w:r>
              <w:rPr>
                <w:rFonts w:hint="eastAsia" w:ascii="宋体" w:hAnsi="宋体" w:eastAsia="方正仿宋_GBK" w:cs="Times New Roman"/>
                <w:kern w:val="2"/>
                <w:sz w:val="28"/>
                <w:szCs w:val="28"/>
                <w:lang w:val="en-US" w:eastAsia="zh-Hans" w:bidi="ar-SA"/>
              </w:rPr>
              <w:t>，居民医保参保完成征缴任务</w:t>
            </w:r>
            <w:r>
              <w:rPr>
                <w:rFonts w:hint="eastAsia" w:ascii="宋体" w:hAnsi="宋体" w:eastAsia="方正仿宋_GBK" w:cs="Times New Roman"/>
                <w:kern w:val="2"/>
                <w:sz w:val="28"/>
                <w:szCs w:val="28"/>
                <w:lang w:val="en-US" w:eastAsia="zh-CN" w:bidi="ar-SA"/>
              </w:rPr>
              <w:t>95%</w:t>
            </w:r>
            <w:r>
              <w:rPr>
                <w:rFonts w:hint="eastAsia" w:ascii="宋体" w:hAnsi="宋体" w:eastAsia="方正仿宋_GBK" w:cs="Times New Roman"/>
                <w:kern w:val="2"/>
                <w:sz w:val="28"/>
                <w:szCs w:val="28"/>
                <w:lang w:val="en-US" w:eastAsia="zh-Hans" w:bidi="ar-SA"/>
              </w:rPr>
              <w:t>。实现</w:t>
            </w:r>
            <w:r>
              <w:rPr>
                <w:rFonts w:hint="eastAsia" w:ascii="宋体" w:hAnsi="宋体" w:eastAsia="方正仿宋_GBK" w:cs="Times New Roman"/>
                <w:kern w:val="2"/>
                <w:sz w:val="28"/>
                <w:szCs w:val="28"/>
                <w:lang w:val="en-US" w:eastAsia="zh-CN" w:bidi="ar-SA"/>
              </w:rPr>
              <w:t>农村劳动力新增转移就业390人，城镇新增就业311人，失业人员再就业152人。</w:t>
            </w:r>
            <w:r>
              <w:rPr>
                <w:rFonts w:hint="eastAsia" w:ascii="宋体" w:hAnsi="宋体" w:eastAsia="方正仿宋_GBK" w:cs="Times New Roman"/>
                <w:kern w:val="2"/>
                <w:sz w:val="28"/>
                <w:szCs w:val="28"/>
                <w:lang w:val="en-US" w:eastAsia="zh-Hans" w:bidi="ar-SA"/>
              </w:rPr>
              <w:t>开发脱贫户、监测户公益性岗位36个，3个就业帮扶车间带动脱贫劳动力21人稳定增收</w:t>
            </w:r>
            <w:r>
              <w:rPr>
                <w:rFonts w:hint="eastAsia" w:ascii="宋体" w:hAnsi="宋体" w:eastAsia="方正仿宋_GBK" w:cs="Times New Roman"/>
                <w:kern w:val="2"/>
                <w:sz w:val="28"/>
                <w:szCs w:val="28"/>
                <w:lang w:val="en-US" w:eastAsia="zh-CN" w:bidi="ar-SA"/>
              </w:rPr>
              <w:t>。全面推进</w:t>
            </w:r>
            <w:r>
              <w:rPr>
                <w:rFonts w:hint="eastAsia" w:ascii="宋体" w:hAnsi="宋体" w:eastAsia="方正仿宋_GBK" w:cs="Times New Roman"/>
                <w:kern w:val="2"/>
                <w:sz w:val="28"/>
                <w:szCs w:val="28"/>
                <w:lang w:val="en-US" w:eastAsia="zh-Hans" w:bidi="ar-SA"/>
              </w:rPr>
              <w:t>殡葬改革，</w:t>
            </w:r>
            <w:r>
              <w:rPr>
                <w:rFonts w:hint="eastAsia" w:ascii="宋体" w:hAnsi="宋体" w:eastAsia="方正仿宋_GBK" w:cs="Times New Roman"/>
                <w:kern w:val="2"/>
                <w:sz w:val="28"/>
                <w:szCs w:val="28"/>
                <w:lang w:val="en-US" w:eastAsia="zh-CN" w:bidi="ar-SA"/>
              </w:rPr>
              <w:t>新合村公益性公墓</w:t>
            </w:r>
            <w:r>
              <w:rPr>
                <w:rFonts w:hint="eastAsia" w:ascii="宋体" w:hAnsi="宋体" w:eastAsia="方正仿宋_GBK" w:cs="Times New Roman"/>
                <w:kern w:val="2"/>
                <w:sz w:val="28"/>
                <w:szCs w:val="28"/>
                <w:lang w:val="en-US" w:eastAsia="zh-Hans" w:bidi="ar-SA"/>
              </w:rPr>
              <w:t>投入运营</w:t>
            </w:r>
            <w:r>
              <w:rPr>
                <w:rFonts w:hint="eastAsia" w:ascii="宋体" w:hAnsi="宋体" w:eastAsia="方正仿宋_GBK" w:cs="Times New Roman"/>
                <w:kern w:val="2"/>
                <w:sz w:val="28"/>
                <w:szCs w:val="28"/>
                <w:lang w:val="en-US" w:eastAsia="zh-CN" w:bidi="ar-SA"/>
              </w:rPr>
              <w:t>，全年评选最美家庭2户，打造“四星”美丽庭院48户。深入推进农村人居环境整治“百日行动”</w:t>
            </w:r>
            <w:r>
              <w:rPr>
                <w:rFonts w:hint="eastAsia" w:ascii="宋体" w:hAnsi="宋体" w:eastAsia="方正仿宋_GBK" w:cs="Times New Roman"/>
                <w:kern w:val="2"/>
                <w:sz w:val="28"/>
                <w:szCs w:val="28"/>
                <w:lang w:val="en-US" w:eastAsia="zh-Hans" w:bidi="ar-SA"/>
              </w:rPr>
              <w:t>，垃圾处理“户分类、村收集、</w:t>
            </w:r>
            <w:r>
              <w:rPr>
                <w:rFonts w:hint="eastAsia" w:ascii="宋体" w:hAnsi="宋体" w:eastAsia="方正仿宋_GBK" w:cs="Times New Roman"/>
                <w:kern w:val="2"/>
                <w:sz w:val="28"/>
                <w:szCs w:val="28"/>
                <w:lang w:val="en-US" w:eastAsia="zh-CN" w:bidi="ar-SA"/>
              </w:rPr>
              <w:t>镇</w:t>
            </w:r>
            <w:r>
              <w:rPr>
                <w:rFonts w:hint="eastAsia" w:ascii="宋体" w:hAnsi="宋体" w:eastAsia="方正仿宋_GBK" w:cs="Times New Roman"/>
                <w:kern w:val="2"/>
                <w:sz w:val="28"/>
                <w:szCs w:val="28"/>
                <w:lang w:val="en-US" w:eastAsia="zh-Hans" w:bidi="ar-SA"/>
              </w:rPr>
              <w:t>转运、县处理”模式全覆盖</w:t>
            </w:r>
            <w:r>
              <w:rPr>
                <w:rFonts w:hint="eastAsia" w:ascii="宋体" w:hAnsi="宋体" w:eastAsia="方正仿宋_GBK" w:cs="Times New Roman"/>
                <w:kern w:val="2"/>
                <w:sz w:val="28"/>
                <w:szCs w:val="28"/>
                <w:lang w:val="en-US" w:eastAsia="zh-CN" w:bidi="ar-SA"/>
              </w:rPr>
              <w:t>，全年</w:t>
            </w:r>
            <w:r>
              <w:rPr>
                <w:rFonts w:hint="eastAsia" w:ascii="宋体" w:hAnsi="宋体" w:eastAsia="方正仿宋_GBK" w:cs="Times New Roman"/>
                <w:kern w:val="2"/>
                <w:sz w:val="28"/>
                <w:szCs w:val="28"/>
                <w:lang w:val="en-US" w:eastAsia="zh-Hans" w:bidi="ar-SA"/>
              </w:rPr>
              <w:t>收缴农村生活垃圾</w:t>
            </w:r>
            <w:r>
              <w:rPr>
                <w:rFonts w:hint="eastAsia" w:ascii="宋体" w:hAnsi="宋体" w:eastAsia="方正仿宋_GBK" w:cs="Times New Roman"/>
                <w:kern w:val="2"/>
                <w:sz w:val="28"/>
                <w:szCs w:val="28"/>
                <w:lang w:val="en-US" w:eastAsia="zh-CN" w:bidi="ar-SA"/>
              </w:rPr>
              <w:t>付费制资金195万，镇容村貌大为改观。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117" w:type="dxa"/>
            <w:vMerge w:val="restart"/>
            <w:noWrap w:val="0"/>
            <w:vAlign w:val="center"/>
          </w:tcPr>
          <w:p>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存在的问题分析及改进措施</w:t>
            </w:r>
          </w:p>
        </w:tc>
        <w:tc>
          <w:tcPr>
            <w:tcW w:w="2427" w:type="dxa"/>
            <w:noWrap w:val="0"/>
            <w:vAlign w:val="center"/>
          </w:tcPr>
          <w:p>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存在的问题</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1、经济发展比较缓慢。速度不快、质量不高、产业结构不优，项目建设和招商引资方面仍有差距；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2、财政收支矛盾突出。可用财力增长缺乏，资金缺口较大；</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3、预算编制有待细化。预算编制不够明确和细化，预算编制的合理性需要提高，预算执行力度还要进一步加强。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117" w:type="dxa"/>
            <w:vMerge w:val="continue"/>
            <w:noWrap w:val="0"/>
            <w:vAlign w:val="top"/>
          </w:tcPr>
          <w:p>
            <w:pPr>
              <w:spacing w:line="576" w:lineRule="exact"/>
              <w:jc w:val="center"/>
              <w:rPr>
                <w:rFonts w:hint="eastAsia" w:ascii="仿宋_GB2312" w:hAnsi="仿宋_GB2312" w:eastAsia="仿宋_GB2312" w:cs="仿宋_GB2312"/>
                <w:sz w:val="30"/>
                <w:szCs w:val="30"/>
              </w:rPr>
            </w:pPr>
          </w:p>
        </w:tc>
        <w:tc>
          <w:tcPr>
            <w:tcW w:w="2427" w:type="dxa"/>
            <w:noWrap w:val="0"/>
            <w:vAlign w:val="center"/>
          </w:tcPr>
          <w:p>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改进措施</w:t>
            </w:r>
          </w:p>
        </w:tc>
        <w:tc>
          <w:tcPr>
            <w:tcW w:w="5459"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1、加强财源建设。大力培植财源，不断拓宽资金来源渠道。加大争支争项力度，加快产业、企业集聚，推动经济高质量发展。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 加强资金拨付。积极采取有效措施，落实好直达资金管理要求，确保相关资金直达基层，缓解资金收支矛盾，提高资金的使用效率。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0" w:beforeAutospacing="0" w:after="0" w:afterAutospacing="0" w:line="500" w:lineRule="exact"/>
              <w:ind w:left="0" w:leftChars="0" w:right="0" w:firstLine="42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3、细化预算编制。进一步加强单位内部机构各站所的预算管理意识，严格按照预算编制的相关制度和要求进行预算编制；优先保障固定性的、相对刚性的费用支出项目，尽量压缩变动性的、有控制空间的费用项目，进一步提高预算编制的科学性、严谨性和可控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117" w:type="dxa"/>
            <w:vMerge w:val="continue"/>
            <w:noWrap w:val="0"/>
            <w:vAlign w:val="top"/>
          </w:tcPr>
          <w:p>
            <w:pPr>
              <w:spacing w:line="576" w:lineRule="exact"/>
              <w:jc w:val="center"/>
              <w:rPr>
                <w:rFonts w:hint="eastAsia" w:ascii="仿宋_GB2312" w:hAnsi="仿宋_GB2312" w:eastAsia="仿宋_GB2312" w:cs="仿宋_GB2312"/>
                <w:sz w:val="30"/>
                <w:szCs w:val="30"/>
              </w:rPr>
            </w:pPr>
          </w:p>
        </w:tc>
        <w:tc>
          <w:tcPr>
            <w:tcW w:w="2427" w:type="dxa"/>
            <w:noWrap w:val="0"/>
            <w:vAlign w:val="center"/>
          </w:tcPr>
          <w:p>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其他需要说明问题</w:t>
            </w:r>
          </w:p>
        </w:tc>
        <w:tc>
          <w:tcPr>
            <w:tcW w:w="5459" w:type="dxa"/>
            <w:noWrap w:val="0"/>
            <w:vAlign w:val="center"/>
          </w:tcPr>
          <w:p>
            <w:pPr>
              <w:spacing w:line="576" w:lineRule="exact"/>
              <w:ind w:right="879" w:rightChars="419"/>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无</w:t>
            </w:r>
          </w:p>
        </w:tc>
      </w:tr>
    </w:tbl>
    <w:p>
      <w:pPr>
        <w:widowControl/>
        <w:ind w:firstLine="960" w:firstLineChars="300"/>
        <w:jc w:val="left"/>
        <w:rPr>
          <w:rFonts w:hint="eastAsia" w:ascii="宋体" w:hAnsi="宋体" w:cs="宋体"/>
          <w:b/>
          <w:bCs/>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0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3E551B"/>
    <w:multiLevelType w:val="singleLevel"/>
    <w:tmpl w:val="EA3E551B"/>
    <w:lvl w:ilvl="0" w:tentative="0">
      <w:start w:val="6"/>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1146"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gwMDIyN2I0OTg5MjlmNjVhZDk0MjcyYmFlNWFlMGIifQ=="/>
  </w:docVars>
  <w:rsids>
    <w:rsidRoot w:val="004506F9"/>
    <w:rsid w:val="000160F0"/>
    <w:rsid w:val="00016A6A"/>
    <w:rsid w:val="0002229B"/>
    <w:rsid w:val="000273BD"/>
    <w:rsid w:val="000415B7"/>
    <w:rsid w:val="00041E3F"/>
    <w:rsid w:val="0004519D"/>
    <w:rsid w:val="00055DAA"/>
    <w:rsid w:val="00061F7B"/>
    <w:rsid w:val="000644F8"/>
    <w:rsid w:val="00064B58"/>
    <w:rsid w:val="000658A3"/>
    <w:rsid w:val="0007342B"/>
    <w:rsid w:val="00074155"/>
    <w:rsid w:val="000761BE"/>
    <w:rsid w:val="000969EB"/>
    <w:rsid w:val="0009768C"/>
    <w:rsid w:val="000A3F69"/>
    <w:rsid w:val="000B1FA6"/>
    <w:rsid w:val="000B53E4"/>
    <w:rsid w:val="000C357B"/>
    <w:rsid w:val="000E0B97"/>
    <w:rsid w:val="000F736E"/>
    <w:rsid w:val="00103957"/>
    <w:rsid w:val="00114D38"/>
    <w:rsid w:val="001319AB"/>
    <w:rsid w:val="00132498"/>
    <w:rsid w:val="001525FC"/>
    <w:rsid w:val="00152C6D"/>
    <w:rsid w:val="00161642"/>
    <w:rsid w:val="00162D39"/>
    <w:rsid w:val="001657A5"/>
    <w:rsid w:val="001678BD"/>
    <w:rsid w:val="00180601"/>
    <w:rsid w:val="00187724"/>
    <w:rsid w:val="00192640"/>
    <w:rsid w:val="001A67DB"/>
    <w:rsid w:val="001B613F"/>
    <w:rsid w:val="001B66A7"/>
    <w:rsid w:val="001C3C29"/>
    <w:rsid w:val="001C5EBA"/>
    <w:rsid w:val="001D51E5"/>
    <w:rsid w:val="001E080D"/>
    <w:rsid w:val="001E53D0"/>
    <w:rsid w:val="001F00F3"/>
    <w:rsid w:val="001F0C3B"/>
    <w:rsid w:val="001F336F"/>
    <w:rsid w:val="001F48F2"/>
    <w:rsid w:val="001F5B81"/>
    <w:rsid w:val="00202C82"/>
    <w:rsid w:val="00214427"/>
    <w:rsid w:val="00222FCB"/>
    <w:rsid w:val="00226CB7"/>
    <w:rsid w:val="00233B34"/>
    <w:rsid w:val="00246AE6"/>
    <w:rsid w:val="00263114"/>
    <w:rsid w:val="00264552"/>
    <w:rsid w:val="00264EF9"/>
    <w:rsid w:val="00265724"/>
    <w:rsid w:val="00272E5C"/>
    <w:rsid w:val="0027426B"/>
    <w:rsid w:val="002816BE"/>
    <w:rsid w:val="002817DF"/>
    <w:rsid w:val="00285BC9"/>
    <w:rsid w:val="002918B5"/>
    <w:rsid w:val="002A70F7"/>
    <w:rsid w:val="002B27A9"/>
    <w:rsid w:val="002B3293"/>
    <w:rsid w:val="002B4211"/>
    <w:rsid w:val="002B5442"/>
    <w:rsid w:val="002D6879"/>
    <w:rsid w:val="002E0A30"/>
    <w:rsid w:val="002E34CB"/>
    <w:rsid w:val="002F425B"/>
    <w:rsid w:val="002F589E"/>
    <w:rsid w:val="00304292"/>
    <w:rsid w:val="003130C4"/>
    <w:rsid w:val="00315F57"/>
    <w:rsid w:val="00316C4B"/>
    <w:rsid w:val="00320BE3"/>
    <w:rsid w:val="0032192B"/>
    <w:rsid w:val="00322A6D"/>
    <w:rsid w:val="00333C1B"/>
    <w:rsid w:val="003479BD"/>
    <w:rsid w:val="0035176F"/>
    <w:rsid w:val="00367810"/>
    <w:rsid w:val="0037197D"/>
    <w:rsid w:val="003768D5"/>
    <w:rsid w:val="0038035D"/>
    <w:rsid w:val="0038555D"/>
    <w:rsid w:val="0038725E"/>
    <w:rsid w:val="003A01AF"/>
    <w:rsid w:val="003B0B90"/>
    <w:rsid w:val="003B2384"/>
    <w:rsid w:val="003B3F72"/>
    <w:rsid w:val="003C47E6"/>
    <w:rsid w:val="003C4FC2"/>
    <w:rsid w:val="003D033E"/>
    <w:rsid w:val="003F02FA"/>
    <w:rsid w:val="004018CA"/>
    <w:rsid w:val="004050CC"/>
    <w:rsid w:val="0041594E"/>
    <w:rsid w:val="00416E61"/>
    <w:rsid w:val="0042790C"/>
    <w:rsid w:val="004455B7"/>
    <w:rsid w:val="00445AB7"/>
    <w:rsid w:val="004506F9"/>
    <w:rsid w:val="004661B8"/>
    <w:rsid w:val="004717A2"/>
    <w:rsid w:val="00472EFB"/>
    <w:rsid w:val="00473CA2"/>
    <w:rsid w:val="00473DF3"/>
    <w:rsid w:val="0048434A"/>
    <w:rsid w:val="004843FC"/>
    <w:rsid w:val="00487911"/>
    <w:rsid w:val="00491741"/>
    <w:rsid w:val="0049506D"/>
    <w:rsid w:val="004A1388"/>
    <w:rsid w:val="004B2534"/>
    <w:rsid w:val="004C0C24"/>
    <w:rsid w:val="004D2E9E"/>
    <w:rsid w:val="004E2E98"/>
    <w:rsid w:val="004E551F"/>
    <w:rsid w:val="004F08F0"/>
    <w:rsid w:val="004F3A4D"/>
    <w:rsid w:val="004F4014"/>
    <w:rsid w:val="004F6737"/>
    <w:rsid w:val="004F713B"/>
    <w:rsid w:val="00500E5F"/>
    <w:rsid w:val="005044FB"/>
    <w:rsid w:val="00511D6F"/>
    <w:rsid w:val="005122EF"/>
    <w:rsid w:val="0051441A"/>
    <w:rsid w:val="00517A7D"/>
    <w:rsid w:val="00517C33"/>
    <w:rsid w:val="00521A4E"/>
    <w:rsid w:val="00523644"/>
    <w:rsid w:val="00530D5B"/>
    <w:rsid w:val="00535C2A"/>
    <w:rsid w:val="0054069E"/>
    <w:rsid w:val="00544866"/>
    <w:rsid w:val="005767CC"/>
    <w:rsid w:val="0058291E"/>
    <w:rsid w:val="00590D9F"/>
    <w:rsid w:val="0059519E"/>
    <w:rsid w:val="00595D26"/>
    <w:rsid w:val="005A6903"/>
    <w:rsid w:val="005A74E6"/>
    <w:rsid w:val="005B0854"/>
    <w:rsid w:val="005B404E"/>
    <w:rsid w:val="005C05F7"/>
    <w:rsid w:val="005D4D55"/>
    <w:rsid w:val="005E10EB"/>
    <w:rsid w:val="005E2CFB"/>
    <w:rsid w:val="005F3D1C"/>
    <w:rsid w:val="005F6047"/>
    <w:rsid w:val="006050F5"/>
    <w:rsid w:val="0062378F"/>
    <w:rsid w:val="00633F9F"/>
    <w:rsid w:val="00641842"/>
    <w:rsid w:val="00651EEC"/>
    <w:rsid w:val="0065651B"/>
    <w:rsid w:val="00665D17"/>
    <w:rsid w:val="006757E4"/>
    <w:rsid w:val="00691E8C"/>
    <w:rsid w:val="006A22C4"/>
    <w:rsid w:val="006A351B"/>
    <w:rsid w:val="006A4353"/>
    <w:rsid w:val="006B0422"/>
    <w:rsid w:val="006B2A67"/>
    <w:rsid w:val="006C0749"/>
    <w:rsid w:val="006C1B53"/>
    <w:rsid w:val="006D7730"/>
    <w:rsid w:val="006E0708"/>
    <w:rsid w:val="006E2DEA"/>
    <w:rsid w:val="006E5284"/>
    <w:rsid w:val="006F10EB"/>
    <w:rsid w:val="006F3D2E"/>
    <w:rsid w:val="006F3EB5"/>
    <w:rsid w:val="00702E34"/>
    <w:rsid w:val="00703EF5"/>
    <w:rsid w:val="00704395"/>
    <w:rsid w:val="00705BF6"/>
    <w:rsid w:val="0070752C"/>
    <w:rsid w:val="007106DC"/>
    <w:rsid w:val="00716A3B"/>
    <w:rsid w:val="00716CB4"/>
    <w:rsid w:val="00717621"/>
    <w:rsid w:val="00717B2F"/>
    <w:rsid w:val="00720FF1"/>
    <w:rsid w:val="0072266B"/>
    <w:rsid w:val="00725A33"/>
    <w:rsid w:val="00726106"/>
    <w:rsid w:val="00726755"/>
    <w:rsid w:val="00727A53"/>
    <w:rsid w:val="007330F4"/>
    <w:rsid w:val="007509CF"/>
    <w:rsid w:val="0075424A"/>
    <w:rsid w:val="00787B42"/>
    <w:rsid w:val="00791926"/>
    <w:rsid w:val="007A2ABE"/>
    <w:rsid w:val="007B3058"/>
    <w:rsid w:val="007C4539"/>
    <w:rsid w:val="007D1896"/>
    <w:rsid w:val="007D3197"/>
    <w:rsid w:val="007E45AF"/>
    <w:rsid w:val="007F3657"/>
    <w:rsid w:val="007F565C"/>
    <w:rsid w:val="008021CE"/>
    <w:rsid w:val="00812ED5"/>
    <w:rsid w:val="008153D9"/>
    <w:rsid w:val="008277D9"/>
    <w:rsid w:val="0083095C"/>
    <w:rsid w:val="00833532"/>
    <w:rsid w:val="00836C08"/>
    <w:rsid w:val="00837058"/>
    <w:rsid w:val="008378A9"/>
    <w:rsid w:val="0084478C"/>
    <w:rsid w:val="00845AC6"/>
    <w:rsid w:val="008642F5"/>
    <w:rsid w:val="0086638C"/>
    <w:rsid w:val="0087453B"/>
    <w:rsid w:val="00877423"/>
    <w:rsid w:val="00892569"/>
    <w:rsid w:val="008A0BF5"/>
    <w:rsid w:val="008A3E8D"/>
    <w:rsid w:val="008C5504"/>
    <w:rsid w:val="008D0B5A"/>
    <w:rsid w:val="008E0957"/>
    <w:rsid w:val="008E138B"/>
    <w:rsid w:val="008F390D"/>
    <w:rsid w:val="00906079"/>
    <w:rsid w:val="009133A1"/>
    <w:rsid w:val="009237C4"/>
    <w:rsid w:val="0093158B"/>
    <w:rsid w:val="00931AE9"/>
    <w:rsid w:val="009339A0"/>
    <w:rsid w:val="00933E08"/>
    <w:rsid w:val="00944C48"/>
    <w:rsid w:val="00946B41"/>
    <w:rsid w:val="00950252"/>
    <w:rsid w:val="00956555"/>
    <w:rsid w:val="00961B9D"/>
    <w:rsid w:val="00967F5D"/>
    <w:rsid w:val="00973296"/>
    <w:rsid w:val="00975FEF"/>
    <w:rsid w:val="00981D16"/>
    <w:rsid w:val="00986F81"/>
    <w:rsid w:val="0099682D"/>
    <w:rsid w:val="00997D7A"/>
    <w:rsid w:val="009A0F95"/>
    <w:rsid w:val="009A1293"/>
    <w:rsid w:val="009B3ADF"/>
    <w:rsid w:val="009C3B52"/>
    <w:rsid w:val="009D09F6"/>
    <w:rsid w:val="009D1029"/>
    <w:rsid w:val="009D2977"/>
    <w:rsid w:val="009E1203"/>
    <w:rsid w:val="009E6817"/>
    <w:rsid w:val="009E6E9A"/>
    <w:rsid w:val="00A01D2B"/>
    <w:rsid w:val="00A036E3"/>
    <w:rsid w:val="00A204DF"/>
    <w:rsid w:val="00A33D3C"/>
    <w:rsid w:val="00A42218"/>
    <w:rsid w:val="00A47712"/>
    <w:rsid w:val="00A5424F"/>
    <w:rsid w:val="00A70249"/>
    <w:rsid w:val="00A70B02"/>
    <w:rsid w:val="00A71D9F"/>
    <w:rsid w:val="00A747D1"/>
    <w:rsid w:val="00A92E9F"/>
    <w:rsid w:val="00AA22E3"/>
    <w:rsid w:val="00AA746D"/>
    <w:rsid w:val="00AC2DDC"/>
    <w:rsid w:val="00AE2968"/>
    <w:rsid w:val="00AE5456"/>
    <w:rsid w:val="00AF4182"/>
    <w:rsid w:val="00B05822"/>
    <w:rsid w:val="00B33BEA"/>
    <w:rsid w:val="00B36887"/>
    <w:rsid w:val="00B37DC2"/>
    <w:rsid w:val="00B443D3"/>
    <w:rsid w:val="00B57C9F"/>
    <w:rsid w:val="00B63572"/>
    <w:rsid w:val="00B6709E"/>
    <w:rsid w:val="00B7576D"/>
    <w:rsid w:val="00B845B3"/>
    <w:rsid w:val="00B85D8B"/>
    <w:rsid w:val="00BA4987"/>
    <w:rsid w:val="00BB0367"/>
    <w:rsid w:val="00BB26F9"/>
    <w:rsid w:val="00BB4A40"/>
    <w:rsid w:val="00BC0207"/>
    <w:rsid w:val="00BC1616"/>
    <w:rsid w:val="00BC275C"/>
    <w:rsid w:val="00BC6F26"/>
    <w:rsid w:val="00BC7339"/>
    <w:rsid w:val="00BD6C3E"/>
    <w:rsid w:val="00BE3674"/>
    <w:rsid w:val="00BF3320"/>
    <w:rsid w:val="00C10681"/>
    <w:rsid w:val="00C10EF9"/>
    <w:rsid w:val="00C3049A"/>
    <w:rsid w:val="00C31B1E"/>
    <w:rsid w:val="00C33B69"/>
    <w:rsid w:val="00C403AF"/>
    <w:rsid w:val="00C4252D"/>
    <w:rsid w:val="00C56DAB"/>
    <w:rsid w:val="00C61636"/>
    <w:rsid w:val="00C6409E"/>
    <w:rsid w:val="00C65D6B"/>
    <w:rsid w:val="00C708BB"/>
    <w:rsid w:val="00C77645"/>
    <w:rsid w:val="00CA08B8"/>
    <w:rsid w:val="00CA4653"/>
    <w:rsid w:val="00CC61BD"/>
    <w:rsid w:val="00CE04C3"/>
    <w:rsid w:val="00CE6CAD"/>
    <w:rsid w:val="00CE76A0"/>
    <w:rsid w:val="00CE7E48"/>
    <w:rsid w:val="00D064A9"/>
    <w:rsid w:val="00D06580"/>
    <w:rsid w:val="00D10D52"/>
    <w:rsid w:val="00D148C6"/>
    <w:rsid w:val="00D17A8A"/>
    <w:rsid w:val="00D23290"/>
    <w:rsid w:val="00D23B3E"/>
    <w:rsid w:val="00D358B6"/>
    <w:rsid w:val="00D35C79"/>
    <w:rsid w:val="00D415BA"/>
    <w:rsid w:val="00D4194D"/>
    <w:rsid w:val="00D550F6"/>
    <w:rsid w:val="00D5679D"/>
    <w:rsid w:val="00D57FF1"/>
    <w:rsid w:val="00D609F6"/>
    <w:rsid w:val="00D644EE"/>
    <w:rsid w:val="00D67BDC"/>
    <w:rsid w:val="00D72674"/>
    <w:rsid w:val="00D756E0"/>
    <w:rsid w:val="00D776D1"/>
    <w:rsid w:val="00D95884"/>
    <w:rsid w:val="00D96BC2"/>
    <w:rsid w:val="00D97593"/>
    <w:rsid w:val="00DA11D3"/>
    <w:rsid w:val="00DD06FF"/>
    <w:rsid w:val="00DD1D9C"/>
    <w:rsid w:val="00DD295B"/>
    <w:rsid w:val="00DD4456"/>
    <w:rsid w:val="00DD5FE9"/>
    <w:rsid w:val="00DE18D2"/>
    <w:rsid w:val="00DF7621"/>
    <w:rsid w:val="00E00C7A"/>
    <w:rsid w:val="00E00ED7"/>
    <w:rsid w:val="00E069EB"/>
    <w:rsid w:val="00E07654"/>
    <w:rsid w:val="00E22EFD"/>
    <w:rsid w:val="00E24EE9"/>
    <w:rsid w:val="00E31F7D"/>
    <w:rsid w:val="00E36B8A"/>
    <w:rsid w:val="00E37D6C"/>
    <w:rsid w:val="00E55B68"/>
    <w:rsid w:val="00E67BE6"/>
    <w:rsid w:val="00E8683C"/>
    <w:rsid w:val="00E87759"/>
    <w:rsid w:val="00EA1948"/>
    <w:rsid w:val="00EA2B72"/>
    <w:rsid w:val="00EA4333"/>
    <w:rsid w:val="00EA7F5F"/>
    <w:rsid w:val="00EB0520"/>
    <w:rsid w:val="00EB059D"/>
    <w:rsid w:val="00EB088B"/>
    <w:rsid w:val="00EC032E"/>
    <w:rsid w:val="00ED0600"/>
    <w:rsid w:val="00ED3E56"/>
    <w:rsid w:val="00ED6914"/>
    <w:rsid w:val="00EE375B"/>
    <w:rsid w:val="00F03355"/>
    <w:rsid w:val="00F112E7"/>
    <w:rsid w:val="00F12418"/>
    <w:rsid w:val="00F23C3E"/>
    <w:rsid w:val="00F25650"/>
    <w:rsid w:val="00F3698A"/>
    <w:rsid w:val="00F5460D"/>
    <w:rsid w:val="00F6279E"/>
    <w:rsid w:val="00F74360"/>
    <w:rsid w:val="00F8068F"/>
    <w:rsid w:val="00F86B3D"/>
    <w:rsid w:val="00F9791F"/>
    <w:rsid w:val="00FA39AF"/>
    <w:rsid w:val="00FA5A73"/>
    <w:rsid w:val="00FB462F"/>
    <w:rsid w:val="00FB5D70"/>
    <w:rsid w:val="00FD02C6"/>
    <w:rsid w:val="00FE16FA"/>
    <w:rsid w:val="00FE328A"/>
    <w:rsid w:val="00FE6269"/>
    <w:rsid w:val="00FE727D"/>
    <w:rsid w:val="00FF1830"/>
    <w:rsid w:val="00FF6178"/>
    <w:rsid w:val="07644378"/>
    <w:rsid w:val="0C7A08B6"/>
    <w:rsid w:val="0EF57191"/>
    <w:rsid w:val="16CD5225"/>
    <w:rsid w:val="17B60D70"/>
    <w:rsid w:val="226904F5"/>
    <w:rsid w:val="232D7948"/>
    <w:rsid w:val="25BF6669"/>
    <w:rsid w:val="284E65ED"/>
    <w:rsid w:val="295E69E9"/>
    <w:rsid w:val="2A7D78B2"/>
    <w:rsid w:val="2C6F4E45"/>
    <w:rsid w:val="35223588"/>
    <w:rsid w:val="35374E47"/>
    <w:rsid w:val="36A900CE"/>
    <w:rsid w:val="38471845"/>
    <w:rsid w:val="39CD28CD"/>
    <w:rsid w:val="41943621"/>
    <w:rsid w:val="474B2221"/>
    <w:rsid w:val="49046F0C"/>
    <w:rsid w:val="49DE3D2B"/>
    <w:rsid w:val="50724B2D"/>
    <w:rsid w:val="54183C3E"/>
    <w:rsid w:val="576C6CD3"/>
    <w:rsid w:val="58415F29"/>
    <w:rsid w:val="5F341F71"/>
    <w:rsid w:val="6721402C"/>
    <w:rsid w:val="67C24194"/>
    <w:rsid w:val="73054FCB"/>
    <w:rsid w:val="793A4804"/>
    <w:rsid w:val="7C2D58D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alloon Text"/>
    <w:basedOn w:val="1"/>
    <w:link w:val="13"/>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页眉 Char"/>
    <w:basedOn w:val="8"/>
    <w:link w:val="5"/>
    <w:qFormat/>
    <w:locked/>
    <w:uiPriority w:val="99"/>
    <w:rPr>
      <w:sz w:val="18"/>
      <w:szCs w:val="18"/>
    </w:rPr>
  </w:style>
  <w:style w:type="character" w:customStyle="1" w:styleId="10">
    <w:name w:val="页脚 Char"/>
    <w:basedOn w:val="8"/>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qFormat/>
    <w:locked/>
    <w:uiPriority w:val="99"/>
    <w:rPr>
      <w:sz w:val="18"/>
      <w:szCs w:val="18"/>
    </w:rPr>
  </w:style>
  <w:style w:type="paragraph" w:customStyle="1" w:styleId="14">
    <w:name w:val="List Paragraph1"/>
    <w:basedOn w:val="1"/>
    <w:qFormat/>
    <w:uiPriority w:val="99"/>
    <w:pPr>
      <w:ind w:firstLine="420" w:firstLineChars="200"/>
    </w:pPr>
  </w:style>
  <w:style w:type="character" w:customStyle="1" w:styleId="15">
    <w:name w:val="font31"/>
    <w:basedOn w:val="8"/>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39</Pages>
  <Words>13773</Words>
  <Characters>20027</Characters>
  <Lines>129</Lines>
  <Paragraphs>36</Paragraphs>
  <TotalTime>4</TotalTime>
  <ScaleCrop>false</ScaleCrop>
  <LinksUpToDate>false</LinksUpToDate>
  <CharactersWithSpaces>21281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阿敬</cp:lastModifiedBy>
  <cp:lastPrinted>2022-08-02T07:53:00Z</cp:lastPrinted>
  <dcterms:modified xsi:type="dcterms:W3CDTF">2023-07-28T07:45:34Z</dcterms:modified>
  <cp:revision>460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A657EFB301FC4D5FB16B55F61293875A</vt:lpwstr>
  </property>
</Properties>
</file>