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hd w:val="clear" w:color="auto" w:fill="FFFFFF"/>
        <w:spacing w:line="600" w:lineRule="exact"/>
        <w:jc w:val="center"/>
        <w:outlineLvl w:val="1"/>
        <w:rPr>
          <w:rFonts w:ascii="微软雅黑" w:hAnsi="微软雅黑" w:eastAsia="微软雅黑" w:cs="宋体"/>
          <w:color w:val="333333"/>
          <w:kern w:val="0"/>
          <w:sz w:val="45"/>
          <w:szCs w:val="45"/>
          <w:highlight w:val="none"/>
        </w:rPr>
      </w:pPr>
      <w:r>
        <w:rPr>
          <w:rFonts w:hint="eastAsia" w:ascii="微软雅黑" w:hAnsi="微软雅黑" w:eastAsia="微软雅黑" w:cs="宋体"/>
          <w:color w:val="333333"/>
          <w:kern w:val="0"/>
          <w:sz w:val="45"/>
          <w:szCs w:val="45"/>
          <w:highlight w:val="none"/>
        </w:rPr>
        <w:t>湘潭县杨嘉桥中心校</w:t>
      </w:r>
    </w:p>
    <w:p>
      <w:pPr>
        <w:widowControl/>
        <w:shd w:val="clear" w:color="auto" w:fill="FFFFFF"/>
        <w:spacing w:line="600" w:lineRule="exact"/>
        <w:jc w:val="center"/>
        <w:outlineLvl w:val="1"/>
        <w:rPr>
          <w:rFonts w:ascii="微软雅黑" w:hAnsi="微软雅黑" w:eastAsia="微软雅黑" w:cs="宋体"/>
          <w:color w:val="333333"/>
          <w:kern w:val="0"/>
          <w:sz w:val="45"/>
          <w:szCs w:val="45"/>
          <w:highlight w:val="none"/>
        </w:rPr>
      </w:pPr>
      <w:r>
        <w:rPr>
          <w:rFonts w:hint="eastAsia" w:ascii="微软雅黑" w:hAnsi="微软雅黑" w:eastAsia="微软雅黑" w:cs="宋体"/>
          <w:color w:val="333333"/>
          <w:kern w:val="0"/>
          <w:sz w:val="45"/>
          <w:szCs w:val="45"/>
          <w:highlight w:val="none"/>
        </w:rPr>
        <w:t>2022年部门预算公开资料</w:t>
      </w:r>
    </w:p>
    <w:p>
      <w:pPr>
        <w:widowControl/>
        <w:shd w:val="clear" w:color="auto" w:fill="FFFFFF"/>
        <w:spacing w:line="600" w:lineRule="exact"/>
        <w:jc w:val="center"/>
        <w:outlineLvl w:val="1"/>
        <w:rPr>
          <w:rFonts w:ascii="仿宋" w:hAnsi="仿宋" w:eastAsia="仿宋" w:cs="仿宋"/>
          <w:b/>
          <w:bCs/>
          <w:color w:val="333333"/>
          <w:kern w:val="0"/>
          <w:sz w:val="28"/>
          <w:szCs w:val="28"/>
          <w:highlight w:val="none"/>
        </w:rPr>
      </w:pPr>
    </w:p>
    <w:p>
      <w:pPr>
        <w:widowControl/>
        <w:shd w:val="clear" w:color="auto" w:fill="FFFFFF"/>
        <w:spacing w:line="600" w:lineRule="exact"/>
        <w:jc w:val="center"/>
        <w:outlineLvl w:val="1"/>
        <w:rPr>
          <w:rFonts w:ascii="仿宋" w:hAnsi="仿宋" w:eastAsia="仿宋" w:cs="仿宋"/>
          <w:b/>
          <w:bCs/>
          <w:color w:val="333333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highlight w:val="none"/>
        </w:rPr>
        <w:t>目  录</w:t>
      </w:r>
    </w:p>
    <w:p>
      <w:pPr>
        <w:widowControl/>
        <w:shd w:val="clear" w:color="auto" w:fill="FFFFFF"/>
        <w:spacing w:before="100" w:beforeAutospacing="1" w:line="560" w:lineRule="exact"/>
        <w:jc w:val="left"/>
        <w:rPr>
          <w:rFonts w:ascii="仿宋" w:hAnsi="仿宋" w:eastAsia="仿宋" w:cs="仿宋"/>
          <w:color w:val="333333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第一部分 2022年部门预算说明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单位基本概况　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fldChar w:fldCharType="begin"/>
      </w:r>
      <w:r>
        <w:rPr>
          <w:rFonts w:ascii="仿宋" w:hAnsi="仿宋" w:eastAsia="仿宋" w:cs="仿宋"/>
          <w:sz w:val="28"/>
          <w:szCs w:val="28"/>
          <w:highlight w:val="none"/>
        </w:rPr>
        <w:instrText xml:space="preserve"> </w:instrText>
      </w:r>
      <w:r>
        <w:rPr>
          <w:rFonts w:hint="eastAsia" w:ascii="仿宋" w:hAnsi="仿宋" w:eastAsia="仿宋" w:cs="仿宋"/>
          <w:sz w:val="28"/>
          <w:szCs w:val="28"/>
          <w:highlight w:val="none"/>
        </w:rPr>
        <w:instrText xml:space="preserve">= 1 \* GB4</w:instrText>
      </w:r>
      <w:r>
        <w:rPr>
          <w:rFonts w:ascii="仿宋" w:hAnsi="仿宋" w:eastAsia="仿宋" w:cs="仿宋"/>
          <w:sz w:val="28"/>
          <w:szCs w:val="28"/>
          <w:highlight w:val="none"/>
        </w:rPr>
        <w:instrText xml:space="preserve"> </w:instrText>
      </w:r>
      <w:r>
        <w:rPr>
          <w:rFonts w:ascii="仿宋" w:hAnsi="仿宋" w:eastAsia="仿宋" w:cs="仿宋"/>
          <w:sz w:val="28"/>
          <w:szCs w:val="28"/>
          <w:highlight w:val="none"/>
        </w:rPr>
        <w:fldChar w:fldCharType="separate"/>
      </w:r>
      <w:r>
        <w:rPr>
          <w:rFonts w:hint="eastAsia" w:ascii="宋体" w:hAnsi="宋体" w:cs="宋体"/>
          <w:sz w:val="28"/>
          <w:szCs w:val="28"/>
          <w:highlight w:val="none"/>
        </w:rPr>
        <w:t>㈠</w:t>
      </w:r>
      <w:r>
        <w:rPr>
          <w:rFonts w:ascii="仿宋" w:hAnsi="仿宋" w:eastAsia="仿宋" w:cs="仿宋"/>
          <w:sz w:val="28"/>
          <w:szCs w:val="28"/>
          <w:highlight w:val="none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职能职责　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fldChar w:fldCharType="begin"/>
      </w:r>
      <w:r>
        <w:rPr>
          <w:rFonts w:ascii="仿宋" w:hAnsi="仿宋" w:eastAsia="仿宋" w:cs="仿宋"/>
          <w:sz w:val="28"/>
          <w:szCs w:val="28"/>
          <w:highlight w:val="none"/>
        </w:rPr>
        <w:instrText xml:space="preserve"> </w:instrText>
      </w:r>
      <w:r>
        <w:rPr>
          <w:rFonts w:hint="eastAsia" w:ascii="仿宋" w:hAnsi="仿宋" w:eastAsia="仿宋" w:cs="仿宋"/>
          <w:sz w:val="28"/>
          <w:szCs w:val="28"/>
          <w:highlight w:val="none"/>
        </w:rPr>
        <w:instrText xml:space="preserve">= 2 \* GB4</w:instrText>
      </w:r>
      <w:r>
        <w:rPr>
          <w:rFonts w:ascii="仿宋" w:hAnsi="仿宋" w:eastAsia="仿宋" w:cs="仿宋"/>
          <w:sz w:val="28"/>
          <w:szCs w:val="28"/>
          <w:highlight w:val="none"/>
        </w:rPr>
        <w:instrText xml:space="preserve"> </w:instrText>
      </w:r>
      <w:r>
        <w:rPr>
          <w:rFonts w:ascii="仿宋" w:hAnsi="仿宋" w:eastAsia="仿宋" w:cs="仿宋"/>
          <w:sz w:val="28"/>
          <w:szCs w:val="28"/>
          <w:highlight w:val="none"/>
        </w:rPr>
        <w:fldChar w:fldCharType="separate"/>
      </w:r>
      <w:r>
        <w:rPr>
          <w:rFonts w:hint="eastAsia" w:ascii="宋体" w:hAnsi="宋体" w:cs="宋体"/>
          <w:sz w:val="28"/>
          <w:szCs w:val="28"/>
          <w:highlight w:val="none"/>
        </w:rPr>
        <w:t>㈡</w:t>
      </w:r>
      <w:r>
        <w:rPr>
          <w:rFonts w:ascii="仿宋" w:hAnsi="仿宋" w:eastAsia="仿宋" w:cs="仿宋"/>
          <w:sz w:val="28"/>
          <w:szCs w:val="28"/>
          <w:highlight w:val="none"/>
        </w:rPr>
        <w:fldChar w:fldCharType="end"/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机构设置及人员情况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部门预算单位构成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部门收支总体情况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一般公共预算拨款支出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政府性基金预算安排的支出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其他重要事项的情况说明</w:t>
      </w:r>
    </w:p>
    <w:p>
      <w:pPr>
        <w:numPr>
          <w:ilvl w:val="0"/>
          <w:numId w:val="1"/>
        </w:num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名词解释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第二部分 2022年部门预算表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一、部门收支总表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二、部门收入总表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三、部门支出总表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四、部门财政拨款收支总表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五、一般公共预算支出表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六、一般公共预算基本支出表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七、一般公共预算“三公”经费支出表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八、政府性基金预算支出表</w:t>
      </w:r>
    </w:p>
    <w:p>
      <w:pPr>
        <w:widowControl/>
        <w:shd w:val="clear" w:color="auto" w:fill="FFFFFF"/>
        <w:spacing w:before="100" w:beforeAutospacing="1" w:line="560" w:lineRule="exact"/>
        <w:jc w:val="center"/>
        <w:rPr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6"/>
          <w:szCs w:val="36"/>
          <w:highlight w:val="none"/>
        </w:rPr>
        <w:t>第一部分 2022年部门预算说明</w:t>
      </w:r>
    </w:p>
    <w:p>
      <w:pPr>
        <w:numPr>
          <w:ilvl w:val="0"/>
          <w:numId w:val="2"/>
        </w:numPr>
        <w:spacing w:line="560" w:lineRule="exact"/>
        <w:ind w:firstLine="602" w:firstLineChars="200"/>
        <w:rPr>
          <w:rFonts w:ascii="仿宋_GB2312" w:eastAsia="仿宋_GB2312"/>
          <w:b/>
          <w:bCs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单位基本概况</w:t>
      </w:r>
    </w:p>
    <w:p>
      <w:pPr>
        <w:pStyle w:val="9"/>
        <w:shd w:val="clear" w:color="auto" w:fill="FFFFFF"/>
        <w:spacing w:line="560" w:lineRule="exact"/>
        <w:ind w:firstLine="480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t xml:space="preserve"> </w:t>
      </w:r>
      <w:r>
        <w:rPr>
          <w:rFonts w:hint="eastAsia" w:eastAsia="仿宋_GB2312"/>
          <w:kern w:val="0"/>
          <w:sz w:val="32"/>
          <w:szCs w:val="32"/>
          <w:highlight w:val="none"/>
        </w:rPr>
        <w:fldChar w:fldCharType="begin"/>
      </w:r>
      <w:r>
        <w:rPr>
          <w:rFonts w:hint="eastAsia" w:eastAsia="仿宋_GB2312"/>
          <w:kern w:val="0"/>
          <w:sz w:val="32"/>
          <w:szCs w:val="32"/>
          <w:highlight w:val="none"/>
        </w:rPr>
        <w:instrText xml:space="preserve"> = 1 \* GB4 \* MERGEFORMAT </w:instrText>
      </w:r>
      <w:r>
        <w:rPr>
          <w:rFonts w:hint="eastAsia" w:eastAsia="仿宋_GB2312"/>
          <w:kern w:val="0"/>
          <w:sz w:val="32"/>
          <w:szCs w:val="32"/>
          <w:highlight w:val="none"/>
        </w:rPr>
        <w:fldChar w:fldCharType="separate"/>
      </w:r>
      <w:r>
        <w:rPr>
          <w:rFonts w:eastAsia="仿宋_GB2312"/>
          <w:kern w:val="0"/>
          <w:sz w:val="32"/>
          <w:szCs w:val="32"/>
          <w:highlight w:val="none"/>
        </w:rPr>
        <w:t>㈠</w:t>
      </w:r>
      <w:r>
        <w:rPr>
          <w:rFonts w:hint="eastAsia" w:eastAsia="仿宋_GB2312"/>
          <w:kern w:val="0"/>
          <w:sz w:val="32"/>
          <w:szCs w:val="32"/>
          <w:highlight w:val="none"/>
        </w:rPr>
        <w:fldChar w:fldCharType="end"/>
      </w:r>
      <w:r>
        <w:rPr>
          <w:rFonts w:hint="eastAsia" w:eastAsia="仿宋_GB2312"/>
          <w:kern w:val="0"/>
          <w:sz w:val="32"/>
          <w:szCs w:val="32"/>
          <w:highlight w:val="none"/>
        </w:rPr>
        <w:t xml:space="preserve"> 职能职责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</w:rPr>
        <w:t>1、贯彻落实县委及县教育局关于教育工作的方针政策和法律法规。组织拟订全镇教育改革与发展规划，并组织实施。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2、依法统筹规划、协调管理全镇教育工作，指导全镇范围内的教育教学改革。负责教育基本信息的统计、分析。完成教育信息化工作和网络信息安全工作。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3、按规定具体负责义务教育实施工作，统筹、管理普通初中小学教育和学前教育工作。全面实施素质教育。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4、协调继续教育等工作。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5、统筹管理镇本级的教育事业经费。参与拟订全镇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"http://baike.sogou.com/lemma/ShowInnerLink.htm?lemmaId=7665084&amp;ss_c=ssc.citiao.link" </w:instrText>
      </w:r>
      <w:r>
        <w:rPr>
          <w:highlight w:val="none"/>
        </w:rPr>
        <w:fldChar w:fldCharType="separate"/>
      </w:r>
      <w:r>
        <w:rPr>
          <w:rFonts w:hint="eastAsia" w:ascii="仿宋_GB2312" w:eastAsia="仿宋_GB2312"/>
          <w:sz w:val="32"/>
          <w:szCs w:val="32"/>
          <w:highlight w:val="none"/>
        </w:rPr>
        <w:t>教育经费</w:t>
      </w:r>
      <w:r>
        <w:rPr>
          <w:rFonts w:hint="eastAsia" w:ascii="仿宋_GB2312" w:eastAsia="仿宋_GB2312"/>
          <w:sz w:val="32"/>
          <w:szCs w:val="32"/>
          <w:highlight w:val="none"/>
        </w:rPr>
        <w:fldChar w:fldCharType="end"/>
      </w:r>
      <w:r>
        <w:rPr>
          <w:rFonts w:hint="eastAsia" w:ascii="仿宋_GB2312" w:eastAsia="仿宋_GB2312"/>
          <w:sz w:val="32"/>
          <w:szCs w:val="32"/>
          <w:highlight w:val="none"/>
        </w:rPr>
        <w:t>使用、基建投资工作。负责统计和监测全镇各中小学校幼儿园教育经费的投入和使用情况。负责指导、协调和监督各中小学校幼儿园的改造和建设。协调全镇资助经济困难学生工作。组织实施教育系统内部审计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6、督促、指导本镇各中小学校幼儿园的思想政治工作、德育工作、体育卫生与艺术教育以及国防教育工作。指导、协调和监督管理本镇各中小学校幼儿园的安全稳定工作。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7、主管本镇的教师工作。贯彻实施各中小学校幼儿园教师资格标准。加强教育系统人才队伍建设。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8、统筹管理全镇范围内义务教育的招生考试和学籍工作。制定全镇各中小学校幼儿园招生计划。组织普通初中学业水平测试。</w:t>
      </w:r>
    </w:p>
    <w:p>
      <w:pPr>
        <w:pStyle w:val="9"/>
        <w:shd w:val="clear" w:color="auto" w:fill="FFFFFF"/>
        <w:spacing w:line="450" w:lineRule="atLeast"/>
        <w:ind w:firstLine="672" w:firstLineChars="21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9、组织教育交流与合作，开展与外地的兄弟学校教育合作与交流。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10、督促、指导全镇各中小学校幼儿园党建、纪检监察、宣传培训、思想教育和群团工作。</w:t>
      </w:r>
    </w:p>
    <w:p>
      <w:pPr>
        <w:pStyle w:val="9"/>
        <w:shd w:val="clear" w:color="auto" w:fill="FFFFFF"/>
        <w:spacing w:line="450" w:lineRule="atLeas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11、负责协调片区教育督导委员会日常工作。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12、统筹管理全镇语言文字工作，制定全镇语言文字工作规划并组织实施，指导推广普通话和规范字及普通话师资培训工作。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13、完成县委、县局交办的其他任务。</w:t>
      </w:r>
    </w:p>
    <w:p>
      <w:pPr>
        <w:spacing w:line="560" w:lineRule="exact"/>
        <w:ind w:firstLine="645"/>
        <w:jc w:val="left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fldChar w:fldCharType="begin"/>
      </w:r>
      <w:r>
        <w:rPr>
          <w:rFonts w:hint="eastAsia" w:eastAsia="仿宋_GB2312"/>
          <w:kern w:val="0"/>
          <w:sz w:val="32"/>
          <w:szCs w:val="32"/>
          <w:highlight w:val="none"/>
        </w:rPr>
        <w:instrText xml:space="preserve"> = 2 \* GB4 \* MERGEFORMAT </w:instrText>
      </w:r>
      <w:r>
        <w:rPr>
          <w:rFonts w:hint="eastAsia" w:eastAsia="仿宋_GB2312"/>
          <w:kern w:val="0"/>
          <w:sz w:val="32"/>
          <w:szCs w:val="32"/>
          <w:highlight w:val="none"/>
        </w:rPr>
        <w:fldChar w:fldCharType="separate"/>
      </w:r>
      <w:r>
        <w:rPr>
          <w:rFonts w:hint="eastAsia" w:eastAsia="仿宋_GB2312"/>
          <w:kern w:val="0"/>
          <w:sz w:val="32"/>
          <w:szCs w:val="32"/>
          <w:highlight w:val="none"/>
        </w:rPr>
        <w:t>㈡</w:t>
      </w:r>
      <w:r>
        <w:rPr>
          <w:rFonts w:hint="eastAsia" w:eastAsia="仿宋_GB2312"/>
          <w:kern w:val="0"/>
          <w:sz w:val="32"/>
          <w:szCs w:val="32"/>
          <w:highlight w:val="none"/>
        </w:rPr>
        <w:fldChar w:fldCharType="end"/>
      </w:r>
      <w:r>
        <w:rPr>
          <w:rFonts w:hint="eastAsia" w:eastAsia="仿宋_GB2312"/>
          <w:kern w:val="0"/>
          <w:sz w:val="32"/>
          <w:szCs w:val="32"/>
          <w:highlight w:val="none"/>
        </w:rPr>
        <w:t xml:space="preserve"> 机构设置及人员情况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湘潭县杨嘉桥镇中心学校所辖各中小学校（包括小学6所、初中2所、九年一贯制2所、纯公办幼儿园2所），为财务独立核算单位。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全系统现有编制人数213人。实有在职人员198人，遗属补助25人，退休人员294人。在校学生3549人,其中学前教育幼儿1022人，小学生1847人,初中生668人。义务教育学校寄宿学生767人，其中小学133人，初中634人。</w:t>
      </w:r>
    </w:p>
    <w:p>
      <w:pPr>
        <w:spacing w:line="560" w:lineRule="exact"/>
        <w:ind w:firstLine="602" w:firstLineChars="200"/>
        <w:jc w:val="left"/>
        <w:rPr>
          <w:rFonts w:ascii="仿宋_GB2312" w:eastAsia="仿宋_GB2312"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sz w:val="30"/>
          <w:szCs w:val="30"/>
          <w:highlight w:val="none"/>
        </w:rPr>
        <w:t>二、部门预算单位构成</w:t>
      </w:r>
    </w:p>
    <w:p>
      <w:pPr>
        <w:pStyle w:val="9"/>
        <w:shd w:val="clear" w:color="auto" w:fill="FFFFFF"/>
        <w:spacing w:line="560" w:lineRule="exact"/>
        <w:ind w:firstLine="640" w:firstLineChars="200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t>本单位为一级预算单位，纳入编制范围的预算单位包括：</w:t>
      </w:r>
    </w:p>
    <w:p>
      <w:pPr>
        <w:pStyle w:val="9"/>
        <w:shd w:val="clear" w:color="auto" w:fill="FFFFFF"/>
        <w:spacing w:line="560" w:lineRule="exact"/>
        <w:ind w:firstLine="640" w:firstLineChars="200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t>乡镇中心学校所辖的各中小学校</w:t>
      </w:r>
      <w:r>
        <w:rPr>
          <w:rFonts w:hint="eastAsia" w:ascii="仿宋_GB2312" w:eastAsia="仿宋_GB2312"/>
          <w:sz w:val="32"/>
          <w:szCs w:val="32"/>
          <w:highlight w:val="none"/>
        </w:rPr>
        <w:t>（包括小学6所、初中2所、九年一贯制2所、纯公办幼儿园2所）</w:t>
      </w:r>
      <w:r>
        <w:rPr>
          <w:rFonts w:hint="eastAsia" w:eastAsia="仿宋_GB2312"/>
          <w:kern w:val="0"/>
          <w:sz w:val="32"/>
          <w:szCs w:val="32"/>
          <w:highlight w:val="none"/>
        </w:rPr>
        <w:t>生均公用经费以及资助经费纳入本次预算编制中。</w:t>
      </w:r>
    </w:p>
    <w:p>
      <w:pPr>
        <w:spacing w:line="560" w:lineRule="exact"/>
        <w:ind w:firstLine="452" w:firstLineChars="150"/>
        <w:rPr>
          <w:rFonts w:ascii="仿宋_GB2312" w:eastAsia="仿宋_GB2312"/>
          <w:b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sz w:val="30"/>
          <w:szCs w:val="30"/>
          <w:highlight w:val="none"/>
        </w:rPr>
        <w:t xml:space="preserve"> 三、部门收支总体情况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1、收入预算：2022年预算2887.2万元，其中一般公共预算拨款2620.28万元（经费拨款2620.28万元，纳入一般公共预算管理的非税收入拨款0万元），上级补助收入236.92万元，纳入专户管理的非税收入拨款30万元。</w:t>
      </w:r>
    </w:p>
    <w:p>
      <w:pPr>
        <w:pStyle w:val="9"/>
        <w:shd w:val="clear" w:color="auto" w:fill="FFFFFF"/>
        <w:spacing w:line="450" w:lineRule="atLeast"/>
        <w:ind w:firstLine="480"/>
        <w:rPr>
          <w:rFonts w:eastAsia="仿宋_GB2312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2、支出预算：2022年预算2887.2万元，其中：教育支出2224.84万元，社会保障和就业支出262.35万元，卫生健康支出188.56万元，住房保障支出211.45万元。</w:t>
      </w:r>
    </w:p>
    <w:p>
      <w:pPr>
        <w:spacing w:line="560" w:lineRule="exact"/>
        <w:ind w:firstLine="645"/>
        <w:jc w:val="left"/>
        <w:rPr>
          <w:rFonts w:ascii="仿宋_GB2312" w:eastAsia="仿宋_GB2312"/>
          <w:b/>
          <w:bCs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四、一般公共预算拨款支出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2022年一般公共预算拨款支出预算2620.28万元，其中教育支出1957.92万元，占一般公共预算拨款支出的74.72%；社会保障和就业支出262.35万元，占一般公共预算拨款支出10.01%；卫生健康支出188.56万元，占一般公共预算拨款支出7.2%；住房保障支出211.45万元，占一般公共预算拨款支出8.07%。具体安排情况如下：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基本支出：2022年本单位基本支出预算2620.28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pStyle w:val="9"/>
        <w:shd w:val="clear" w:color="auto" w:fill="FFFFFF"/>
        <w:spacing w:line="560" w:lineRule="exact"/>
        <w:ind w:firstLine="602" w:firstLineChars="200"/>
        <w:rPr>
          <w:rFonts w:ascii="仿宋_GB2312" w:eastAsia="仿宋_GB2312"/>
          <w:b/>
          <w:bCs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五、政府性基金预算安排的支出：</w:t>
      </w:r>
    </w:p>
    <w:p>
      <w:pPr>
        <w:spacing w:line="560" w:lineRule="exact"/>
        <w:ind w:firstLine="645"/>
        <w:jc w:val="left"/>
        <w:rPr>
          <w:rFonts w:ascii="仿宋_GB2312" w:eastAsia="仿宋_GB2312"/>
          <w:sz w:val="30"/>
          <w:szCs w:val="30"/>
          <w:highlight w:val="none"/>
        </w:rPr>
      </w:pPr>
      <w:r>
        <w:rPr>
          <w:rFonts w:hint="eastAsia" w:eastAsia="仿宋_GB2312"/>
          <w:kern w:val="0"/>
          <w:sz w:val="32"/>
          <w:szCs w:val="32"/>
          <w:highlight w:val="none"/>
        </w:rPr>
        <w:t>本单位无政府性基金预算安排的支出。</w:t>
      </w:r>
    </w:p>
    <w:p>
      <w:pPr>
        <w:spacing w:line="560" w:lineRule="exact"/>
        <w:ind w:firstLine="645"/>
        <w:jc w:val="left"/>
        <w:rPr>
          <w:rFonts w:ascii="仿宋_GB2312" w:eastAsia="仿宋_GB2312"/>
          <w:b/>
          <w:bCs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六、其他重要事项的情况说明：</w:t>
      </w:r>
    </w:p>
    <w:p>
      <w:pPr>
        <w:pStyle w:val="9"/>
        <w:shd w:val="clear" w:color="auto" w:fill="FFFFFF"/>
        <w:spacing w:line="450" w:lineRule="atLeast"/>
        <w:ind w:firstLine="48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1、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机关运行经费</w:t>
      </w:r>
    </w:p>
    <w:p>
      <w:pPr>
        <w:pStyle w:val="9"/>
        <w:shd w:val="clear" w:color="auto" w:fill="FFFFFF"/>
        <w:spacing w:line="450" w:lineRule="atLeast"/>
        <w:ind w:firstLine="480"/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本单位无机关运行经费预算安排的支出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eastAsia="仿宋_GB2312"/>
          <w:sz w:val="32"/>
          <w:szCs w:val="32"/>
          <w:highlight w:val="none"/>
        </w:rPr>
        <w:t>“ 三公”经费预算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2022年本单位含所辖各中小学校（包括小学6所、初中2所、九年一贯制2所、纯公办幼儿园2所）等单位公共财政拨款安排“三公”经费预算2.4万元，其中：公务接待费2.4万元、公务用车费0万元（其中，公务用车购置费0万元，公务用车运行费0万元），因公出国（境）费0万元。与2021年比较，公务接待费减少预算0.1万元。减少的原因，在公务接待方面我们严格按公务接待标准和要求执行，尽量减少接待人次和餐数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highlight w:val="none"/>
        </w:rPr>
        <w:t>、一般性支出情况：2022年本单位会议费预算7.03万元，拟召开10次会议，人数180人次，内容为开学工作、安全工作、迎检评估考核工作、教育教学、师德师风等；培训费预算18.75万元，拟组织中小学教师参加国培、省培、市培、县级培训，人数200人次，内容为信息技术与学科融合、骨干校长提升、名师培养、青年教师助力培训、校本研修、全员自主选学等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、政府采购安排情况：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2022年本单位政府采购预算总额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170.36</w:t>
      </w:r>
      <w:r>
        <w:rPr>
          <w:rFonts w:hint="eastAsia" w:ascii="仿宋_GB2312" w:eastAsia="仿宋_GB2312"/>
          <w:sz w:val="32"/>
          <w:szCs w:val="32"/>
          <w:highlight w:val="none"/>
        </w:rPr>
        <w:t>万元，其中，货物类采购预算10.36万元，工程类采购预算120万元，服务类采购预算40万元。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、国有资产占用使用及新增资产配置情况：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截止2021年12月底，本单位共有公务用车0辆，其中：其他按照规定配备的公务用车0辆。单位价值50万元以上通用设备 0 台，单位价值100万元以上专用设备 0 台。2022年拟新增配置公务用车0辆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  <w:highlight w:val="none"/>
        </w:rPr>
        <w:t>新增配备单位价值50万元以上通用设备0台，单位价值100万元以上专用设备0台。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highlight w:val="none"/>
        </w:rPr>
        <w:t>、预算绩效目标情况说明：</w:t>
      </w:r>
    </w:p>
    <w:p>
      <w:pPr>
        <w:pStyle w:val="9"/>
        <w:shd w:val="clear" w:color="auto" w:fill="FFFFFF"/>
        <w:spacing w:line="450" w:lineRule="atLeast"/>
        <w:ind w:firstLine="48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本单位所有支出实行绩效目标管理。纳入2022年部门整体支出绩效目标的金额为2887.2万元，其中，基本支出2887.2万元，具体绩效目标详见附表。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eastAsia="仿宋_GB2312"/>
          <w:b/>
          <w:bCs/>
          <w:sz w:val="30"/>
          <w:szCs w:val="30"/>
          <w:highlight w:val="none"/>
        </w:rPr>
      </w:pPr>
      <w:r>
        <w:rPr>
          <w:rFonts w:hint="eastAsia" w:ascii="仿宋_GB2312" w:eastAsia="仿宋_GB2312"/>
          <w:b/>
          <w:bCs/>
          <w:sz w:val="30"/>
          <w:szCs w:val="30"/>
          <w:highlight w:val="none"/>
        </w:rPr>
        <w:t>七、名词解释</w:t>
      </w:r>
    </w:p>
    <w:p>
      <w:pPr>
        <w:pStyle w:val="9"/>
        <w:shd w:val="clear" w:color="auto" w:fill="FFFFFF"/>
        <w:spacing w:line="450" w:lineRule="atLeast"/>
        <w:ind w:firstLine="48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ascii="仿宋_GB2312" w:eastAsia="仿宋_GB2312"/>
          <w:sz w:val="32"/>
          <w:szCs w:val="32"/>
          <w:highlight w:val="non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br w:type="page"/>
      </w: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>第二部分 2022年部门预算表</w:t>
      </w:r>
    </w:p>
    <w:p>
      <w:pPr>
        <w:ind w:firstLine="1343" w:firstLineChars="446"/>
        <w:rPr>
          <w:rFonts w:eastAsia="黑体"/>
          <w:color w:val="000000"/>
          <w:kern w:val="0"/>
          <w:sz w:val="2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经费预算公开表格（表1）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部门收支总表</w:t>
      </w:r>
    </w:p>
    <w:p>
      <w:pPr>
        <w:wordWrap w:val="0"/>
        <w:ind w:right="105"/>
        <w:jc w:val="right"/>
        <w:rPr>
          <w:color w:val="000000"/>
          <w:kern w:val="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  <w:r>
        <w:rPr>
          <w:color w:val="000000"/>
          <w:kern w:val="0"/>
          <w:szCs w:val="21"/>
          <w:highlight w:val="none"/>
        </w:rPr>
        <w:t xml:space="preserve">  </w:t>
      </w:r>
    </w:p>
    <w:tbl>
      <w:tblPr>
        <w:tblStyle w:val="10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预算数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一、一般公共预算拨款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2,620.28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一、本年支出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2,887.20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经费拨款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2,620.28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（一）一般公共服务支出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  <w:highlight w:val="none"/>
              </w:rPr>
              <w:t>入一般公共预算管理的非税收入拨款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（二）国防支出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二、政府性基金收入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（三）公共安全支出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（四）教育支出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4.84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四、上级补助收入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236.92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（五）科学技术支出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五、其他收入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（六）文化体育与传媒支出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（七）社会保障和就业支出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262.3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（八）卫生健康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  <w:highlight w:val="none"/>
              </w:rPr>
              <w:t>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188.56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（九）节能环保支出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（十）城乡社区支出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（十一）农林水支出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（十二）交通运输支出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（十三）资源勘探信息等支出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（十四）商业服务业等支出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（十五）金融支出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（十六）国土海洋气象等支出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（十七）住房保障支出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  <w:r>
              <w:rPr>
                <w:color w:val="000000"/>
                <w:kern w:val="0"/>
                <w:szCs w:val="21"/>
                <w:highlight w:val="none"/>
              </w:rPr>
              <w:t>211.4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（十八）粮油物资储备支出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（十九）其他支出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二、结转下年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bottom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收入总计</w:t>
            </w:r>
          </w:p>
        </w:tc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z w:val="14"/>
                <w:szCs w:val="14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2,887.20</w:t>
            </w:r>
          </w:p>
        </w:tc>
        <w:tc>
          <w:tcPr>
            <w:tcW w:w="29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支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出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总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计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2,887.20</w:t>
            </w:r>
          </w:p>
        </w:tc>
      </w:tr>
    </w:tbl>
    <w:p>
      <w:pPr>
        <w:jc w:val="center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color w:val="000000"/>
          <w:highlight w:val="none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经费预算公开表格（表2）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部门收入总表</w:t>
      </w:r>
    </w:p>
    <w:p>
      <w:pPr>
        <w:wordWrap w:val="0"/>
        <w:ind w:right="420"/>
        <w:jc w:val="right"/>
        <w:rPr>
          <w:color w:val="000000"/>
          <w:kern w:val="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</w:p>
    <w:tbl>
      <w:tblPr>
        <w:tblStyle w:val="10"/>
        <w:tblW w:w="93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500"/>
        <w:gridCol w:w="1579"/>
        <w:gridCol w:w="1110"/>
        <w:gridCol w:w="1015"/>
        <w:gridCol w:w="939"/>
        <w:gridCol w:w="903"/>
        <w:gridCol w:w="408"/>
        <w:gridCol w:w="944"/>
        <w:gridCol w:w="935"/>
        <w:gridCol w:w="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68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功能分类科目</w:t>
            </w:r>
          </w:p>
        </w:tc>
        <w:tc>
          <w:tcPr>
            <w:tcW w:w="111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285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一般公共预算拨款</w:t>
            </w:r>
          </w:p>
        </w:tc>
        <w:tc>
          <w:tcPr>
            <w:tcW w:w="4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政府性基金收入</w:t>
            </w:r>
          </w:p>
        </w:tc>
        <w:tc>
          <w:tcPr>
            <w:tcW w:w="94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纳入专户管理的非税收入拨款</w:t>
            </w:r>
          </w:p>
        </w:tc>
        <w:tc>
          <w:tcPr>
            <w:tcW w:w="935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上级补助收入</w:t>
            </w:r>
          </w:p>
        </w:tc>
        <w:tc>
          <w:tcPr>
            <w:tcW w:w="37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其他</w:t>
            </w:r>
            <w:r>
              <w:rPr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收入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15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01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小计</w:t>
            </w:r>
          </w:p>
        </w:tc>
        <w:tc>
          <w:tcPr>
            <w:tcW w:w="93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经费</w:t>
            </w:r>
            <w:r>
              <w:rPr>
                <w:color w:val="000000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拨款</w:t>
            </w:r>
          </w:p>
        </w:tc>
        <w:tc>
          <w:tcPr>
            <w:tcW w:w="9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纳入一般公共预算管理的非税收入拨款</w:t>
            </w:r>
          </w:p>
        </w:tc>
        <w:tc>
          <w:tcPr>
            <w:tcW w:w="4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34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</w:t>
            </w:r>
          </w:p>
        </w:tc>
        <w:tc>
          <w:tcPr>
            <w:tcW w:w="15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3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40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4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3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教育支出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236.92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20502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普通教育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236.92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2050201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学前教育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51.75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51.75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51.75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　  </w:t>
            </w:r>
            <w:r>
              <w:rPr>
                <w:color w:val="000000"/>
                <w:kern w:val="0"/>
                <w:szCs w:val="21"/>
                <w:highlight w:val="none"/>
              </w:rPr>
              <w:t>2050202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小学教育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2173.09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1906.17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1906.17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236.92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208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社会保障和就业支出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20805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行政事业业单位养老支出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2080505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3"/>
                <w:szCs w:val="13"/>
                <w:highlight w:val="none"/>
              </w:rPr>
              <w:t>机关事业单位基本养老保险缴费支出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卫生健康支出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21011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行政事业单位医疗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2101101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行政单位医疗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221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住房保障支出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22102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住房改革支出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2210201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住房公积金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110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360" w:firstLineChars="200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合  计</w:t>
            </w:r>
          </w:p>
        </w:tc>
        <w:tc>
          <w:tcPr>
            <w:tcW w:w="1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2887.2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2620.28</w:t>
            </w:r>
          </w:p>
        </w:tc>
        <w:tc>
          <w:tcPr>
            <w:tcW w:w="9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2620.28</w:t>
            </w:r>
          </w:p>
        </w:tc>
        <w:tc>
          <w:tcPr>
            <w:tcW w:w="9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9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9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236.92</w:t>
            </w:r>
          </w:p>
        </w:tc>
        <w:tc>
          <w:tcPr>
            <w:tcW w:w="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</w:tr>
    </w:tbl>
    <w:p>
      <w:pPr>
        <w:jc w:val="center"/>
        <w:rPr>
          <w:color w:val="000000"/>
          <w:highlight w:val="none"/>
        </w:rPr>
      </w:pPr>
      <w:r>
        <w:rPr>
          <w:color w:val="000000"/>
          <w:highlight w:val="none"/>
        </w:rPr>
        <w:br w:type="column"/>
      </w:r>
    </w:p>
    <w:p>
      <w:pPr>
        <w:jc w:val="center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经费预算公开表格（表3）</w:t>
      </w:r>
    </w:p>
    <w:p>
      <w:pPr>
        <w:spacing w:line="240" w:lineRule="exact"/>
        <w:rPr>
          <w:rFonts w:eastAsia="黑体"/>
          <w:color w:val="000000"/>
          <w:kern w:val="0"/>
          <w:sz w:val="2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部门支出总表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 xml:space="preserve"> </w:t>
      </w: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 xml:space="preserve">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</w:p>
    <w:tbl>
      <w:tblPr>
        <w:tblStyle w:val="10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334"/>
        <w:gridCol w:w="1303"/>
        <w:gridCol w:w="1130"/>
        <w:gridCol w:w="14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31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功能分类科目</w:t>
            </w:r>
          </w:p>
        </w:tc>
        <w:tc>
          <w:tcPr>
            <w:tcW w:w="1303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3334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6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</w:t>
            </w:r>
          </w:p>
        </w:tc>
        <w:tc>
          <w:tcPr>
            <w:tcW w:w="33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2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1" w:firstLineChars="100"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教育支出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 xml:space="preserve">  20502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 xml:space="preserve">  普通教育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2224.84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　</w:t>
            </w:r>
            <w:r>
              <w:rPr>
                <w:color w:val="000000"/>
                <w:kern w:val="0"/>
                <w:sz w:val="18"/>
                <w:szCs w:val="18"/>
                <w:highlight w:val="none"/>
              </w:rPr>
              <w:t>2050201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　学前教育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51.75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51.75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 xml:space="preserve">　  </w:t>
            </w:r>
            <w:r>
              <w:rPr>
                <w:color w:val="000000"/>
                <w:kern w:val="0"/>
                <w:sz w:val="18"/>
                <w:szCs w:val="18"/>
                <w:highlight w:val="none"/>
              </w:rPr>
              <w:t>2050202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　小学教育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2173.09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2173.09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208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社会保障和就业支出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20805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行政事业业单位养老支出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2080505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3"/>
                <w:szCs w:val="13"/>
                <w:highlight w:val="none"/>
              </w:rPr>
              <w:t>机关事业单位基本养老保险缴费支出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卫生健康支出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1" w:firstLineChars="100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21011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行政事业单位医疗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2101101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行政单位医疗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221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住房保障支出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22102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住房改革支出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2210201</w:t>
            </w: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住房公积金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180" w:firstLineChars="100"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ind w:firstLine="360" w:firstLineChars="2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33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0" w:firstLineChars="100"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  计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2887.2</w:t>
            </w:r>
          </w:p>
        </w:tc>
        <w:tc>
          <w:tcPr>
            <w:tcW w:w="113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2887.2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</w:rPr>
              <w:t>0</w:t>
            </w:r>
          </w:p>
        </w:tc>
      </w:tr>
    </w:tbl>
    <w:p>
      <w:pPr>
        <w:spacing w:line="600" w:lineRule="exact"/>
        <w:jc w:val="left"/>
        <w:rPr>
          <w:rFonts w:ascii="仿宋_GB2312" w:eastAsia="仿宋_GB2312"/>
          <w:sz w:val="30"/>
          <w:szCs w:val="30"/>
          <w:highlight w:val="none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042" w:firstLineChars="346"/>
        <w:jc w:val="lef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经费预算公开表格（表4）</w:t>
      </w:r>
    </w:p>
    <w:p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部门财政拨款收支总表</w:t>
      </w:r>
    </w:p>
    <w:p>
      <w:pPr>
        <w:ind w:right="105"/>
        <w:jc w:val="right"/>
        <w:rPr>
          <w:rFonts w:eastAsia="楷体_GB2312"/>
          <w:b/>
          <w:color w:val="00000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</w:p>
    <w:tbl>
      <w:tblPr>
        <w:tblStyle w:val="10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收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支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预算数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一、一般公共预算拨款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一、本年支出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经费拨款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（一）一般公共服务支出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纳入一般公共预算管理的非税收入拨款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（二）国防支出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二、政府性基金收入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（三）公共安全支出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（四）教育支出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1957.92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（五）科学技术支出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（六）文化体育与传媒支出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（七）社会保障和就业支出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（八）卫生健康支出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188.56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（九）节能环保支出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（十）城乡社区支出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（十一）农林水支出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（十二）交通运输支出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（十三）资源勘探信息等支出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（十四）商业服务业等支出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（十五）金融支出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（十六）国土海洋气象等支出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（十七）住房保障支出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211.45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（十八）粮油物资储备支出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  <w:highlight w:val="none"/>
              </w:rPr>
            </w:pPr>
            <w:r>
              <w:rPr>
                <w:rFonts w:hint="eastAsia"/>
                <w:sz w:val="14"/>
                <w:szCs w:val="14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（十九）其他支出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二、结转下年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14"/>
                <w:szCs w:val="1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收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入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总计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311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支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出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总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计</w:t>
            </w:r>
          </w:p>
        </w:tc>
        <w:tc>
          <w:tcPr>
            <w:tcW w:w="124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</w:tr>
    </w:tbl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193" w:firstLineChars="396"/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193" w:firstLineChars="396"/>
        <w:rPr>
          <w:rFonts w:eastAsia="黑体"/>
          <w:color w:val="000000"/>
          <w:kern w:val="0"/>
          <w:sz w:val="2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经费预算公开表格（表5）</w:t>
      </w: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一般公共预算支出表</w:t>
      </w:r>
    </w:p>
    <w:p>
      <w:pPr>
        <w:wordWrap w:val="0"/>
        <w:ind w:right="420"/>
        <w:jc w:val="right"/>
        <w:rPr>
          <w:rFonts w:eastAsia="黑体"/>
          <w:color w:val="000000"/>
          <w:kern w:val="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  <w:r>
        <w:rPr>
          <w:color w:val="000000"/>
          <w:kern w:val="0"/>
          <w:szCs w:val="21"/>
          <w:highlight w:val="none"/>
        </w:rPr>
        <w:t xml:space="preserve">  </w:t>
      </w:r>
    </w:p>
    <w:tbl>
      <w:tblPr>
        <w:tblStyle w:val="10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383"/>
        <w:gridCol w:w="3278"/>
        <w:gridCol w:w="1387"/>
        <w:gridCol w:w="1387"/>
        <w:gridCol w:w="13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32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13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小计</w:t>
            </w:r>
          </w:p>
        </w:tc>
        <w:tc>
          <w:tcPr>
            <w:tcW w:w="138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基本支出</w:t>
            </w:r>
          </w:p>
        </w:tc>
        <w:tc>
          <w:tcPr>
            <w:tcW w:w="138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exact"/>
          <w:jc w:val="center"/>
        </w:trPr>
        <w:tc>
          <w:tcPr>
            <w:tcW w:w="52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3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</w:t>
            </w:r>
          </w:p>
        </w:tc>
        <w:tc>
          <w:tcPr>
            <w:tcW w:w="32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教育支出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20502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普通教育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1957.92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　  </w:t>
            </w:r>
            <w:r>
              <w:rPr>
                <w:color w:val="000000"/>
                <w:kern w:val="0"/>
                <w:szCs w:val="21"/>
                <w:highlight w:val="none"/>
              </w:rPr>
              <w:t>2050201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  学前教育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51.75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　51.75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　  </w:t>
            </w:r>
            <w:r>
              <w:rPr>
                <w:color w:val="000000"/>
                <w:kern w:val="0"/>
                <w:szCs w:val="21"/>
                <w:highlight w:val="none"/>
              </w:rPr>
              <w:t>2050202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  小学教育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1906.17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1906.17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208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社会保障和就业支出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20805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bottom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行政事业业单位养老支出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2080505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3"/>
                <w:szCs w:val="13"/>
                <w:highlight w:val="none"/>
              </w:rPr>
              <w:t>机关事业单位基本养老保险缴费支出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262.35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卫生健康支出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firstLine="211" w:firstLineChars="100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21011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行政事业单位医疗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2101101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行政单位医疗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188.56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221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住房保障支出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22102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 xml:space="preserve">  住房改革支出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2210201</w:t>
            </w: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 xml:space="preserve">    住房公积金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211.45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43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计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13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color w:val="000000"/>
                <w:kern w:val="0"/>
                <w:szCs w:val="21"/>
                <w:highlight w:val="none"/>
              </w:rPr>
            </w:pPr>
          </w:p>
        </w:tc>
      </w:tr>
    </w:tbl>
    <w:p>
      <w:pPr>
        <w:rPr>
          <w:color w:val="000000"/>
          <w:highlight w:val="none"/>
        </w:rPr>
      </w:pPr>
    </w:p>
    <w:p>
      <w:pPr>
        <w:rPr>
          <w:color w:val="000000"/>
          <w:highlight w:val="none"/>
        </w:rPr>
      </w:pPr>
    </w:p>
    <w:p>
      <w:pPr>
        <w:ind w:firstLine="1946" w:firstLineChars="646"/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946" w:firstLineChars="646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经费预算公开表格（表6）</w:t>
      </w:r>
    </w:p>
    <w:p>
      <w:pPr>
        <w:spacing w:line="240" w:lineRule="exact"/>
        <w:rPr>
          <w:rFonts w:eastAsia="黑体"/>
          <w:color w:val="000000"/>
          <w:kern w:val="0"/>
          <w:sz w:val="2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  <w:highlight w:val="none"/>
        </w:rPr>
      </w:pPr>
      <w:r>
        <w:rPr>
          <w:color w:val="000000"/>
          <w:kern w:val="0"/>
          <w:szCs w:val="21"/>
          <w:highlight w:val="none"/>
        </w:rPr>
        <w:t xml:space="preserve">                                        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 xml:space="preserve"> </w:t>
      </w: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  <w:r>
        <w:rPr>
          <w:color w:val="000000"/>
          <w:kern w:val="0"/>
          <w:szCs w:val="21"/>
          <w:highlight w:val="none"/>
        </w:rPr>
        <w:t xml:space="preserve">  </w:t>
      </w:r>
    </w:p>
    <w:tbl>
      <w:tblPr>
        <w:tblStyle w:val="10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22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14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20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人员经费</w:t>
            </w:r>
          </w:p>
        </w:tc>
        <w:tc>
          <w:tcPr>
            <w:tcW w:w="181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22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>301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工资福利支出</w:t>
            </w: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2447.7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2447.7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color w:val="000000"/>
                <w:kern w:val="0"/>
                <w:szCs w:val="21"/>
                <w:highlight w:val="none"/>
              </w:rPr>
              <w:t>30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01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基本工资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1004.94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1004.94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000000"/>
                <w:sz w:val="18"/>
                <w:szCs w:val="18"/>
                <w:highlight w:val="none"/>
              </w:rPr>
              <w:t>30102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津贴补贴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95.94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95.94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30103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奖金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122.4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122.4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30107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绩效工资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538.78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538.78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30108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机关事业单位基本养老保险缴费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262.35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262.35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30110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职工基本医疗保险缴费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188.56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188.56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30112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其他社会保障缴费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23.28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23.28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30113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住房公积金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211.45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211.45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b/>
                <w:bCs/>
                <w:color w:val="000000"/>
                <w:kern w:val="0"/>
                <w:szCs w:val="21"/>
                <w:highlight w:val="none"/>
              </w:rPr>
              <w:t>302</w:t>
            </w: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Cs w:val="21"/>
                <w:highlight w:val="none"/>
              </w:rPr>
              <w:t>商品和服务支出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172.58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172.58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30201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办公费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26.29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26.29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30202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印刷费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11.72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11.72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30205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水费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7.03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7.03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30206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电费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23.44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23.44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30207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邮电费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7.03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7.03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30211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差旅费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30213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维修（护）费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46.88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46.88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经费预算公开表格（表6续）</w:t>
      </w:r>
    </w:p>
    <w:p>
      <w:pPr>
        <w:spacing w:line="240" w:lineRule="exact"/>
        <w:rPr>
          <w:rFonts w:eastAsia="黑体"/>
          <w:color w:val="000000"/>
          <w:kern w:val="0"/>
          <w:sz w:val="2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一般公共预算基本支出表</w:t>
      </w:r>
    </w:p>
    <w:p>
      <w:pPr>
        <w:wordWrap w:val="0"/>
        <w:ind w:right="420"/>
        <w:jc w:val="center"/>
        <w:rPr>
          <w:color w:val="000000"/>
          <w:kern w:val="0"/>
          <w:szCs w:val="21"/>
          <w:highlight w:val="none"/>
        </w:rPr>
      </w:pPr>
      <w:r>
        <w:rPr>
          <w:color w:val="000000"/>
          <w:kern w:val="0"/>
          <w:szCs w:val="21"/>
          <w:highlight w:val="none"/>
        </w:rPr>
        <w:t xml:space="preserve">                                        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 xml:space="preserve"> </w:t>
      </w: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 xml:space="preserve"> 单位：万元</w:t>
      </w:r>
      <w:r>
        <w:rPr>
          <w:color w:val="000000"/>
          <w:kern w:val="0"/>
          <w:szCs w:val="21"/>
          <w:highlight w:val="none"/>
        </w:rPr>
        <w:t xml:space="preserve">  </w:t>
      </w:r>
    </w:p>
    <w:tbl>
      <w:tblPr>
        <w:tblStyle w:val="10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22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149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200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人员经费</w:t>
            </w:r>
          </w:p>
        </w:tc>
        <w:tc>
          <w:tcPr>
            <w:tcW w:w="181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公用经费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22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30215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会议费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30216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培训费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18.75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18.75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30217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公务接待费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2.4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2.4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30218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专用材料费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30226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劳务费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30228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工会经费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30229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福利费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30231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公务用车运行维护费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0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30239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其他交通费用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30299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其他商品和服务支出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7.95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7.95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ascii="宋体" w:hAnsi="宋体" w:cs="宋体"/>
                <w:b/>
                <w:color w:val="000000"/>
                <w:sz w:val="18"/>
                <w:szCs w:val="18"/>
                <w:highlight w:val="none"/>
              </w:rPr>
              <w:t>303</w:t>
            </w:r>
            <w:r>
              <w:rPr>
                <w:rFonts w:hint="eastAsia"/>
                <w:b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b/>
                <w:color w:val="000000"/>
                <w:kern w:val="0"/>
                <w:szCs w:val="21"/>
                <w:highlight w:val="none"/>
              </w:rPr>
              <w:t>对个人和家庭补助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30305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生活补助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30399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其他对个人和家庭的补助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2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</w:t>
            </w:r>
            <w:r>
              <w:rPr>
                <w:color w:val="000000"/>
                <w:kern w:val="0"/>
                <w:szCs w:val="21"/>
                <w:highlight w:val="none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计</w:t>
            </w:r>
          </w:p>
        </w:tc>
        <w:tc>
          <w:tcPr>
            <w:tcW w:w="149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2620.28</w:t>
            </w:r>
          </w:p>
        </w:tc>
        <w:tc>
          <w:tcPr>
            <w:tcW w:w="20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/>
                <w:color w:val="000000"/>
                <w:sz w:val="22"/>
                <w:szCs w:val="22"/>
                <w:highlight w:val="none"/>
              </w:rPr>
              <w:t>2447.7</w:t>
            </w:r>
          </w:p>
        </w:tc>
        <w:tc>
          <w:tcPr>
            <w:tcW w:w="181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highlight w:val="none"/>
              </w:rPr>
              <w:t>172.58</w:t>
            </w:r>
          </w:p>
        </w:tc>
      </w:tr>
    </w:tbl>
    <w:p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经费预算公开表格（表7）</w:t>
      </w:r>
    </w:p>
    <w:p>
      <w:pPr>
        <w:spacing w:line="240" w:lineRule="exact"/>
        <w:rPr>
          <w:rFonts w:eastAsia="黑体"/>
          <w:color w:val="000000"/>
          <w:kern w:val="0"/>
          <w:sz w:val="2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三公</w:t>
      </w:r>
      <w:r>
        <w:rPr>
          <w:rFonts w:eastAsia="方正小标宋简体"/>
          <w:color w:val="000000"/>
          <w:kern w:val="0"/>
          <w:sz w:val="40"/>
          <w:szCs w:val="40"/>
          <w:highlight w:val="none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经费支出表</w:t>
      </w:r>
    </w:p>
    <w:p>
      <w:pPr>
        <w:wordWrap w:val="0"/>
        <w:jc w:val="right"/>
        <w:rPr>
          <w:color w:val="000000"/>
          <w:kern w:val="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</w:rPr>
        <w:t xml:space="preserve">  </w:t>
      </w: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color w:val="000000"/>
          <w:kern w:val="0"/>
          <w:szCs w:val="21"/>
          <w:highlight w:val="none"/>
        </w:rPr>
        <w:t>单位：万元</w:t>
      </w:r>
    </w:p>
    <w:tbl>
      <w:tblPr>
        <w:tblStyle w:val="10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724"/>
        <w:gridCol w:w="679"/>
        <w:gridCol w:w="680"/>
        <w:gridCol w:w="900"/>
        <w:gridCol w:w="940"/>
        <w:gridCol w:w="7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本年预算数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68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出国（境）费</w:t>
            </w:r>
          </w:p>
        </w:tc>
        <w:tc>
          <w:tcPr>
            <w:tcW w:w="2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公务用车购置及运行费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公务接待费</w:t>
            </w:r>
          </w:p>
        </w:tc>
        <w:tc>
          <w:tcPr>
            <w:tcW w:w="7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67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因公</w:t>
            </w:r>
          </w:p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出国（境）费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公务用车购置及运行费</w:t>
            </w:r>
          </w:p>
        </w:tc>
        <w:tc>
          <w:tcPr>
            <w:tcW w:w="7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公务接待费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8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小计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公务用车购置费</w:t>
            </w: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公务用车运行费</w:t>
            </w: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7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小计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公务用车购置费</w:t>
            </w: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公务用车运行费</w:t>
            </w:r>
          </w:p>
        </w:tc>
        <w:tc>
          <w:tcPr>
            <w:tcW w:w="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113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2.5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2.4</w:t>
            </w:r>
          </w:p>
        </w:tc>
        <w:tc>
          <w:tcPr>
            <w:tcW w:w="67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68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940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highlight w:val="none"/>
              </w:rPr>
              <w:t>2.4</w:t>
            </w:r>
          </w:p>
        </w:tc>
      </w:tr>
    </w:tbl>
    <w:p>
      <w:pPr>
        <w:rPr>
          <w:color w:val="000000"/>
          <w:highlight w:val="none"/>
        </w:rPr>
      </w:pPr>
      <w:r>
        <w:rPr>
          <w:rFonts w:hint="eastAsia"/>
          <w:color w:val="000000"/>
          <w:highlight w:val="none"/>
        </w:rPr>
        <w:t>中心校没有公务用车运行费用。公务接待严格执行“从严从简、依法依规、节俭办事、标准控制”的原则。</w:t>
      </w:r>
    </w:p>
    <w:p>
      <w:pPr>
        <w:ind w:firstLine="1680" w:firstLineChars="800"/>
        <w:rPr>
          <w:color w:val="000000"/>
          <w:highlight w:val="none"/>
        </w:rPr>
      </w:pPr>
      <w:r>
        <w:rPr>
          <w:color w:val="000000"/>
          <w:highlight w:val="none"/>
        </w:rPr>
        <w:br w:type="column"/>
      </w:r>
    </w:p>
    <w:p>
      <w:pPr>
        <w:jc w:val="center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  <w:highlight w:val="none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  <w:highlight w:val="none"/>
        </w:rPr>
        <w:t>经费预算公开表格（表8）</w:t>
      </w:r>
    </w:p>
    <w:p>
      <w:pPr>
        <w:spacing w:line="240" w:lineRule="exact"/>
        <w:rPr>
          <w:rFonts w:eastAsia="黑体"/>
          <w:color w:val="000000"/>
          <w:kern w:val="0"/>
          <w:sz w:val="20"/>
          <w:highlight w:val="none"/>
        </w:rPr>
      </w:pPr>
    </w:p>
    <w:p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  <w:t>政府性基金预算支出表</w:t>
      </w:r>
    </w:p>
    <w:p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</w:p>
    <w:p>
      <w:pPr>
        <w:wordWrap w:val="0"/>
        <w:jc w:val="right"/>
        <w:rPr>
          <w:color w:val="000000"/>
          <w:kern w:val="0"/>
          <w:szCs w:val="21"/>
          <w:highlight w:val="none"/>
        </w:rPr>
      </w:pPr>
      <w:r>
        <w:rPr>
          <w:rFonts w:hint="eastAsia"/>
          <w:color w:val="000000"/>
          <w:kern w:val="0"/>
          <w:szCs w:val="21"/>
          <w:highlight w:val="none"/>
          <w:lang w:eastAsia="zh-CN"/>
        </w:rPr>
        <w:t>部门：</w:t>
      </w:r>
      <w:r>
        <w:rPr>
          <w:rFonts w:hint="eastAsia"/>
          <w:color w:val="000000"/>
          <w:kern w:val="0"/>
          <w:szCs w:val="21"/>
          <w:highlight w:val="none"/>
        </w:rPr>
        <w:t>湘潭县杨嘉桥镇中心学校</w:t>
      </w:r>
      <w:r>
        <w:rPr>
          <w:rFonts w:hint="eastAsia"/>
          <w:color w:val="000000"/>
          <w:kern w:val="0"/>
          <w:szCs w:val="21"/>
          <w:highlight w:val="none"/>
          <w:lang w:val="en-US" w:eastAsia="zh-CN"/>
        </w:rPr>
        <w:t xml:space="preserve">                                   </w:t>
      </w:r>
      <w:bookmarkStart w:id="1" w:name="_GoBack"/>
      <w:bookmarkEnd w:id="1"/>
      <w:r>
        <w:rPr>
          <w:rFonts w:hint="eastAsia"/>
          <w:color w:val="000000"/>
          <w:kern w:val="0"/>
          <w:szCs w:val="21"/>
          <w:highlight w:val="none"/>
        </w:rPr>
        <w:t>单位：万元</w:t>
      </w:r>
      <w:r>
        <w:rPr>
          <w:color w:val="000000"/>
          <w:kern w:val="0"/>
          <w:szCs w:val="21"/>
          <w:highlight w:val="none"/>
        </w:rPr>
        <w:t xml:space="preserve">  </w:t>
      </w:r>
    </w:p>
    <w:tbl>
      <w:tblPr>
        <w:tblStyle w:val="10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本年政府性基金预算财政拨款支出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科目名称</w:t>
            </w:r>
          </w:p>
        </w:tc>
        <w:tc>
          <w:tcPr>
            <w:tcW w:w="90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1362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基本支出</w:t>
            </w:r>
          </w:p>
        </w:tc>
        <w:tc>
          <w:tcPr>
            <w:tcW w:w="128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项目支出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类</w:t>
            </w:r>
          </w:p>
        </w:tc>
        <w:tc>
          <w:tcPr>
            <w:tcW w:w="7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款</w:t>
            </w:r>
          </w:p>
        </w:tc>
        <w:tc>
          <w:tcPr>
            <w:tcW w:w="7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项</w:t>
            </w:r>
          </w:p>
        </w:tc>
        <w:tc>
          <w:tcPr>
            <w:tcW w:w="322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0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0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0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90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　</w:t>
            </w:r>
          </w:p>
        </w:tc>
        <w:tc>
          <w:tcPr>
            <w:tcW w:w="136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　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0　</w:t>
            </w:r>
          </w:p>
        </w:tc>
      </w:tr>
    </w:tbl>
    <w:p>
      <w:pPr>
        <w:rPr>
          <w:rFonts w:ascii="仿宋_GB2312" w:eastAsia="仿宋_GB2312"/>
          <w:sz w:val="30"/>
          <w:szCs w:val="30"/>
          <w:highlight w:val="none"/>
        </w:rPr>
      </w:pPr>
      <w:bookmarkStart w:id="0" w:name="RANGE_A1_D24"/>
      <w:bookmarkEnd w:id="0"/>
      <w:r>
        <w:rPr>
          <w:rFonts w:hint="eastAsia" w:eastAsia="楷体_GB2312"/>
          <w:bCs/>
          <w:color w:val="000000"/>
          <w:kern w:val="0"/>
          <w:sz w:val="30"/>
          <w:szCs w:val="30"/>
          <w:highlight w:val="none"/>
        </w:rPr>
        <w:t>说明：本单位无政府性基金预算安排的支出。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D381D7"/>
    <w:multiLevelType w:val="singleLevel"/>
    <w:tmpl w:val="5CD381D7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E3A73BF"/>
    <w:multiLevelType w:val="singleLevel"/>
    <w:tmpl w:val="5E3A73B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MTc4YWYxMTUzOTg0NzQ5ZWY4NmNmMmU1NzNiNTEifQ=="/>
  </w:docVars>
  <w:rsids>
    <w:rsidRoot w:val="0C9C0351"/>
    <w:rsid w:val="00002861"/>
    <w:rsid w:val="00004943"/>
    <w:rsid w:val="00034329"/>
    <w:rsid w:val="00040722"/>
    <w:rsid w:val="00051C53"/>
    <w:rsid w:val="00062D77"/>
    <w:rsid w:val="000657A5"/>
    <w:rsid w:val="000810D3"/>
    <w:rsid w:val="000820DE"/>
    <w:rsid w:val="00095498"/>
    <w:rsid w:val="000B5ECC"/>
    <w:rsid w:val="000C35E5"/>
    <w:rsid w:val="000D0C56"/>
    <w:rsid w:val="000E01F7"/>
    <w:rsid w:val="000E063F"/>
    <w:rsid w:val="000E3669"/>
    <w:rsid w:val="000F00A1"/>
    <w:rsid w:val="000F7BE4"/>
    <w:rsid w:val="00105D2C"/>
    <w:rsid w:val="001141F7"/>
    <w:rsid w:val="0011540C"/>
    <w:rsid w:val="001174B2"/>
    <w:rsid w:val="00117EDF"/>
    <w:rsid w:val="00144DD1"/>
    <w:rsid w:val="00151F01"/>
    <w:rsid w:val="0015379C"/>
    <w:rsid w:val="001A12F5"/>
    <w:rsid w:val="001A21C9"/>
    <w:rsid w:val="001B7B51"/>
    <w:rsid w:val="001C07C8"/>
    <w:rsid w:val="001C12D0"/>
    <w:rsid w:val="001D0959"/>
    <w:rsid w:val="001E0F2E"/>
    <w:rsid w:val="001E17A6"/>
    <w:rsid w:val="001E37CD"/>
    <w:rsid w:val="001F037A"/>
    <w:rsid w:val="002063B2"/>
    <w:rsid w:val="0021557E"/>
    <w:rsid w:val="00222D3C"/>
    <w:rsid w:val="00222F3B"/>
    <w:rsid w:val="002440EB"/>
    <w:rsid w:val="00252731"/>
    <w:rsid w:val="00263D0A"/>
    <w:rsid w:val="00272725"/>
    <w:rsid w:val="00275292"/>
    <w:rsid w:val="00280149"/>
    <w:rsid w:val="00280401"/>
    <w:rsid w:val="002812B8"/>
    <w:rsid w:val="00297ABD"/>
    <w:rsid w:val="002A630C"/>
    <w:rsid w:val="002B2626"/>
    <w:rsid w:val="002B2C3F"/>
    <w:rsid w:val="00303F27"/>
    <w:rsid w:val="003066AF"/>
    <w:rsid w:val="0031029D"/>
    <w:rsid w:val="003136F2"/>
    <w:rsid w:val="00321998"/>
    <w:rsid w:val="00331D27"/>
    <w:rsid w:val="00332D91"/>
    <w:rsid w:val="003530A5"/>
    <w:rsid w:val="003735A1"/>
    <w:rsid w:val="003807AB"/>
    <w:rsid w:val="003A0B06"/>
    <w:rsid w:val="003C6578"/>
    <w:rsid w:val="003D4AED"/>
    <w:rsid w:val="003D7520"/>
    <w:rsid w:val="003E1C7A"/>
    <w:rsid w:val="003E6026"/>
    <w:rsid w:val="00410C67"/>
    <w:rsid w:val="00433185"/>
    <w:rsid w:val="00437157"/>
    <w:rsid w:val="00445F2F"/>
    <w:rsid w:val="004633CF"/>
    <w:rsid w:val="00465030"/>
    <w:rsid w:val="00467D92"/>
    <w:rsid w:val="00472544"/>
    <w:rsid w:val="004811DD"/>
    <w:rsid w:val="004860B7"/>
    <w:rsid w:val="00491CFB"/>
    <w:rsid w:val="004A2416"/>
    <w:rsid w:val="004F419C"/>
    <w:rsid w:val="0050242A"/>
    <w:rsid w:val="00505A5C"/>
    <w:rsid w:val="00520FF3"/>
    <w:rsid w:val="00525F48"/>
    <w:rsid w:val="005574F5"/>
    <w:rsid w:val="005574FF"/>
    <w:rsid w:val="00561DB8"/>
    <w:rsid w:val="00577BFE"/>
    <w:rsid w:val="005876E2"/>
    <w:rsid w:val="00595A56"/>
    <w:rsid w:val="00597FC4"/>
    <w:rsid w:val="005B0A54"/>
    <w:rsid w:val="005B3528"/>
    <w:rsid w:val="005B52C6"/>
    <w:rsid w:val="005B6E83"/>
    <w:rsid w:val="005C6ACE"/>
    <w:rsid w:val="005D0FD7"/>
    <w:rsid w:val="005D6CF6"/>
    <w:rsid w:val="005F0FF9"/>
    <w:rsid w:val="006133C2"/>
    <w:rsid w:val="00616400"/>
    <w:rsid w:val="0061706E"/>
    <w:rsid w:val="006255D6"/>
    <w:rsid w:val="0064624F"/>
    <w:rsid w:val="00660CB7"/>
    <w:rsid w:val="0066785F"/>
    <w:rsid w:val="006705B4"/>
    <w:rsid w:val="00674684"/>
    <w:rsid w:val="0068119F"/>
    <w:rsid w:val="006A72AF"/>
    <w:rsid w:val="006C4D2C"/>
    <w:rsid w:val="006E597C"/>
    <w:rsid w:val="0072675F"/>
    <w:rsid w:val="00734074"/>
    <w:rsid w:val="00754962"/>
    <w:rsid w:val="00770C00"/>
    <w:rsid w:val="007718D4"/>
    <w:rsid w:val="00773808"/>
    <w:rsid w:val="00781EDC"/>
    <w:rsid w:val="00782A85"/>
    <w:rsid w:val="00784CB4"/>
    <w:rsid w:val="007903DC"/>
    <w:rsid w:val="00791CBD"/>
    <w:rsid w:val="00795BD4"/>
    <w:rsid w:val="007C0BF7"/>
    <w:rsid w:val="007C6EE9"/>
    <w:rsid w:val="007D4E4C"/>
    <w:rsid w:val="007F66A0"/>
    <w:rsid w:val="008179FF"/>
    <w:rsid w:val="00845BB4"/>
    <w:rsid w:val="00845F28"/>
    <w:rsid w:val="00846D49"/>
    <w:rsid w:val="00851ADC"/>
    <w:rsid w:val="0086076C"/>
    <w:rsid w:val="008669E6"/>
    <w:rsid w:val="008711F5"/>
    <w:rsid w:val="008732A2"/>
    <w:rsid w:val="00894065"/>
    <w:rsid w:val="008A4DD6"/>
    <w:rsid w:val="008C03C7"/>
    <w:rsid w:val="008D2442"/>
    <w:rsid w:val="008E0D2B"/>
    <w:rsid w:val="008E2847"/>
    <w:rsid w:val="009055F0"/>
    <w:rsid w:val="00907A97"/>
    <w:rsid w:val="00915397"/>
    <w:rsid w:val="00943670"/>
    <w:rsid w:val="00946912"/>
    <w:rsid w:val="009529E7"/>
    <w:rsid w:val="00960B35"/>
    <w:rsid w:val="00975879"/>
    <w:rsid w:val="00977A7E"/>
    <w:rsid w:val="0098438F"/>
    <w:rsid w:val="00992A72"/>
    <w:rsid w:val="009B7FBE"/>
    <w:rsid w:val="009D172C"/>
    <w:rsid w:val="009F5EA7"/>
    <w:rsid w:val="00A16E7A"/>
    <w:rsid w:val="00A17AC3"/>
    <w:rsid w:val="00A239D1"/>
    <w:rsid w:val="00A32B13"/>
    <w:rsid w:val="00A3735B"/>
    <w:rsid w:val="00A373FF"/>
    <w:rsid w:val="00A431A6"/>
    <w:rsid w:val="00A45BF7"/>
    <w:rsid w:val="00A63E3A"/>
    <w:rsid w:val="00A664F1"/>
    <w:rsid w:val="00A71F81"/>
    <w:rsid w:val="00A9576A"/>
    <w:rsid w:val="00AA7A48"/>
    <w:rsid w:val="00AC190B"/>
    <w:rsid w:val="00AD30A1"/>
    <w:rsid w:val="00AE021C"/>
    <w:rsid w:val="00AF235B"/>
    <w:rsid w:val="00B316D1"/>
    <w:rsid w:val="00B332E6"/>
    <w:rsid w:val="00B34233"/>
    <w:rsid w:val="00B376B0"/>
    <w:rsid w:val="00B5151F"/>
    <w:rsid w:val="00B578B3"/>
    <w:rsid w:val="00B708F5"/>
    <w:rsid w:val="00B728E7"/>
    <w:rsid w:val="00B80D2A"/>
    <w:rsid w:val="00B8640D"/>
    <w:rsid w:val="00B92EC7"/>
    <w:rsid w:val="00B95439"/>
    <w:rsid w:val="00BA133C"/>
    <w:rsid w:val="00BA2C7A"/>
    <w:rsid w:val="00BB24A6"/>
    <w:rsid w:val="00C12725"/>
    <w:rsid w:val="00C16571"/>
    <w:rsid w:val="00C17F6A"/>
    <w:rsid w:val="00C20D03"/>
    <w:rsid w:val="00C32AA3"/>
    <w:rsid w:val="00C33CD0"/>
    <w:rsid w:val="00C3549B"/>
    <w:rsid w:val="00C45CC4"/>
    <w:rsid w:val="00C4611E"/>
    <w:rsid w:val="00C46DE1"/>
    <w:rsid w:val="00C52BE1"/>
    <w:rsid w:val="00C5617C"/>
    <w:rsid w:val="00C637BB"/>
    <w:rsid w:val="00C81D14"/>
    <w:rsid w:val="00C82674"/>
    <w:rsid w:val="00C84013"/>
    <w:rsid w:val="00C96926"/>
    <w:rsid w:val="00CB0D3E"/>
    <w:rsid w:val="00CB67C8"/>
    <w:rsid w:val="00CC3CAD"/>
    <w:rsid w:val="00CC3DCB"/>
    <w:rsid w:val="00CE6849"/>
    <w:rsid w:val="00D17B90"/>
    <w:rsid w:val="00D347A3"/>
    <w:rsid w:val="00D45A74"/>
    <w:rsid w:val="00D61EEB"/>
    <w:rsid w:val="00D845A7"/>
    <w:rsid w:val="00D856EE"/>
    <w:rsid w:val="00D8759B"/>
    <w:rsid w:val="00D9646B"/>
    <w:rsid w:val="00DA5317"/>
    <w:rsid w:val="00DB44F6"/>
    <w:rsid w:val="00DB5B32"/>
    <w:rsid w:val="00DB741C"/>
    <w:rsid w:val="00DE2358"/>
    <w:rsid w:val="00DF75C8"/>
    <w:rsid w:val="00E0093A"/>
    <w:rsid w:val="00E04F76"/>
    <w:rsid w:val="00E201ED"/>
    <w:rsid w:val="00E21948"/>
    <w:rsid w:val="00E2681C"/>
    <w:rsid w:val="00E323E9"/>
    <w:rsid w:val="00E367A6"/>
    <w:rsid w:val="00E41F67"/>
    <w:rsid w:val="00E43420"/>
    <w:rsid w:val="00E44219"/>
    <w:rsid w:val="00E46F48"/>
    <w:rsid w:val="00E700EF"/>
    <w:rsid w:val="00E708AE"/>
    <w:rsid w:val="00E80E47"/>
    <w:rsid w:val="00E82FD4"/>
    <w:rsid w:val="00E838D9"/>
    <w:rsid w:val="00E84CBB"/>
    <w:rsid w:val="00E916D0"/>
    <w:rsid w:val="00EB36F5"/>
    <w:rsid w:val="00EC6E74"/>
    <w:rsid w:val="00EE0875"/>
    <w:rsid w:val="00EE5CAE"/>
    <w:rsid w:val="00EE6B50"/>
    <w:rsid w:val="00EF2EC9"/>
    <w:rsid w:val="00EF3E36"/>
    <w:rsid w:val="00F238D9"/>
    <w:rsid w:val="00F24C41"/>
    <w:rsid w:val="00F24E60"/>
    <w:rsid w:val="00F30EC8"/>
    <w:rsid w:val="00F417BE"/>
    <w:rsid w:val="00F44327"/>
    <w:rsid w:val="00F510F5"/>
    <w:rsid w:val="00F51AA5"/>
    <w:rsid w:val="00F7300F"/>
    <w:rsid w:val="00F837A3"/>
    <w:rsid w:val="00F94142"/>
    <w:rsid w:val="00FA2EB9"/>
    <w:rsid w:val="00FA4E3D"/>
    <w:rsid w:val="00FC2650"/>
    <w:rsid w:val="015A60C5"/>
    <w:rsid w:val="051D6637"/>
    <w:rsid w:val="05247BED"/>
    <w:rsid w:val="0529072E"/>
    <w:rsid w:val="06B761CF"/>
    <w:rsid w:val="074556ED"/>
    <w:rsid w:val="0A9D08FD"/>
    <w:rsid w:val="0B211C58"/>
    <w:rsid w:val="0B930569"/>
    <w:rsid w:val="0C2B6A36"/>
    <w:rsid w:val="0C9C0351"/>
    <w:rsid w:val="0DB92234"/>
    <w:rsid w:val="0F1C1B39"/>
    <w:rsid w:val="0F3928F3"/>
    <w:rsid w:val="1155785D"/>
    <w:rsid w:val="11C372AA"/>
    <w:rsid w:val="13987071"/>
    <w:rsid w:val="145923F1"/>
    <w:rsid w:val="164F3530"/>
    <w:rsid w:val="16A47CB0"/>
    <w:rsid w:val="172C7AC2"/>
    <w:rsid w:val="187E16A4"/>
    <w:rsid w:val="197E0E85"/>
    <w:rsid w:val="19B03A66"/>
    <w:rsid w:val="1AA9360A"/>
    <w:rsid w:val="1B4B69E2"/>
    <w:rsid w:val="1B6C3C36"/>
    <w:rsid w:val="1D082345"/>
    <w:rsid w:val="1D410377"/>
    <w:rsid w:val="1FEB19C9"/>
    <w:rsid w:val="20DE1DD9"/>
    <w:rsid w:val="21DC37DA"/>
    <w:rsid w:val="23F84D76"/>
    <w:rsid w:val="23FD2470"/>
    <w:rsid w:val="24DD318E"/>
    <w:rsid w:val="25F65836"/>
    <w:rsid w:val="262843D1"/>
    <w:rsid w:val="27260611"/>
    <w:rsid w:val="272F0153"/>
    <w:rsid w:val="28E41E1E"/>
    <w:rsid w:val="29764C11"/>
    <w:rsid w:val="2AF94956"/>
    <w:rsid w:val="2B0D2D96"/>
    <w:rsid w:val="2BBF313E"/>
    <w:rsid w:val="2C8E6CA9"/>
    <w:rsid w:val="2EDE1483"/>
    <w:rsid w:val="2FE529BE"/>
    <w:rsid w:val="31261CFD"/>
    <w:rsid w:val="32CB448B"/>
    <w:rsid w:val="33860146"/>
    <w:rsid w:val="33A367C7"/>
    <w:rsid w:val="3450458B"/>
    <w:rsid w:val="34D93BA2"/>
    <w:rsid w:val="34DB72D1"/>
    <w:rsid w:val="35A047D3"/>
    <w:rsid w:val="368D4700"/>
    <w:rsid w:val="36A61B35"/>
    <w:rsid w:val="37D112BB"/>
    <w:rsid w:val="380753EF"/>
    <w:rsid w:val="3844227B"/>
    <w:rsid w:val="38B4332A"/>
    <w:rsid w:val="393360AB"/>
    <w:rsid w:val="3C316F40"/>
    <w:rsid w:val="3C8B38E1"/>
    <w:rsid w:val="3E215B37"/>
    <w:rsid w:val="3F617C16"/>
    <w:rsid w:val="3F6A5784"/>
    <w:rsid w:val="3FEE374D"/>
    <w:rsid w:val="405F1F11"/>
    <w:rsid w:val="40A91BE9"/>
    <w:rsid w:val="41F471F0"/>
    <w:rsid w:val="42A33231"/>
    <w:rsid w:val="42BD2E47"/>
    <w:rsid w:val="44117178"/>
    <w:rsid w:val="45A63D4C"/>
    <w:rsid w:val="46131A28"/>
    <w:rsid w:val="46A30E20"/>
    <w:rsid w:val="47E83D5A"/>
    <w:rsid w:val="495A3A36"/>
    <w:rsid w:val="4B626C4E"/>
    <w:rsid w:val="4C367264"/>
    <w:rsid w:val="4CF44356"/>
    <w:rsid w:val="4F126323"/>
    <w:rsid w:val="508D5468"/>
    <w:rsid w:val="50A94A59"/>
    <w:rsid w:val="53A76D3B"/>
    <w:rsid w:val="546764F8"/>
    <w:rsid w:val="54FE2D68"/>
    <w:rsid w:val="56605F1C"/>
    <w:rsid w:val="57CD239A"/>
    <w:rsid w:val="58044A73"/>
    <w:rsid w:val="590A6E24"/>
    <w:rsid w:val="598B5EFD"/>
    <w:rsid w:val="598C427F"/>
    <w:rsid w:val="5AD06876"/>
    <w:rsid w:val="5B055B45"/>
    <w:rsid w:val="5B9B046B"/>
    <w:rsid w:val="5FC23A64"/>
    <w:rsid w:val="5FE20D8B"/>
    <w:rsid w:val="60E25C6E"/>
    <w:rsid w:val="61E32270"/>
    <w:rsid w:val="64096A65"/>
    <w:rsid w:val="64844D14"/>
    <w:rsid w:val="64E1622C"/>
    <w:rsid w:val="659748E5"/>
    <w:rsid w:val="65F71656"/>
    <w:rsid w:val="66F608A9"/>
    <w:rsid w:val="6828370B"/>
    <w:rsid w:val="68782ADA"/>
    <w:rsid w:val="6BE72777"/>
    <w:rsid w:val="6C3E6B6A"/>
    <w:rsid w:val="6DF95BB2"/>
    <w:rsid w:val="70021E23"/>
    <w:rsid w:val="700C6B7C"/>
    <w:rsid w:val="71342C40"/>
    <w:rsid w:val="729152E5"/>
    <w:rsid w:val="75AC5336"/>
    <w:rsid w:val="78D30742"/>
    <w:rsid w:val="7B6C7563"/>
    <w:rsid w:val="7B71251E"/>
    <w:rsid w:val="7DB01F50"/>
    <w:rsid w:val="7E81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  <w:szCs w:val="24"/>
    </w:rPr>
  </w:style>
  <w:style w:type="paragraph" w:styleId="3">
    <w:name w:val="heading 3"/>
    <w:basedOn w:val="1"/>
    <w:next w:val="1"/>
    <w:link w:val="14"/>
    <w:qFormat/>
    <w:uiPriority w:val="0"/>
    <w:pPr>
      <w:keepNext/>
      <w:keepLines/>
      <w:spacing w:line="413" w:lineRule="auto"/>
      <w:outlineLvl w:val="2"/>
    </w:pPr>
    <w:rPr>
      <w:rFonts w:ascii="Calibri" w:hAnsi="Calibri"/>
      <w:b/>
      <w:sz w:val="32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rPr>
      <w:sz w:val="24"/>
    </w:rPr>
  </w:style>
  <w:style w:type="character" w:styleId="12">
    <w:name w:val="FollowedHyperlink"/>
    <w:basedOn w:val="11"/>
    <w:unhideWhenUsed/>
    <w:qFormat/>
    <w:uiPriority w:val="99"/>
    <w:rPr>
      <w:color w:val="000000"/>
      <w:u w:val="none"/>
    </w:rPr>
  </w:style>
  <w:style w:type="character" w:styleId="13">
    <w:name w:val="Hyperlink"/>
    <w:basedOn w:val="11"/>
    <w:unhideWhenUsed/>
    <w:qFormat/>
    <w:uiPriority w:val="99"/>
    <w:rPr>
      <w:color w:val="000000"/>
      <w:u w:val="none"/>
    </w:rPr>
  </w:style>
  <w:style w:type="character" w:customStyle="1" w:styleId="14">
    <w:name w:val="标题 3 Char"/>
    <w:basedOn w:val="11"/>
    <w:link w:val="3"/>
    <w:semiHidden/>
    <w:qFormat/>
    <w:locked/>
    <w:uiPriority w:val="0"/>
    <w:rPr>
      <w:rFonts w:ascii="Calibri" w:hAnsi="Calibri" w:eastAsia="宋体"/>
      <w:b/>
      <w:kern w:val="2"/>
      <w:sz w:val="32"/>
      <w:szCs w:val="24"/>
      <w:lang w:val="en-US" w:eastAsia="zh-CN" w:bidi="ar-SA"/>
    </w:rPr>
  </w:style>
  <w:style w:type="character" w:customStyle="1" w:styleId="15">
    <w:name w:val="页眉 Char"/>
    <w:basedOn w:val="11"/>
    <w:link w:val="8"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6">
    <w:name w:val="标题 2 Char"/>
    <w:basedOn w:val="11"/>
    <w:link w:val="2"/>
    <w:semiHidden/>
    <w:qFormat/>
    <w:locked/>
    <w:uiPriority w:val="0"/>
    <w:rPr>
      <w:rFonts w:ascii="Arial" w:hAnsi="Arial" w:eastAsia="黑体"/>
      <w:b/>
      <w:kern w:val="2"/>
      <w:sz w:val="32"/>
      <w:szCs w:val="24"/>
      <w:lang w:val="en-US" w:eastAsia="zh-CN" w:bidi="ar-SA"/>
    </w:rPr>
  </w:style>
  <w:style w:type="character" w:customStyle="1" w:styleId="17">
    <w:name w:val="页脚 Char"/>
    <w:basedOn w:val="11"/>
    <w:link w:val="7"/>
    <w:semiHidden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4399</Words>
  <Characters>5741</Characters>
  <Lines>54</Lines>
  <Paragraphs>15</Paragraphs>
  <TotalTime>0</TotalTime>
  <ScaleCrop>false</ScaleCrop>
  <LinksUpToDate>false</LinksUpToDate>
  <CharactersWithSpaces>6381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2022-05-30T06:42:00Z</dcterms:created>
  <dc:creator>Administrator</dc:creator>
  <cp:lastModifiedBy>WPS_1641776830</cp:lastModifiedBy>
  <cp:lastPrinted>2022-05-20T08:56:00Z</cp:lastPrinted>
  <dcterms:modified xsi:type="dcterms:W3CDTF">2023-06-29T00:53:03Z</dcterms:modified>
  <dc:title>×××部门预算编制说明</dc:title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3DD53E79E4C9417C809FF33E4999C9C7_13</vt:lpwstr>
  </property>
</Properties>
</file>