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outlineLvl w:val="1"/>
        <w:rPr>
          <w:rFonts w:ascii="微软雅黑" w:hAnsi="微软雅黑" w:eastAsia="宋体" w:cs="宋体"/>
          <w:b/>
          <w:bCs/>
          <w:color w:val="auto"/>
          <w:kern w:val="0"/>
          <w:sz w:val="31"/>
          <w:szCs w:val="31"/>
          <w:highlight w:val="none"/>
          <w:shd w:val="clear" w:color="auto" w:fill="auto"/>
        </w:rPr>
      </w:pPr>
      <w:bookmarkStart w:id="0" w:name="_GoBack"/>
      <w:bookmarkEnd w:id="0"/>
      <w:r>
        <w:rPr>
          <w:rFonts w:ascii="微软雅黑" w:hAnsi="微软雅黑" w:eastAsia="宋体" w:cs="宋体"/>
          <w:b/>
          <w:bCs/>
          <w:color w:val="auto"/>
          <w:kern w:val="0"/>
          <w:sz w:val="31"/>
          <w:szCs w:val="31"/>
          <w:highlight w:val="none"/>
          <w:shd w:val="clear" w:color="auto" w:fill="auto"/>
        </w:rPr>
        <w:t>湘潭县农业农村局2021年度部门决算公开</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目录</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第一部分湘潭县农业农村局单位概况</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一、部门职责</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二、机构设置</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第二部分2021年度部门决算表</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一、收入支出决算总表</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二、收入决算表</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三、支出决算表</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四、财政拨款收入支出决算总表</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五、一般公共预算财政拨款支出决算表</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六、一般公共预算财政拨款基本支出决算表</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七、一般公共预算财政拨款“三公”经费支出决算表</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八、政府性基金预算财政拨款收入支出决算表</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九、国有资本经营预算财政拨款支出决算表</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第三部分2021年度部门决算情况说明</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一、收入支出决算总体情况说明</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二、收入决算情况说明</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三、支出决算情况说明</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四、财政拨款收入支出决算总体情况说明</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五、一般公共预算财政拨款支出决算情况说明</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六、一般公共预算财政拨款基本支出决算情况说明</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七、一般公共预算财政拨款三公经费支出决算情况说明</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八、政府性基金预算收入支出决算情况</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九、关于机关运行经费支出说明</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十、一般性支出情况</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十一、关于政府采购支出说明</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十二、关于国有资产占用情况说明</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十三、关于2021年度预算绩效情况的说明</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第四部分名词解释</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第五部分附件</w:t>
      </w:r>
    </w:p>
    <w:p>
      <w:pPr>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br w:type="page"/>
      </w:r>
    </w:p>
    <w:p>
      <w:pPr>
        <w:spacing w:line="320" w:lineRule="exact"/>
        <w:rPr>
          <w:rFonts w:hint="eastAsia" w:ascii="仿宋" w:hAnsi="仿宋" w:eastAsia="仿宋"/>
          <w:sz w:val="24"/>
          <w:szCs w:val="24"/>
          <w:highlight w:val="none"/>
          <w:shd w:val="clear" w:color="auto" w:fill="auto"/>
        </w:rPr>
      </w:pP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第一部分湘潭县农业农村局单位概况</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一、 部门职责</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1、拟订全县农业农村工作的发展中长期规划并指导实施。负责全县农业综合执法，推进农业依法行政。提出有关农产品，农业财政补贴及农业产业保护的政策建议，参与制定相关政策。</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2、统筹推动发展农村社会事业、农村公共服务、农村文化、农村基础设施和乡村治理。牵头组织改善农村人居环境。指导农村精神文明和优秀农耕文化建设。</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3、贯彻执行党和国家扶贫开发工作方针、政策，负责拟定全县扶贫开发工作的政策和发展规划；负责组织、协调、指导全县精准扶贫工作，协调安排扶贫资金，并检查、监督使用情况。</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4、研究提出深化农村经济体制改革和巩固完善农村基本经营制度的建议。负责农村宅基地改革和管理有关工作。指导农民合作经济组织、农业社会化服务体系、新型农业经营主体建设与发展。</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5、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6、负责全县种植业、畜牧业、渔业、农业机械化等农业各产业的监督管理。指导粮食等农产品生产。组织构建现代农业产业体系、生产体系、经营体系，指导农业标准化生产。负责渔政渔港监督管理。</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7、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8、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9、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10、负责农业防灾减灾、农作物重大病虫害防治工作。指导动植物防疫检疫体系建设，组织、监督县内动植物防疫检疫工作，并组织疫情扑灭。</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11、负责农业投资管理。拟订农业开发规划，组织实施有关农业项目，提出农业固定资产投资规模、投资项目和县级财政资金安排的建议，负责协调安排及监督检查有关涉农、惠农项目资金，编报部门预算并组织执行。</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12、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13、统一领导和管理所属的湘潭县贫困帮扶中心、湘潭县农业发展服务中心。</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14、完成县委、县政府交办的其他任务。</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15、职能转变。</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统筹实施乡村振兴战略，深化农业供给侧结构性改革，提升农业发展质量，扎实推进美丽乡村建设，推动农业全面升级、农村全面进步、农民全面发展，加快实现农业农村现代化。（2）加强农产品质量安全和相关农业生产资料、农业投入品的监督管理，严防、严管、严控质量安全风险，让人民群众吃得放心、安心。（3）加强对行业内交叉重复以及性质相同、用途相近的农业投资项目的统筹整合，加强事中事后监管，切实提升支农政策效果和资金使用效益。</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16、有关职责分工另行规定。</w:t>
      </w:r>
    </w:p>
    <w:p>
      <w:pPr>
        <w:spacing w:line="320" w:lineRule="exact"/>
        <w:ind w:firstLine="602"/>
        <w:rPr>
          <w:rFonts w:hint="eastAsia" w:ascii="仿宋" w:hAnsi="仿宋" w:eastAsia="仿宋"/>
          <w:sz w:val="24"/>
          <w:szCs w:val="24"/>
          <w:highlight w:val="none"/>
          <w:shd w:val="clear" w:color="auto" w:fill="auto"/>
        </w:rPr>
      </w:pP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二、机构设置及决算单位构成</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（一）内设机构设置。</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湘潭县农业农村局是由原湘潭县农业局经过机构合并组成，现共有内设股室15个: 办公室、人事股、法规股、发展计划股、财务审计股、乡村产业发展办公室、农村社会事业促进股、农业资源保护与利用股、农产品质量安全监管股、畜牧水产股、兽医股、农业机械管理股、种植业管理股、扶贫开发股、政策改革股办公室；下属二级机构12个: 湘潭县农业科技教育推广服务站、湘潭县畜牧兽医水产技术推广服务中心、湘潭县农机技术推广服务中心、湘潭县种植技术推广服务中心、湘潭县农业综合行政执法大队、湘潭县湘莲发展中心、湘潭县农业产业化发展中心、湘潭县动物疫病预防控制中心、湘潭县农业生态资源监测站、湘潭县农作物病虫害测报站、湘潭县种业发展服务中心、湘潭县水生动物防疫检疫监督站。</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现有编制人数198人，实有人数186人（其中统发人员 160人，非统发全额拨款人员 24人，非统发自收自支人员2人），另有人事代理人员 8人、劳务派遣11人、借调4人，双定补助5人，遗属补助13人，退休人员184人，提前退休人员1人。</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（二）决算单位构成。</w:t>
      </w:r>
    </w:p>
    <w:p>
      <w:pPr>
        <w:spacing w:line="320" w:lineRule="exact"/>
        <w:ind w:firstLine="602"/>
        <w:rPr>
          <w:rFonts w:hint="eastAsia" w:ascii="仿宋" w:hAnsi="仿宋" w:eastAsia="仿宋"/>
          <w:sz w:val="24"/>
          <w:szCs w:val="24"/>
          <w:highlight w:val="none"/>
          <w:shd w:val="clear" w:color="auto" w:fill="auto"/>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 w:hAnsi="仿宋" w:eastAsia="仿宋"/>
          <w:sz w:val="24"/>
          <w:szCs w:val="24"/>
          <w:highlight w:val="none"/>
          <w:shd w:val="clear" w:color="auto" w:fill="auto"/>
        </w:rPr>
        <w:t>湘潭县农业农村局2021年部门决算汇总公开单位构成包括：湘潭县农业农村局部门决算只有本级，没有其他决算单位，因此本部门决算仅含本级决算</w:t>
      </w:r>
    </w:p>
    <w:p>
      <w:pPr>
        <w:spacing w:line="320" w:lineRule="exact"/>
        <w:ind w:firstLine="602"/>
        <w:rPr>
          <w:rFonts w:hint="eastAsia" w:ascii="仿宋" w:hAnsi="仿宋" w:eastAsia="仿宋"/>
          <w:sz w:val="24"/>
          <w:szCs w:val="24"/>
          <w:highlight w:val="none"/>
          <w:shd w:val="clear" w:color="auto" w:fill="auto"/>
        </w:rPr>
      </w:pPr>
    </w:p>
    <w:p>
      <w:pPr>
        <w:spacing w:line="320" w:lineRule="exact"/>
        <w:ind w:firstLine="602"/>
        <w:jc w:val="center"/>
        <w:rPr>
          <w:rFonts w:hint="eastAsia" w:ascii="仿宋" w:hAnsi="仿宋" w:eastAsia="仿宋"/>
          <w:b/>
          <w:bCs/>
          <w:sz w:val="24"/>
          <w:szCs w:val="24"/>
          <w:highlight w:val="none"/>
          <w:shd w:val="clear" w:color="auto" w:fill="auto"/>
        </w:rPr>
      </w:pPr>
      <w:r>
        <w:rPr>
          <w:rFonts w:hint="eastAsia" w:ascii="仿宋" w:hAnsi="仿宋" w:eastAsia="仿宋"/>
          <w:sz w:val="24"/>
          <w:szCs w:val="24"/>
          <w:highlight w:val="none"/>
          <w:shd w:val="clear" w:color="auto" w:fill="auto"/>
        </w:rPr>
        <mc:AlternateContent>
          <mc:Choice Requires="wps">
            <w:drawing>
              <wp:inline distT="0" distB="0" distL="114300" distR="114300">
                <wp:extent cx="304800" cy="304800"/>
                <wp:effectExtent l="0" t="0" r="0" b="0"/>
                <wp:docPr id="1"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04800" cy="304800"/>
                        </a:xfrm>
                        <a:prstGeom prst="rect">
                          <a:avLst/>
                        </a:prstGeom>
                        <a:noFill/>
                        <a:ln>
                          <a:noFill/>
                        </a:ln>
                      </wps:spPr>
                      <wps:bodyPr upright="1"/>
                    </wps:wsp>
                  </a:graphicData>
                </a:graphic>
              </wp:inline>
            </w:drawing>
          </mc:Choice>
          <mc:Fallback>
            <w:pict>
              <v:rect id="图片 1" o:spid="_x0000_s1026" o:spt="1"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J9zFMpEBAAATAwAADgAAAGRycy9lMm9Eb2MueG1srVJRThsxEP2v&#10;xB0s/5PdQFWhVTaoKoIfVJBoDzB47V2ra4/lMdnkBKhn6F16m6rX6NgJgcAf6s/IM555fu+NF+dr&#10;N4qVjmTRt3I+q6XQXmFnfd/K798uj8+koAS+gxG9buVGkzxfHn1YTKHRJzjg2OkoGMRTM4VWDimF&#10;pqpIDdoBzTBoz5cGo4PEaeyrLsLE6G6sTur6UzVh7EJEpYm4erG9lMuCb4xW6cYY0kmMrWRuqcRY&#10;4n2O1XIBTR8hDFbtaMA7WDiwnh/dQ11AAvEQ7RsoZ1VEQpNmCl2FxliliwZWM69fqbkbIOiihc2h&#10;sLeJ/h+s+rq6jcJ2vDspPDhe0Z9fv//+fBTz7M0UqOGWu3AbszoK16h+kPD4ZQDf688U2OE8y73V&#10;QXNOaDe2NtHlcZYr1sX7zd57vU5CcfG0/nhW84YUX+3OGROap+EQKV1pdCIfWhn54eI4rK4pbVuf&#10;WvJbHi/tOHIdmtEfFBgzVwrdLcPM9R67DTvxEKLthwNJ7HwhsvslebUv84L0/JeX/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8AwAAW0NvbnRl&#10;bnRfVHlwZXNdLnhtbFBLAQIUAAoAAAAAAIdO4kAAAAAAAAAAAAAAAAAGAAAAAAAAAAAAEAAAAN4C&#10;AABfcmVscy9QSwECFAAUAAAACACHTuJAihRmPNEAAACUAQAACwAAAAAAAAABACAAAAACAwAAX3Jl&#10;bHMvLnJlbHNQSwECFAAKAAAAAACHTuJAAAAAAAAAAAAAAAAABAAAAAAAAAAAABAAAAAAAAAAZHJz&#10;L1BLAQIUABQAAAAIAIdO4kAHzJZ00gAAAAMBAAAPAAAAAAAAAAEAIAAAACIAAABkcnMvZG93bnJl&#10;di54bWxQSwECFAAUAAAACACHTuJAJ9zFMpEBAAATAwAADgAAAAAAAAABACAAAAAhAQAAZHJzL2Uy&#10;b0RvYy54bWxQSwUGAAAAAAYABgBZAQAAJAUAAAAA&#10;">
                <v:fill on="f" focussize="0,0"/>
                <v:stroke on="f"/>
                <v:imagedata o:title=""/>
                <o:lock v:ext="edit" aspectratio="t"/>
                <w10:wrap type="none"/>
                <w10:anchorlock/>
              </v:rect>
            </w:pict>
          </mc:Fallback>
        </mc:AlternateContent>
      </w:r>
      <w:r>
        <w:rPr>
          <w:rFonts w:hint="eastAsia" w:ascii="仿宋" w:hAnsi="仿宋" w:eastAsia="仿宋"/>
          <w:b/>
          <w:bCs/>
          <w:sz w:val="24"/>
          <w:szCs w:val="24"/>
          <w:highlight w:val="none"/>
          <w:shd w:val="clear" w:color="auto" w:fill="auto"/>
        </w:rPr>
        <w:fldChar w:fldCharType="begin"/>
      </w:r>
      <w:r>
        <w:rPr>
          <w:rFonts w:hint="eastAsia" w:ascii="仿宋" w:hAnsi="仿宋" w:eastAsia="仿宋"/>
          <w:b/>
          <w:bCs/>
          <w:sz w:val="24"/>
          <w:szCs w:val="24"/>
          <w:highlight w:val="none"/>
          <w:shd w:val="clear" w:color="auto" w:fill="auto"/>
        </w:rPr>
        <w:instrText xml:space="preserve"> HYPERLINK "https://www.xtx.gov.cn/uploadfiles/202208/20220804092522899.docx" \t "_blank" </w:instrText>
      </w:r>
      <w:r>
        <w:rPr>
          <w:rFonts w:hint="eastAsia" w:ascii="仿宋" w:hAnsi="仿宋" w:eastAsia="仿宋"/>
          <w:b/>
          <w:bCs/>
          <w:sz w:val="24"/>
          <w:szCs w:val="24"/>
          <w:highlight w:val="none"/>
          <w:shd w:val="clear" w:color="auto" w:fill="auto"/>
        </w:rPr>
        <w:fldChar w:fldCharType="separate"/>
      </w:r>
      <w:r>
        <w:rPr>
          <w:rFonts w:hint="eastAsia" w:ascii="仿宋" w:hAnsi="仿宋" w:eastAsia="仿宋"/>
          <w:b/>
          <w:bCs/>
          <w:sz w:val="24"/>
          <w:szCs w:val="24"/>
          <w:highlight w:val="none"/>
          <w:shd w:val="clear" w:color="auto" w:fill="auto"/>
        </w:rPr>
        <w:t>湘潭县农业农村局2021年度部门决算公开表.docx</w:t>
      </w:r>
      <w:r>
        <w:rPr>
          <w:rFonts w:hint="eastAsia" w:ascii="仿宋" w:hAnsi="仿宋" w:eastAsia="仿宋"/>
          <w:b/>
          <w:bCs/>
          <w:sz w:val="24"/>
          <w:szCs w:val="24"/>
          <w:highlight w:val="none"/>
          <w:shd w:val="clear" w:color="auto" w:fill="auto"/>
        </w:rPr>
        <w:fldChar w:fldCharType="end"/>
      </w:r>
    </w:p>
    <w:tbl>
      <w:tblPr>
        <w:tblStyle w:val="7"/>
        <w:tblW w:w="13965" w:type="dxa"/>
        <w:jc w:val="center"/>
        <w:tblInd w:w="0" w:type="dxa"/>
        <w:tblLayout w:type="fixed"/>
        <w:tblCellMar>
          <w:top w:w="0" w:type="dxa"/>
          <w:left w:w="108" w:type="dxa"/>
          <w:bottom w:w="0" w:type="dxa"/>
          <w:right w:w="108" w:type="dxa"/>
        </w:tblCellMar>
      </w:tblPr>
      <w:tblGrid>
        <w:gridCol w:w="4582"/>
        <w:gridCol w:w="805"/>
        <w:gridCol w:w="1479"/>
        <w:gridCol w:w="4312"/>
        <w:gridCol w:w="805"/>
        <w:gridCol w:w="1982"/>
      </w:tblGrid>
      <w:tr>
        <w:tblPrEx>
          <w:tblLayout w:type="fixed"/>
          <w:tblCellMar>
            <w:top w:w="0" w:type="dxa"/>
            <w:left w:w="108" w:type="dxa"/>
            <w:bottom w:w="0" w:type="dxa"/>
            <w:right w:w="108" w:type="dxa"/>
          </w:tblCellMar>
        </w:tblPrEx>
        <w:trPr>
          <w:trHeight w:val="390" w:hRule="atLeast"/>
          <w:jc w:val="center"/>
        </w:trPr>
        <w:tc>
          <w:tcPr>
            <w:tcW w:w="13965" w:type="dxa"/>
            <w:gridSpan w:val="6"/>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30"/>
                <w:szCs w:val="30"/>
                <w:highlight w:val="none"/>
                <w:shd w:val="clear" w:color="auto" w:fill="auto"/>
              </w:rPr>
            </w:pPr>
            <w:r>
              <w:rPr>
                <w:rFonts w:hint="eastAsia" w:ascii="宋体" w:hAnsi="宋体" w:eastAsia="宋体" w:cs="宋体"/>
                <w:b/>
                <w:bCs/>
                <w:color w:val="000000"/>
                <w:kern w:val="0"/>
                <w:sz w:val="32"/>
                <w:szCs w:val="32"/>
                <w:highlight w:val="none"/>
                <w:shd w:val="clear" w:color="auto" w:fill="auto"/>
              </w:rPr>
              <w:t>收入支出决算总表</w:t>
            </w:r>
          </w:p>
        </w:tc>
      </w:tr>
      <w:tr>
        <w:tblPrEx>
          <w:tblLayout w:type="fixed"/>
          <w:tblCellMar>
            <w:top w:w="0" w:type="dxa"/>
            <w:left w:w="108" w:type="dxa"/>
            <w:bottom w:w="0" w:type="dxa"/>
            <w:right w:w="108" w:type="dxa"/>
          </w:tblCellMar>
        </w:tblPrEx>
        <w:trPr>
          <w:trHeight w:val="255" w:hRule="atLeast"/>
          <w:jc w:val="center"/>
        </w:trPr>
        <w:tc>
          <w:tcPr>
            <w:tcW w:w="4582"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47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4312"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982"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公开01表</w:t>
            </w:r>
          </w:p>
        </w:tc>
      </w:tr>
      <w:tr>
        <w:tblPrEx>
          <w:tblLayout w:type="fixed"/>
          <w:tblCellMar>
            <w:top w:w="0" w:type="dxa"/>
            <w:left w:w="108" w:type="dxa"/>
            <w:bottom w:w="0" w:type="dxa"/>
            <w:right w:w="108" w:type="dxa"/>
          </w:tblCellMar>
        </w:tblPrEx>
        <w:trPr>
          <w:trHeight w:val="255" w:hRule="atLeast"/>
          <w:jc w:val="center"/>
        </w:trPr>
        <w:tc>
          <w:tcPr>
            <w:tcW w:w="4582" w:type="dxa"/>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80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47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4312"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982"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tblPrEx>
          <w:tblLayout w:type="fixed"/>
          <w:tblCellMar>
            <w:top w:w="0" w:type="dxa"/>
            <w:left w:w="108" w:type="dxa"/>
            <w:bottom w:w="0" w:type="dxa"/>
            <w:right w:w="108" w:type="dxa"/>
          </w:tblCellMar>
        </w:tblPrEx>
        <w:trPr>
          <w:trHeight w:val="308" w:hRule="atLeast"/>
          <w:jc w:val="center"/>
        </w:trPr>
        <w:tc>
          <w:tcPr>
            <w:tcW w:w="686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收入</w:t>
            </w:r>
          </w:p>
        </w:tc>
        <w:tc>
          <w:tcPr>
            <w:tcW w:w="7099" w:type="dxa"/>
            <w:gridSpan w:val="3"/>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支出</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805" w:type="dxa"/>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479"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805" w:type="dxa"/>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982"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一、一般公共预算财政拨款收入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35,225.46</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一、一般公共服务支出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32</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二、政府性基金预算财政拨款收入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二、外交支出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33</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三、国有资本经营预算财政拨款收入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三、国防支出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34</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四、上级补助收入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四、公共安全支出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五、事业收入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五、教育支出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六、经营收入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六、科学技术支出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37</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七、附属单位上缴收入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七、文化旅游体育与传媒支出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八、其他收入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8,477.33</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八、社会保障和就业支出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highlight w:val="none"/>
                <w:shd w:val="clear" w:color="auto" w:fill="auto"/>
                <w:lang w:eastAsia="zh-CN"/>
              </w:rPr>
            </w:pPr>
            <w:r>
              <w:rPr>
                <w:rFonts w:hint="eastAsia" w:ascii="宋体" w:hAnsi="宋体" w:eastAsia="宋体" w:cs="宋体"/>
                <w:color w:val="000000"/>
                <w:kern w:val="0"/>
                <w:sz w:val="22"/>
                <w:highlight w:val="none"/>
                <w:shd w:val="clear" w:color="auto" w:fill="auto"/>
              </w:rPr>
              <w:t>152.</w:t>
            </w:r>
            <w:r>
              <w:rPr>
                <w:rFonts w:hint="eastAsia" w:ascii="宋体" w:hAnsi="宋体" w:eastAsia="宋体" w:cs="宋体"/>
                <w:color w:val="000000"/>
                <w:kern w:val="0"/>
                <w:sz w:val="22"/>
                <w:highlight w:val="none"/>
                <w:shd w:val="clear" w:color="auto" w:fill="auto"/>
                <w:lang w:val="en-US" w:eastAsia="zh-CN"/>
              </w:rPr>
              <w:t>6</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九、卫生健康支出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40</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十、节能环保支出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41</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1,889.59</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十一、城乡社区支出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42</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十二、农林水支出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33,781.12</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十三、交通运输支出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44</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14</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十四、资源勘探工业信息等支出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十五、商业服务业等支出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46</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十六、金融支出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47</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十七、援助其他地区支出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48</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十八、自然资源海洋气象等支出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49</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十九、住房保障支出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二十、粮油物资储备支出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51</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二十一、国有资本经营预算支出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二十二、灾害防治及应急管理支出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53</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23</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二十三、其他支出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54</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b/>
                <w:bCs/>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24</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二十四、债务还本支出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55</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25</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二十五、债务付息支出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26</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二十六、抗疫特别国债安排的支出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57</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本年收入合计</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43,702.79</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本年支出合计</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58</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38,608.88</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使用非财政拨款结余</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结余分配</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59</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年初结转和结余</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29</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1,235.12</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年末结转和结余</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60</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6,329.03</w:t>
            </w: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61</w:t>
            </w:r>
          </w:p>
        </w:tc>
        <w:tc>
          <w:tcPr>
            <w:tcW w:w="1982" w:type="dxa"/>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805" w:type="dxa"/>
            <w:tcBorders>
              <w:top w:val="nil"/>
              <w:left w:val="nil"/>
              <w:bottom w:val="single" w:color="000000" w:sz="8"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44,937.91</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62</w:t>
            </w:r>
          </w:p>
        </w:tc>
        <w:tc>
          <w:tcPr>
            <w:tcW w:w="198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44,937.91</w:t>
            </w:r>
          </w:p>
        </w:tc>
      </w:tr>
    </w:tbl>
    <w:p>
      <w:pPr>
        <w:widowControl/>
        <w:rPr>
          <w:rFonts w:ascii="宋体" w:hAnsi="宋体" w:eastAsia="宋体" w:cs="宋体"/>
          <w:kern w:val="0"/>
          <w:sz w:val="24"/>
          <w:szCs w:val="24"/>
          <w:highlight w:val="none"/>
          <w:shd w:val="clear" w:color="auto" w:fill="auto"/>
        </w:rPr>
      </w:pPr>
      <w:r>
        <w:rPr>
          <w:rFonts w:hint="eastAsia" w:ascii="宋体" w:hAnsi="宋体" w:eastAsia="宋体" w:cs="宋体"/>
          <w:kern w:val="0"/>
          <w:sz w:val="24"/>
          <w:szCs w:val="24"/>
          <w:highlight w:val="none"/>
          <w:shd w:val="clear" w:color="auto" w:fill="auto"/>
        </w:rPr>
        <w:t>注：</w:t>
      </w:r>
      <w:r>
        <w:rPr>
          <w:rFonts w:ascii="宋体" w:hAnsi="宋体" w:eastAsia="宋体" w:cs="宋体"/>
          <w:kern w:val="0"/>
          <w:sz w:val="24"/>
          <w:szCs w:val="24"/>
          <w:highlight w:val="none"/>
          <w:shd w:val="clear" w:color="auto" w:fill="auto"/>
        </w:rPr>
        <w:t>1.</w:t>
      </w:r>
      <w:r>
        <w:rPr>
          <w:rFonts w:hint="eastAsia" w:ascii="宋体" w:hAnsi="宋体" w:eastAsia="宋体" w:cs="宋体"/>
          <w:kern w:val="0"/>
          <w:sz w:val="24"/>
          <w:szCs w:val="24"/>
          <w:highlight w:val="none"/>
          <w:shd w:val="clear" w:color="auto" w:fill="auto"/>
        </w:rPr>
        <w:t>本表反映部门本年度的总收支和年末结转结余情况。</w:t>
      </w:r>
      <w:r>
        <w:rPr>
          <w:rFonts w:ascii="宋体" w:hAnsi="Calibri" w:eastAsia="宋体" w:cs="Times New Roman"/>
          <w:kern w:val="0"/>
          <w:sz w:val="24"/>
          <w:szCs w:val="24"/>
          <w:highlight w:val="none"/>
          <w:shd w:val="clear" w:color="auto" w:fill="auto"/>
        </w:rPr>
        <w:br w:type="textWrapping"/>
      </w:r>
      <w:r>
        <w:rPr>
          <w:rFonts w:ascii="宋体" w:hAnsi="宋体" w:eastAsia="宋体" w:cs="宋体"/>
          <w:kern w:val="0"/>
          <w:sz w:val="24"/>
          <w:szCs w:val="24"/>
          <w:highlight w:val="none"/>
          <w:shd w:val="clear" w:color="auto" w:fill="auto"/>
        </w:rPr>
        <w:t xml:space="preserve"> </w:t>
      </w:r>
      <w:r>
        <w:rPr>
          <w:rFonts w:hint="eastAsia" w:ascii="宋体" w:hAnsi="宋体" w:eastAsia="宋体" w:cs="宋体"/>
          <w:kern w:val="0"/>
          <w:sz w:val="24"/>
          <w:szCs w:val="24"/>
          <w:highlight w:val="none"/>
          <w:shd w:val="clear" w:color="auto" w:fill="auto"/>
        </w:rPr>
        <w:t xml:space="preserve">         </w:t>
      </w:r>
      <w:r>
        <w:rPr>
          <w:rFonts w:ascii="宋体" w:hAnsi="宋体" w:eastAsia="宋体" w:cs="宋体"/>
          <w:kern w:val="0"/>
          <w:sz w:val="24"/>
          <w:szCs w:val="24"/>
          <w:highlight w:val="none"/>
          <w:shd w:val="clear" w:color="auto" w:fill="auto"/>
        </w:rPr>
        <w:t>2.</w:t>
      </w:r>
      <w:r>
        <w:rPr>
          <w:rFonts w:hint="eastAsia" w:ascii="宋体" w:hAnsi="宋体" w:eastAsia="宋体" w:cs="宋体"/>
          <w:kern w:val="0"/>
          <w:sz w:val="24"/>
          <w:szCs w:val="24"/>
          <w:highlight w:val="none"/>
          <w:shd w:val="clear" w:color="auto" w:fill="auto"/>
        </w:rPr>
        <w:t>本套报表金额单位转换时可能存在尾数误差。</w:t>
      </w:r>
    </w:p>
    <w:p>
      <w:pPr>
        <w:widowControl/>
        <w:rPr>
          <w:rFonts w:ascii="宋体" w:hAnsi="宋体" w:eastAsia="宋体" w:cs="宋体"/>
          <w:kern w:val="0"/>
          <w:sz w:val="24"/>
          <w:szCs w:val="24"/>
          <w:highlight w:val="none"/>
          <w:shd w:val="clear" w:color="auto" w:fill="auto"/>
        </w:rPr>
      </w:pPr>
    </w:p>
    <w:p>
      <w:pPr>
        <w:rPr>
          <w:rFonts w:ascii="宋体" w:hAnsi="宋体" w:eastAsia="宋体" w:cs="宋体"/>
          <w:kern w:val="0"/>
          <w:sz w:val="24"/>
          <w:szCs w:val="24"/>
          <w:highlight w:val="none"/>
          <w:shd w:val="clear" w:color="auto" w:fill="auto"/>
        </w:rPr>
      </w:pPr>
      <w:r>
        <w:rPr>
          <w:rFonts w:ascii="宋体" w:hAnsi="宋体" w:eastAsia="宋体" w:cs="宋体"/>
          <w:kern w:val="0"/>
          <w:sz w:val="24"/>
          <w:szCs w:val="24"/>
          <w:highlight w:val="none"/>
          <w:shd w:val="clear" w:color="auto" w:fill="auto"/>
        </w:rPr>
        <w:br w:type="page"/>
      </w:r>
    </w:p>
    <w:p>
      <w:pPr>
        <w:widowControl/>
        <w:rPr>
          <w:rFonts w:ascii="宋体" w:hAnsi="宋体" w:eastAsia="宋体" w:cs="宋体"/>
          <w:kern w:val="0"/>
          <w:sz w:val="24"/>
          <w:szCs w:val="24"/>
          <w:highlight w:val="none"/>
          <w:shd w:val="clear" w:color="auto" w:fill="auto"/>
        </w:rPr>
      </w:pPr>
    </w:p>
    <w:tbl>
      <w:tblPr>
        <w:tblStyle w:val="7"/>
        <w:tblW w:w="13795" w:type="dxa"/>
        <w:jc w:val="center"/>
        <w:tblInd w:w="0" w:type="dxa"/>
        <w:tblLayout w:type="fixed"/>
        <w:tblCellMar>
          <w:top w:w="0" w:type="dxa"/>
          <w:left w:w="108" w:type="dxa"/>
          <w:bottom w:w="0" w:type="dxa"/>
          <w:right w:w="108" w:type="dxa"/>
        </w:tblCellMar>
      </w:tblPr>
      <w:tblGrid>
        <w:gridCol w:w="342"/>
        <w:gridCol w:w="305"/>
        <w:gridCol w:w="467"/>
        <w:gridCol w:w="4592"/>
        <w:gridCol w:w="1444"/>
        <w:gridCol w:w="1444"/>
        <w:gridCol w:w="826"/>
        <w:gridCol w:w="819"/>
        <w:gridCol w:w="819"/>
        <w:gridCol w:w="852"/>
        <w:gridCol w:w="1885"/>
      </w:tblGrid>
      <w:tr>
        <w:tblPrEx>
          <w:tblLayout w:type="fixed"/>
          <w:tblCellMar>
            <w:top w:w="0" w:type="dxa"/>
            <w:left w:w="108" w:type="dxa"/>
            <w:bottom w:w="0" w:type="dxa"/>
            <w:right w:w="108" w:type="dxa"/>
          </w:tblCellMar>
        </w:tblPrEx>
        <w:trPr>
          <w:trHeight w:val="390" w:hRule="atLeast"/>
          <w:jc w:val="center"/>
        </w:trPr>
        <w:tc>
          <w:tcPr>
            <w:tcW w:w="13795" w:type="dxa"/>
            <w:gridSpan w:val="11"/>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28"/>
                <w:szCs w:val="28"/>
                <w:highlight w:val="none"/>
                <w:shd w:val="clear" w:color="auto" w:fill="auto"/>
              </w:rPr>
            </w:pPr>
            <w:r>
              <w:rPr>
                <w:rFonts w:hint="eastAsia" w:ascii="宋体" w:hAnsi="宋体" w:eastAsia="宋体" w:cs="宋体"/>
                <w:b/>
                <w:bCs/>
                <w:color w:val="000000"/>
                <w:kern w:val="0"/>
                <w:sz w:val="32"/>
                <w:szCs w:val="32"/>
                <w:highlight w:val="none"/>
                <w:shd w:val="clear" w:color="auto" w:fill="auto"/>
              </w:rPr>
              <w:t>收入决算表</w:t>
            </w:r>
          </w:p>
        </w:tc>
      </w:tr>
      <w:tr>
        <w:tblPrEx>
          <w:tblLayout w:type="fixed"/>
          <w:tblCellMar>
            <w:top w:w="0" w:type="dxa"/>
            <w:left w:w="108" w:type="dxa"/>
            <w:bottom w:w="0" w:type="dxa"/>
            <w:right w:w="108" w:type="dxa"/>
          </w:tblCellMar>
        </w:tblPrEx>
        <w:trPr>
          <w:trHeight w:val="255" w:hRule="atLeast"/>
          <w:jc w:val="center"/>
        </w:trPr>
        <w:tc>
          <w:tcPr>
            <w:tcW w:w="342"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0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467"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4592"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444"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444"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2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1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1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52"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885"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公开02表</w:t>
            </w:r>
          </w:p>
        </w:tc>
      </w:tr>
      <w:tr>
        <w:tblPrEx>
          <w:tblLayout w:type="fixed"/>
          <w:tblCellMar>
            <w:top w:w="0" w:type="dxa"/>
            <w:left w:w="108" w:type="dxa"/>
            <w:bottom w:w="0" w:type="dxa"/>
            <w:right w:w="108" w:type="dxa"/>
          </w:tblCellMar>
        </w:tblPrEx>
        <w:trPr>
          <w:trHeight w:val="255" w:hRule="atLeast"/>
          <w:jc w:val="center"/>
        </w:trPr>
        <w:tc>
          <w:tcPr>
            <w:tcW w:w="5706" w:type="dxa"/>
            <w:gridSpan w:val="4"/>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1444"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444"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2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1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1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52"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885"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tblPrEx>
          <w:tblLayout w:type="fixed"/>
          <w:tblCellMar>
            <w:top w:w="0" w:type="dxa"/>
            <w:left w:w="108" w:type="dxa"/>
            <w:bottom w:w="0" w:type="dxa"/>
            <w:right w:w="108" w:type="dxa"/>
          </w:tblCellMar>
        </w:tblPrEx>
        <w:trPr>
          <w:trHeight w:val="308" w:hRule="atLeast"/>
          <w:jc w:val="center"/>
        </w:trPr>
        <w:tc>
          <w:tcPr>
            <w:tcW w:w="570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1444"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本年收入合计</w:t>
            </w:r>
          </w:p>
        </w:tc>
        <w:tc>
          <w:tcPr>
            <w:tcW w:w="1444"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财政拨款收入</w:t>
            </w:r>
          </w:p>
        </w:tc>
        <w:tc>
          <w:tcPr>
            <w:tcW w:w="826"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上级补助收入</w:t>
            </w:r>
          </w:p>
        </w:tc>
        <w:tc>
          <w:tcPr>
            <w:tcW w:w="819"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事业收入</w:t>
            </w:r>
          </w:p>
        </w:tc>
        <w:tc>
          <w:tcPr>
            <w:tcW w:w="819"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经营收入</w:t>
            </w:r>
          </w:p>
        </w:tc>
        <w:tc>
          <w:tcPr>
            <w:tcW w:w="852"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附属单位上缴收入</w:t>
            </w:r>
          </w:p>
        </w:tc>
        <w:tc>
          <w:tcPr>
            <w:tcW w:w="1885"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其他收入</w:t>
            </w:r>
          </w:p>
        </w:tc>
      </w:tr>
      <w:tr>
        <w:tblPrEx>
          <w:tblLayout w:type="fixed"/>
          <w:tblCellMar>
            <w:top w:w="0" w:type="dxa"/>
            <w:left w:w="108" w:type="dxa"/>
            <w:bottom w:w="0" w:type="dxa"/>
            <w:right w:w="108" w:type="dxa"/>
          </w:tblCellMar>
        </w:tblPrEx>
        <w:trPr>
          <w:trHeight w:val="312" w:hRule="atLeast"/>
          <w:jc w:val="center"/>
        </w:trPr>
        <w:tc>
          <w:tcPr>
            <w:tcW w:w="1114"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功能分类科目编码</w:t>
            </w:r>
          </w:p>
        </w:tc>
        <w:tc>
          <w:tcPr>
            <w:tcW w:w="4592" w:type="dxa"/>
            <w:vMerge w:val="restar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科目名称</w:t>
            </w:r>
          </w:p>
        </w:tc>
        <w:tc>
          <w:tcPr>
            <w:tcW w:w="144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44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2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5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88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12" w:hRule="atLeast"/>
          <w:jc w:val="center"/>
        </w:trPr>
        <w:tc>
          <w:tcPr>
            <w:tcW w:w="1114"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4592" w:type="dxa"/>
            <w:vMerge w:val="continue"/>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44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44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2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5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88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12" w:hRule="atLeast"/>
          <w:jc w:val="center"/>
        </w:trPr>
        <w:tc>
          <w:tcPr>
            <w:tcW w:w="1114"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4592" w:type="dxa"/>
            <w:vMerge w:val="continue"/>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44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44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2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5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88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08" w:hRule="atLeast"/>
          <w:jc w:val="center"/>
        </w:trPr>
        <w:tc>
          <w:tcPr>
            <w:tcW w:w="5706"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144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44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82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819"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819"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852"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1885"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r>
      <w:tr>
        <w:tblPrEx>
          <w:tblLayout w:type="fixed"/>
          <w:tblCellMar>
            <w:top w:w="0" w:type="dxa"/>
            <w:left w:w="108" w:type="dxa"/>
            <w:bottom w:w="0" w:type="dxa"/>
            <w:right w:w="108" w:type="dxa"/>
          </w:tblCellMar>
        </w:tblPrEx>
        <w:trPr>
          <w:trHeight w:val="308" w:hRule="atLeast"/>
          <w:jc w:val="center"/>
        </w:trPr>
        <w:tc>
          <w:tcPr>
            <w:tcW w:w="5706"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43,702.79</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35,225.46</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8,477.33</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206</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科学技术支出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20604</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技术研究与开发</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2060404</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科技成果转化与扩散</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208</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社会保障和就业支出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highlight w:val="none"/>
                <w:shd w:val="clear" w:color="auto" w:fill="auto"/>
                <w:lang w:eastAsia="zh-CN"/>
              </w:rPr>
            </w:pPr>
            <w:r>
              <w:rPr>
                <w:rFonts w:hint="eastAsia" w:ascii="宋体" w:hAnsi="宋体" w:eastAsia="宋体" w:cs="宋体"/>
                <w:color w:val="000000"/>
                <w:kern w:val="0"/>
                <w:sz w:val="22"/>
                <w:highlight w:val="none"/>
                <w:shd w:val="clear" w:color="auto" w:fill="auto"/>
              </w:rPr>
              <w:t>152.</w:t>
            </w:r>
            <w:r>
              <w:rPr>
                <w:rFonts w:hint="eastAsia" w:ascii="宋体" w:hAnsi="宋体" w:eastAsia="宋体" w:cs="宋体"/>
                <w:color w:val="000000"/>
                <w:kern w:val="0"/>
                <w:sz w:val="22"/>
                <w:highlight w:val="none"/>
                <w:shd w:val="clear" w:color="auto" w:fill="auto"/>
                <w:lang w:val="en-US" w:eastAsia="zh-CN"/>
              </w:rPr>
              <w:t>6</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highlight w:val="none"/>
                <w:shd w:val="clear" w:color="auto" w:fill="auto"/>
                <w:lang w:eastAsia="zh-CN"/>
              </w:rPr>
            </w:pPr>
            <w:r>
              <w:rPr>
                <w:rFonts w:hint="eastAsia" w:ascii="宋体" w:hAnsi="宋体" w:eastAsia="宋体" w:cs="宋体"/>
                <w:color w:val="000000"/>
                <w:kern w:val="0"/>
                <w:sz w:val="22"/>
                <w:highlight w:val="none"/>
                <w:shd w:val="clear" w:color="auto" w:fill="auto"/>
              </w:rPr>
              <w:t>152.</w:t>
            </w:r>
            <w:r>
              <w:rPr>
                <w:rFonts w:hint="eastAsia" w:ascii="宋体" w:hAnsi="宋体" w:eastAsia="宋体" w:cs="宋体"/>
                <w:color w:val="000000"/>
                <w:kern w:val="0"/>
                <w:sz w:val="22"/>
                <w:highlight w:val="none"/>
                <w:shd w:val="clear" w:color="auto" w:fill="auto"/>
                <w:lang w:val="en-US" w:eastAsia="zh-CN"/>
              </w:rPr>
              <w:t>6</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20808</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抚恤</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107.49</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107.49</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2080801</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死亡抚恤</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107.49</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107.49</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20827</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财政对其他社会保险基金的补助</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45.11</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45.11</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2082799</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其他财政对社会保险基金的补助</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45.11</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45.11</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211</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节能环保支出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1,889.59</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1,889.59</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21103</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污染防治</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952.59</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952.59</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2110399</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其他污染防治支出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952.59</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952.59</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21199</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其他节能环保支出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937.00</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937.00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2119999</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其他节能环保支出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937.00</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937.00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农林水支出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38,875.03</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30,397.70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8,477.33</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农业农村</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35,681.45</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27,204.13</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8,477.33</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2130101</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行政运行</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7,685.99</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1,356.96</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6,329.03</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2130102</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一般行政管理事务</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526.36</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526.36</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2130105</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农垦运行</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123.00</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123.00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2130106</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科技转化与推广服务</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771.27</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771.27</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2130108</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病虫害控制</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1,652.61</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1,652.61</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2130109</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农产品质量安全</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155.83</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155.83</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2130110</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执法监管</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162.35</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162.35</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2130114</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对外交流与合作</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10.00</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10.00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2130119</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防灾救灾</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102.38</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102.38</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2130121</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农业结构调整补贴</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757.55</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757.55</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2130122</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农业生产发展</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18,629.28</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16,480.99</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2,148.30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2130124</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农村合作经济</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105.00</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105.00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2130125</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农产品加工与促销</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139.55</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139.55</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2130126</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农村社会事业</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1,741.70</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1,741.70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2130135</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农业资源保护修复与利用</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388.90</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388.90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2130148</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成品油价格改革对渔业的补贴</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28.41</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28.41</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2130199</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其他农业农村支出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2,701.27</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2,701.27</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21302</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林业和草原</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2,050.52</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2,050.52</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2130201</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行政运行</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2,050.52</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2,050.52</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21305</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扶贫</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1,125.56</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1,125.56</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2130502</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一般行政管理事务</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56.80</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56.80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2130505</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生产发展</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438.76</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438.76</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2130599</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其他扶贫支出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630.00</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630.00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21399</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其他农林水支出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17.50</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17.50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2139999</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其他农林水支出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17.50</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17.50</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214</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交通运输支出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21404</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成品油价格改革对交通运输的补贴</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2140499</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成品油价格改革补贴其他支出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216</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商业服务业等支出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21602</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商业流通事务</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2160299</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其他商业流通事务支出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222</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粮油物资储备支出</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22201</w:t>
            </w:r>
          </w:p>
        </w:tc>
        <w:tc>
          <w:tcPr>
            <w:tcW w:w="459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粮油物资事务</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c>
          <w:tcPr>
            <w:tcW w:w="14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c>
          <w:tcPr>
            <w:tcW w:w="82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85" w:hRule="atLeast"/>
          <w:jc w:val="center"/>
        </w:trPr>
        <w:tc>
          <w:tcPr>
            <w:tcW w:w="1114" w:type="dxa"/>
            <w:gridSpan w:val="3"/>
            <w:tcBorders>
              <w:top w:val="nil"/>
              <w:left w:val="single" w:color="000000" w:sz="4" w:space="0"/>
              <w:bottom w:val="single" w:color="000000" w:sz="8"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2220199</w:t>
            </w:r>
          </w:p>
        </w:tc>
        <w:tc>
          <w:tcPr>
            <w:tcW w:w="4592" w:type="dxa"/>
            <w:tcBorders>
              <w:top w:val="nil"/>
              <w:left w:val="nil"/>
              <w:bottom w:val="single" w:color="000000" w:sz="8"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其他粮油物资事务支出</w:t>
            </w:r>
          </w:p>
        </w:tc>
        <w:tc>
          <w:tcPr>
            <w:tcW w:w="1444"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c>
          <w:tcPr>
            <w:tcW w:w="1444"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c>
          <w:tcPr>
            <w:tcW w:w="826"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19"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52"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885"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bl>
    <w:p>
      <w:pPr>
        <w:widowControl/>
        <w:rPr>
          <w:rFonts w:ascii="Calibri" w:hAnsi="Calibri" w:eastAsia="宋体" w:cs="宋体"/>
          <w:szCs w:val="21"/>
          <w:highlight w:val="none"/>
          <w:shd w:val="clear" w:color="auto" w:fill="auto"/>
        </w:rPr>
      </w:pPr>
      <w:r>
        <w:rPr>
          <w:rFonts w:hint="eastAsia" w:ascii="Calibri" w:hAnsi="Calibri" w:eastAsia="宋体" w:cs="宋体"/>
          <w:szCs w:val="21"/>
          <w:highlight w:val="none"/>
          <w:shd w:val="clear" w:color="auto" w:fill="auto"/>
        </w:rPr>
        <w:t>注：本表反映部门本年度取得的各项收入情况。</w:t>
      </w:r>
    </w:p>
    <w:p>
      <w:pPr>
        <w:widowControl/>
        <w:rPr>
          <w:rFonts w:ascii="Calibri" w:hAnsi="Calibri" w:eastAsia="宋体" w:cs="宋体"/>
          <w:szCs w:val="21"/>
          <w:highlight w:val="none"/>
          <w:shd w:val="clear" w:color="auto" w:fill="auto"/>
        </w:rPr>
      </w:pPr>
    </w:p>
    <w:p>
      <w:pPr>
        <w:widowControl/>
        <w:rPr>
          <w:rFonts w:ascii="Calibri" w:hAnsi="Calibri" w:eastAsia="宋体" w:cs="宋体"/>
          <w:szCs w:val="21"/>
          <w:highlight w:val="none"/>
          <w:shd w:val="clear" w:color="auto" w:fill="auto"/>
        </w:rPr>
      </w:pPr>
    </w:p>
    <w:p>
      <w:pPr>
        <w:rPr>
          <w:rFonts w:ascii="宋体" w:hAnsi="宋体" w:eastAsia="宋体" w:cs="宋体"/>
          <w:kern w:val="0"/>
          <w:sz w:val="24"/>
          <w:szCs w:val="24"/>
          <w:highlight w:val="none"/>
          <w:shd w:val="clear" w:color="auto" w:fill="auto"/>
        </w:rPr>
      </w:pPr>
      <w:r>
        <w:rPr>
          <w:rFonts w:ascii="宋体" w:hAnsi="宋体" w:eastAsia="宋体" w:cs="宋体"/>
          <w:kern w:val="0"/>
          <w:sz w:val="24"/>
          <w:szCs w:val="24"/>
          <w:highlight w:val="none"/>
          <w:shd w:val="clear" w:color="auto" w:fill="auto"/>
        </w:rPr>
        <w:br w:type="page"/>
      </w:r>
    </w:p>
    <w:p>
      <w:pPr>
        <w:widowControl/>
        <w:rPr>
          <w:rFonts w:ascii="宋体" w:hAnsi="宋体" w:eastAsia="宋体" w:cs="宋体"/>
          <w:kern w:val="0"/>
          <w:sz w:val="24"/>
          <w:szCs w:val="24"/>
          <w:highlight w:val="none"/>
          <w:shd w:val="clear" w:color="auto" w:fill="auto"/>
        </w:rPr>
      </w:pPr>
    </w:p>
    <w:tbl>
      <w:tblPr>
        <w:tblStyle w:val="7"/>
        <w:tblW w:w="14266" w:type="dxa"/>
        <w:jc w:val="center"/>
        <w:tblInd w:w="0" w:type="dxa"/>
        <w:tblLayout w:type="fixed"/>
        <w:tblCellMar>
          <w:top w:w="0" w:type="dxa"/>
          <w:left w:w="108" w:type="dxa"/>
          <w:bottom w:w="0" w:type="dxa"/>
          <w:right w:w="108" w:type="dxa"/>
        </w:tblCellMar>
      </w:tblPr>
      <w:tblGrid>
        <w:gridCol w:w="330"/>
        <w:gridCol w:w="330"/>
        <w:gridCol w:w="330"/>
        <w:gridCol w:w="3735"/>
        <w:gridCol w:w="1560"/>
        <w:gridCol w:w="1388"/>
        <w:gridCol w:w="1389"/>
        <w:gridCol w:w="1765"/>
        <w:gridCol w:w="1218"/>
        <w:gridCol w:w="2221"/>
      </w:tblGrid>
      <w:tr>
        <w:tblPrEx>
          <w:tblLayout w:type="fixed"/>
          <w:tblCellMar>
            <w:top w:w="0" w:type="dxa"/>
            <w:left w:w="108" w:type="dxa"/>
            <w:bottom w:w="0" w:type="dxa"/>
            <w:right w:w="108" w:type="dxa"/>
          </w:tblCellMar>
        </w:tblPrEx>
        <w:trPr>
          <w:trHeight w:val="390" w:hRule="atLeast"/>
          <w:jc w:val="center"/>
        </w:trPr>
        <w:tc>
          <w:tcPr>
            <w:tcW w:w="33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73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56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2777"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r>
              <w:rPr>
                <w:rFonts w:hint="eastAsia" w:ascii="宋体" w:hAnsi="宋体" w:eastAsia="宋体" w:cs="宋体"/>
                <w:b/>
                <w:bCs/>
                <w:color w:val="000000"/>
                <w:kern w:val="0"/>
                <w:sz w:val="32"/>
                <w:szCs w:val="32"/>
                <w:highlight w:val="none"/>
                <w:shd w:val="clear" w:color="auto" w:fill="auto"/>
              </w:rPr>
              <w:t>支出决</w:t>
            </w:r>
            <w:r>
              <w:rPr>
                <w:rFonts w:hint="eastAsia" w:ascii="宋体" w:hAnsi="宋体" w:eastAsia="宋体" w:cs="宋体"/>
                <w:b/>
                <w:bCs/>
                <w:color w:val="000000"/>
                <w:kern w:val="0"/>
                <w:sz w:val="32"/>
                <w:szCs w:val="32"/>
                <w:highlight w:val="none"/>
                <w:shd w:val="clear" w:color="auto" w:fill="auto"/>
                <w:lang w:val="en-US" w:eastAsia="zh-CN"/>
              </w:rPr>
              <w:t>算</w:t>
            </w:r>
            <w:r>
              <w:rPr>
                <w:rFonts w:hint="eastAsia" w:ascii="宋体" w:hAnsi="宋体" w:eastAsia="宋体" w:cs="宋体"/>
                <w:b/>
                <w:bCs/>
                <w:color w:val="000000"/>
                <w:kern w:val="0"/>
                <w:sz w:val="32"/>
                <w:szCs w:val="32"/>
                <w:highlight w:val="none"/>
                <w:shd w:val="clear" w:color="auto" w:fill="auto"/>
              </w:rPr>
              <w:t>表</w:t>
            </w:r>
          </w:p>
        </w:tc>
        <w:tc>
          <w:tcPr>
            <w:tcW w:w="176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18"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2221"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r>
      <w:tr>
        <w:tblPrEx>
          <w:tblLayout w:type="fixed"/>
          <w:tblCellMar>
            <w:top w:w="0" w:type="dxa"/>
            <w:left w:w="108" w:type="dxa"/>
            <w:bottom w:w="0" w:type="dxa"/>
            <w:right w:w="108" w:type="dxa"/>
          </w:tblCellMar>
        </w:tblPrEx>
        <w:trPr>
          <w:trHeight w:val="255" w:hRule="atLeast"/>
          <w:jc w:val="center"/>
        </w:trPr>
        <w:tc>
          <w:tcPr>
            <w:tcW w:w="33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73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56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388"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38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76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18"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2221"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公开03表</w:t>
            </w:r>
          </w:p>
        </w:tc>
      </w:tr>
      <w:tr>
        <w:tblPrEx>
          <w:tblLayout w:type="fixed"/>
          <w:tblCellMar>
            <w:top w:w="0" w:type="dxa"/>
            <w:left w:w="108" w:type="dxa"/>
            <w:bottom w:w="0" w:type="dxa"/>
            <w:right w:w="108" w:type="dxa"/>
          </w:tblCellMar>
        </w:tblPrEx>
        <w:trPr>
          <w:trHeight w:val="255" w:hRule="atLeast"/>
          <w:jc w:val="center"/>
        </w:trPr>
        <w:tc>
          <w:tcPr>
            <w:tcW w:w="4725" w:type="dxa"/>
            <w:gridSpan w:val="4"/>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156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388"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38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76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18"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2221"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tblPrEx>
          <w:tblLayout w:type="fixed"/>
          <w:tblCellMar>
            <w:top w:w="0" w:type="dxa"/>
            <w:left w:w="108" w:type="dxa"/>
            <w:bottom w:w="0" w:type="dxa"/>
            <w:right w:w="108" w:type="dxa"/>
          </w:tblCellMar>
        </w:tblPrEx>
        <w:trPr>
          <w:trHeight w:val="308" w:hRule="atLeast"/>
          <w:jc w:val="center"/>
        </w:trPr>
        <w:tc>
          <w:tcPr>
            <w:tcW w:w="47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156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本年支出合计</w:t>
            </w:r>
          </w:p>
        </w:tc>
        <w:tc>
          <w:tcPr>
            <w:tcW w:w="1388"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基本支出</w:t>
            </w:r>
          </w:p>
        </w:tc>
        <w:tc>
          <w:tcPr>
            <w:tcW w:w="1389"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项目支出</w:t>
            </w:r>
          </w:p>
        </w:tc>
        <w:tc>
          <w:tcPr>
            <w:tcW w:w="1765"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上缴上级支出</w:t>
            </w:r>
          </w:p>
        </w:tc>
        <w:tc>
          <w:tcPr>
            <w:tcW w:w="1218"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经营支出</w:t>
            </w:r>
          </w:p>
        </w:tc>
        <w:tc>
          <w:tcPr>
            <w:tcW w:w="2221"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对附属单位补助支出</w:t>
            </w:r>
          </w:p>
        </w:tc>
      </w:tr>
      <w:tr>
        <w:tblPrEx>
          <w:tblLayout w:type="fixed"/>
          <w:tblCellMar>
            <w:top w:w="0" w:type="dxa"/>
            <w:left w:w="108" w:type="dxa"/>
            <w:bottom w:w="0" w:type="dxa"/>
            <w:right w:w="108" w:type="dxa"/>
          </w:tblCellMar>
        </w:tblPrEx>
        <w:trPr>
          <w:trHeight w:val="312" w:hRule="atLeast"/>
          <w:jc w:val="center"/>
        </w:trPr>
        <w:tc>
          <w:tcPr>
            <w:tcW w:w="990"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功能分类科目编码</w:t>
            </w:r>
          </w:p>
        </w:tc>
        <w:tc>
          <w:tcPr>
            <w:tcW w:w="3735" w:type="dxa"/>
            <w:vMerge w:val="restar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科目名称</w:t>
            </w:r>
          </w:p>
        </w:tc>
        <w:tc>
          <w:tcPr>
            <w:tcW w:w="156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76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21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2221"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12" w:hRule="atLeast"/>
          <w:jc w:val="center"/>
        </w:trPr>
        <w:tc>
          <w:tcPr>
            <w:tcW w:w="99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3735" w:type="dxa"/>
            <w:vMerge w:val="continue"/>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56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76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21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2221"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12" w:hRule="atLeast"/>
          <w:jc w:val="center"/>
        </w:trPr>
        <w:tc>
          <w:tcPr>
            <w:tcW w:w="99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3735" w:type="dxa"/>
            <w:vMerge w:val="continue"/>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56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76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21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2221"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08" w:hRule="atLeast"/>
          <w:jc w:val="center"/>
        </w:trPr>
        <w:tc>
          <w:tcPr>
            <w:tcW w:w="47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1560"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388"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389"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765"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1218"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2221"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r>
      <w:tr>
        <w:tblPrEx>
          <w:tblLayout w:type="fixed"/>
          <w:tblCellMar>
            <w:top w:w="0" w:type="dxa"/>
            <w:left w:w="108" w:type="dxa"/>
            <w:bottom w:w="0" w:type="dxa"/>
            <w:right w:w="108" w:type="dxa"/>
          </w:tblCellMar>
        </w:tblPrEx>
        <w:trPr>
          <w:trHeight w:val="308" w:hRule="atLeast"/>
          <w:jc w:val="center"/>
        </w:trPr>
        <w:tc>
          <w:tcPr>
            <w:tcW w:w="47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38,608.88</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3,789.86</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34,819.01</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206</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科学技术支出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20604</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技术研究与开发</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2060404</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科技成果转化与扩散</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208</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社会保障和就业支出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highlight w:val="none"/>
                <w:shd w:val="clear" w:color="auto" w:fill="auto"/>
                <w:lang w:eastAsia="zh-CN"/>
              </w:rPr>
            </w:pPr>
            <w:r>
              <w:rPr>
                <w:rFonts w:hint="eastAsia" w:ascii="宋体" w:hAnsi="宋体" w:eastAsia="宋体" w:cs="宋体"/>
                <w:color w:val="000000"/>
                <w:kern w:val="0"/>
                <w:sz w:val="22"/>
                <w:highlight w:val="none"/>
                <w:shd w:val="clear" w:color="auto" w:fill="auto"/>
              </w:rPr>
              <w:t>152.</w:t>
            </w:r>
            <w:r>
              <w:rPr>
                <w:rFonts w:hint="eastAsia" w:ascii="宋体" w:hAnsi="宋体" w:eastAsia="宋体" w:cs="宋体"/>
                <w:color w:val="000000"/>
                <w:kern w:val="0"/>
                <w:sz w:val="22"/>
                <w:highlight w:val="none"/>
                <w:shd w:val="clear" w:color="auto" w:fill="auto"/>
                <w:lang w:val="en-US" w:eastAsia="zh-CN"/>
              </w:rPr>
              <w:t>6</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107.49</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45.11</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20808</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抚恤</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107.49</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107.49</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2080801</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死亡抚恤</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107.49</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107.49</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20827</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财政对其他社会保险基金的补助</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45.11</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45.11</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2082799</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其他财政对社会保险基金的补助</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45.11</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45.11</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211</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节能环保支出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1,889.59</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1,889.59</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21103</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污染防治</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952.59</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952.59</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2110399</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其他污染防治支出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952.59</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952.59</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21199</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其他节能环保支出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937.00</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937.00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2119999</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其他节能环保支出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937.00</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937.00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农林水支出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33,781.12</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3,682.37</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30,098.75</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农业农村</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30,587.54</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1,631.85</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28,955.69</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2130101</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行政运行</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1,356.96</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1,356.96</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2130102</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一般行政管理事务</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526.36</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526.36</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2130105</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农垦运行</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123.00</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123.00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2130106</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科技转化与推广服务</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771.27</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771.27</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2130108</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病虫害控制</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1,652.61</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1,652.61</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2130109</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农产品质量安全</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155.83</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155.83</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2130110</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执法监管</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162.35</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162.35</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2130114</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对外交流与合作</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10.00</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10.00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2130119</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防灾救灾</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102.38</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102.38</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2130121</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农业结构调整补贴</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757.55</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757.55</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2130122</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农业生产发展</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18,629.28</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18,629.28</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2130124</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农村合作经济</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105.00</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105.00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2130125</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农产品加工与促销</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139.55</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139.55</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2130126</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农村社会事业</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1,741.70</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1,741.70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2130135</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农业资源保护修复与利用</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388.90</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388.90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2130148</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成品油价格改革对渔业的补贴</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28.41</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28.41</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2130199</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其他农业农村支出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3,936.39</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274.89</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3,661.50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21302</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林业和草原</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2,050.52</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2,050.52</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2130201</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行政运行</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2,050.52</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2,050.52</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21305</w:t>
            </w:r>
          </w:p>
        </w:tc>
        <w:tc>
          <w:tcPr>
            <w:tcW w:w="3735" w:type="dxa"/>
            <w:tcBorders>
              <w:top w:val="nil"/>
              <w:left w:val="nil"/>
              <w:bottom w:val="single" w:color="000000" w:sz="4" w:space="0"/>
              <w:right w:val="single" w:color="000000" w:sz="4" w:space="0"/>
            </w:tcBorders>
            <w:shd w:val="clear" w:color="auto" w:fill="auto"/>
            <w:noWrap/>
            <w:vAlign w:val="center"/>
          </w:tcPr>
          <w:p>
            <w:pPr>
              <w:widowControl/>
              <w:ind w:firstLine="220" w:firstLineChars="10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扶贫</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1,125.56</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1,125.56</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2130502</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一般行政管理事务</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56.80</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56.80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2130505</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生产发展</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438.76</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438.76</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2130599</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其他扶贫支出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630.00</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630.00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21399</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其他农林水支出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17.50</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17.50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2139999</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其他农林水支出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17.50</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17.50</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214</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交通运输支出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21404</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成品油价格改革对交通运输的补贴</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2140499</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成品油价格改革补贴其他支出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216</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商业服务业等支出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21602</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商业流通事务</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2160299</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其他商业流通事务支出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222</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粮油物资储备支出</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22201</w:t>
            </w:r>
          </w:p>
        </w:tc>
        <w:tc>
          <w:tcPr>
            <w:tcW w:w="373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粮油物资事务</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c>
          <w:tcPr>
            <w:tcW w:w="13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c>
          <w:tcPr>
            <w:tcW w:w="176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285" w:hRule="atLeast"/>
          <w:jc w:val="center"/>
        </w:trPr>
        <w:tc>
          <w:tcPr>
            <w:tcW w:w="990" w:type="dxa"/>
            <w:gridSpan w:val="3"/>
            <w:tcBorders>
              <w:top w:val="nil"/>
              <w:left w:val="single" w:color="000000" w:sz="4" w:space="0"/>
              <w:bottom w:val="single" w:color="000000" w:sz="8"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2220199</w:t>
            </w:r>
          </w:p>
        </w:tc>
        <w:tc>
          <w:tcPr>
            <w:tcW w:w="3735" w:type="dxa"/>
            <w:tcBorders>
              <w:top w:val="nil"/>
              <w:left w:val="nil"/>
              <w:bottom w:val="single" w:color="000000" w:sz="8"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其他粮油物资事务支出</w:t>
            </w:r>
          </w:p>
        </w:tc>
        <w:tc>
          <w:tcPr>
            <w:tcW w:w="1560"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c>
          <w:tcPr>
            <w:tcW w:w="1388"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389"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c>
          <w:tcPr>
            <w:tcW w:w="1765"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18"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221"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bl>
    <w:p>
      <w:pPr>
        <w:widowControl/>
        <w:rPr>
          <w:rFonts w:ascii="宋体" w:hAnsi="宋体" w:eastAsia="宋体" w:cs="宋体"/>
          <w:kern w:val="0"/>
          <w:sz w:val="24"/>
          <w:szCs w:val="24"/>
          <w:highlight w:val="none"/>
          <w:shd w:val="clear" w:color="auto" w:fill="auto"/>
        </w:rPr>
      </w:pPr>
      <w:r>
        <w:rPr>
          <w:rFonts w:hint="eastAsia" w:ascii="宋体" w:hAnsi="宋体" w:eastAsia="宋体" w:cs="宋体"/>
          <w:kern w:val="0"/>
          <w:sz w:val="24"/>
          <w:szCs w:val="24"/>
          <w:highlight w:val="none"/>
          <w:shd w:val="clear" w:color="auto" w:fill="auto"/>
        </w:rPr>
        <w:t>注：本表反映部门本年度各项支出情况。</w:t>
      </w:r>
    </w:p>
    <w:p>
      <w:pPr>
        <w:widowControl/>
        <w:rPr>
          <w:rFonts w:ascii="宋体" w:hAnsi="宋体" w:eastAsia="宋体" w:cs="宋体"/>
          <w:kern w:val="0"/>
          <w:sz w:val="24"/>
          <w:szCs w:val="24"/>
          <w:highlight w:val="none"/>
          <w:shd w:val="clear" w:color="auto" w:fill="auto"/>
        </w:rPr>
      </w:pPr>
    </w:p>
    <w:p>
      <w:pPr>
        <w:rPr>
          <w:rFonts w:ascii="宋体" w:hAnsi="宋体" w:eastAsia="宋体" w:cs="宋体"/>
          <w:kern w:val="0"/>
          <w:sz w:val="24"/>
          <w:szCs w:val="24"/>
          <w:highlight w:val="none"/>
          <w:shd w:val="clear" w:color="auto" w:fill="auto"/>
        </w:rPr>
      </w:pPr>
      <w:r>
        <w:rPr>
          <w:rFonts w:ascii="宋体" w:hAnsi="宋体" w:eastAsia="宋体" w:cs="宋体"/>
          <w:kern w:val="0"/>
          <w:sz w:val="24"/>
          <w:szCs w:val="24"/>
          <w:highlight w:val="none"/>
          <w:shd w:val="clear" w:color="auto" w:fill="auto"/>
        </w:rPr>
        <w:br w:type="page"/>
      </w:r>
    </w:p>
    <w:p>
      <w:pPr>
        <w:widowControl/>
        <w:rPr>
          <w:rFonts w:ascii="宋体" w:hAnsi="宋体" w:eastAsia="宋体" w:cs="宋体"/>
          <w:kern w:val="0"/>
          <w:sz w:val="24"/>
          <w:szCs w:val="24"/>
          <w:highlight w:val="none"/>
          <w:shd w:val="clear" w:color="auto" w:fill="auto"/>
        </w:rPr>
      </w:pPr>
    </w:p>
    <w:tbl>
      <w:tblPr>
        <w:tblStyle w:val="7"/>
        <w:tblW w:w="15537" w:type="dxa"/>
        <w:jc w:val="center"/>
        <w:tblInd w:w="0" w:type="dxa"/>
        <w:tblLayout w:type="fixed"/>
        <w:tblCellMar>
          <w:top w:w="0" w:type="dxa"/>
          <w:left w:w="108" w:type="dxa"/>
          <w:bottom w:w="0" w:type="dxa"/>
          <w:right w:w="108" w:type="dxa"/>
        </w:tblCellMar>
      </w:tblPr>
      <w:tblGrid>
        <w:gridCol w:w="2978"/>
        <w:gridCol w:w="154"/>
        <w:gridCol w:w="285"/>
        <w:gridCol w:w="345"/>
        <w:gridCol w:w="1073"/>
        <w:gridCol w:w="3886"/>
        <w:gridCol w:w="51"/>
        <w:gridCol w:w="457"/>
        <w:gridCol w:w="188"/>
        <w:gridCol w:w="1230"/>
        <w:gridCol w:w="270"/>
        <w:gridCol w:w="1289"/>
        <w:gridCol w:w="301"/>
        <w:gridCol w:w="833"/>
        <w:gridCol w:w="577"/>
        <w:gridCol w:w="1620"/>
      </w:tblGrid>
      <w:tr>
        <w:tblPrEx>
          <w:tblLayout w:type="fixed"/>
          <w:tblCellMar>
            <w:top w:w="0" w:type="dxa"/>
            <w:left w:w="108" w:type="dxa"/>
            <w:bottom w:w="0" w:type="dxa"/>
            <w:right w:w="108" w:type="dxa"/>
          </w:tblCellMar>
        </w:tblPrEx>
        <w:trPr>
          <w:trHeight w:val="390" w:hRule="atLeast"/>
          <w:jc w:val="center"/>
        </w:trPr>
        <w:tc>
          <w:tcPr>
            <w:tcW w:w="15537" w:type="dxa"/>
            <w:gridSpan w:val="16"/>
            <w:tcBorders>
              <w:top w:val="nil"/>
              <w:left w:val="nil"/>
              <w:bottom w:val="nil"/>
              <w:right w:val="nil"/>
            </w:tcBorders>
            <w:shd w:val="clear" w:color="auto" w:fill="auto"/>
            <w:noWrap/>
            <w:vAlign w:val="bottom"/>
          </w:tcPr>
          <w:p>
            <w:pPr>
              <w:jc w:val="center"/>
              <w:rPr>
                <w:rFonts w:ascii="Arial" w:hAnsi="Arial" w:eastAsia="宋体" w:cs="Arial"/>
                <w:color w:val="000000"/>
                <w:sz w:val="22"/>
                <w:highlight w:val="none"/>
                <w:shd w:val="clear" w:color="auto" w:fill="auto"/>
              </w:rPr>
            </w:pPr>
            <w:r>
              <w:rPr>
                <w:rFonts w:hint="eastAsia" w:ascii="宋体" w:hAnsi="宋体" w:eastAsia="宋体" w:cs="宋体"/>
                <w:b/>
                <w:bCs/>
                <w:color w:val="000000"/>
                <w:kern w:val="0"/>
                <w:sz w:val="32"/>
                <w:szCs w:val="32"/>
                <w:highlight w:val="none"/>
                <w:shd w:val="clear" w:color="auto" w:fill="auto"/>
              </w:rPr>
              <w:t>财政拨款收入支出决算总表</w:t>
            </w:r>
          </w:p>
        </w:tc>
      </w:tr>
      <w:tr>
        <w:tblPrEx>
          <w:tblLayout w:type="fixed"/>
          <w:tblCellMar>
            <w:top w:w="0" w:type="dxa"/>
            <w:left w:w="108" w:type="dxa"/>
            <w:bottom w:w="0" w:type="dxa"/>
            <w:right w:w="108" w:type="dxa"/>
          </w:tblCellMar>
        </w:tblPrEx>
        <w:trPr>
          <w:trHeight w:val="255" w:hRule="atLeast"/>
          <w:jc w:val="center"/>
        </w:trPr>
        <w:tc>
          <w:tcPr>
            <w:tcW w:w="3132"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630"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073"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937"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645"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500"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590"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410"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620"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公开04表</w:t>
            </w:r>
          </w:p>
        </w:tc>
      </w:tr>
      <w:tr>
        <w:tblPrEx>
          <w:tblLayout w:type="fixed"/>
          <w:tblCellMar>
            <w:top w:w="0" w:type="dxa"/>
            <w:left w:w="108" w:type="dxa"/>
            <w:bottom w:w="0" w:type="dxa"/>
            <w:right w:w="108" w:type="dxa"/>
          </w:tblCellMar>
        </w:tblPrEx>
        <w:trPr>
          <w:trHeight w:val="255" w:hRule="atLeast"/>
          <w:jc w:val="center"/>
        </w:trPr>
        <w:tc>
          <w:tcPr>
            <w:tcW w:w="3132" w:type="dxa"/>
            <w:gridSpan w:val="2"/>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630"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073"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937"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645"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500"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590"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410"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620"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tblPrEx>
          <w:tblLayout w:type="fixed"/>
          <w:tblCellMar>
            <w:top w:w="0" w:type="dxa"/>
            <w:left w:w="108" w:type="dxa"/>
            <w:bottom w:w="0" w:type="dxa"/>
            <w:right w:w="108" w:type="dxa"/>
          </w:tblCellMar>
        </w:tblPrEx>
        <w:trPr>
          <w:trHeight w:val="308" w:hRule="atLeast"/>
          <w:jc w:val="center"/>
        </w:trPr>
        <w:tc>
          <w:tcPr>
            <w:tcW w:w="483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收     入</w:t>
            </w:r>
          </w:p>
        </w:tc>
        <w:tc>
          <w:tcPr>
            <w:tcW w:w="10702" w:type="dxa"/>
            <w:gridSpan w:val="11"/>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支     出</w:t>
            </w:r>
          </w:p>
        </w:tc>
      </w:tr>
      <w:tr>
        <w:tblPrEx>
          <w:tblLayout w:type="fixed"/>
          <w:tblCellMar>
            <w:top w:w="0" w:type="dxa"/>
            <w:left w:w="108" w:type="dxa"/>
            <w:bottom w:w="0" w:type="dxa"/>
            <w:right w:w="108" w:type="dxa"/>
          </w:tblCellMar>
        </w:tblPrEx>
        <w:trPr>
          <w:trHeight w:val="312" w:hRule="atLeast"/>
          <w:jc w:val="center"/>
        </w:trPr>
        <w:tc>
          <w:tcPr>
            <w:tcW w:w="297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439" w:type="dxa"/>
            <w:gridSpan w:val="2"/>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1418" w:type="dxa"/>
            <w:gridSpan w:val="2"/>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c>
          <w:tcPr>
            <w:tcW w:w="3886"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508" w:type="dxa"/>
            <w:gridSpan w:val="2"/>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1418" w:type="dxa"/>
            <w:gridSpan w:val="2"/>
            <w:vMerge w:val="restar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1559" w:type="dxa"/>
            <w:gridSpan w:val="2"/>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一般公共预算财政拨款</w:t>
            </w:r>
          </w:p>
        </w:tc>
        <w:tc>
          <w:tcPr>
            <w:tcW w:w="1134" w:type="dxa"/>
            <w:gridSpan w:val="2"/>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政府性基金预算财政拨款</w:t>
            </w:r>
          </w:p>
        </w:tc>
        <w:tc>
          <w:tcPr>
            <w:tcW w:w="2197" w:type="dxa"/>
            <w:gridSpan w:val="2"/>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国有资本经营预算财政拨款</w:t>
            </w:r>
          </w:p>
        </w:tc>
      </w:tr>
      <w:tr>
        <w:tblPrEx>
          <w:tblLayout w:type="fixed"/>
          <w:tblCellMar>
            <w:top w:w="0" w:type="dxa"/>
            <w:left w:w="108" w:type="dxa"/>
            <w:bottom w:w="0" w:type="dxa"/>
            <w:right w:w="108" w:type="dxa"/>
          </w:tblCellMar>
        </w:tblPrEx>
        <w:trPr>
          <w:trHeight w:val="615" w:hRule="atLeast"/>
          <w:jc w:val="center"/>
        </w:trPr>
        <w:tc>
          <w:tcPr>
            <w:tcW w:w="2978"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439" w:type="dxa"/>
            <w:gridSpan w:val="2"/>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418" w:type="dxa"/>
            <w:gridSpan w:val="2"/>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3886"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508" w:type="dxa"/>
            <w:gridSpan w:val="2"/>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418" w:type="dxa"/>
            <w:gridSpan w:val="2"/>
            <w:vMerge w:val="continue"/>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559" w:type="dxa"/>
            <w:gridSpan w:val="2"/>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134" w:type="dxa"/>
            <w:gridSpan w:val="2"/>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2197" w:type="dxa"/>
            <w:gridSpan w:val="2"/>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439" w:type="dxa"/>
            <w:gridSpan w:val="2"/>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3886"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508" w:type="dxa"/>
            <w:gridSpan w:val="2"/>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一、一般公共预算财政拨款</w:t>
            </w: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35,225.46</w:t>
            </w: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一、一般公共服务支出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33</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二、政府性基金预算财政拨款</w:t>
            </w: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二、外交支出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34</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三、国有资本经营财政拨款</w:t>
            </w: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三、国防支出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四、公共安全支出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五、教育支出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37</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六、科学技术支出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七、文化旅游体育与传媒支出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八、社会保障和就业支出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40</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highlight w:val="none"/>
                <w:shd w:val="clear" w:color="auto" w:fill="auto"/>
                <w:lang w:eastAsia="zh-CN"/>
              </w:rPr>
            </w:pPr>
            <w:r>
              <w:rPr>
                <w:rFonts w:hint="eastAsia" w:ascii="宋体" w:hAnsi="宋体" w:eastAsia="宋体" w:cs="宋体"/>
                <w:color w:val="000000"/>
                <w:kern w:val="0"/>
                <w:sz w:val="22"/>
                <w:highlight w:val="none"/>
                <w:shd w:val="clear" w:color="auto" w:fill="auto"/>
              </w:rPr>
              <w:t>152.</w:t>
            </w:r>
            <w:r>
              <w:rPr>
                <w:rFonts w:hint="eastAsia" w:ascii="宋体" w:hAnsi="宋体" w:eastAsia="宋体" w:cs="宋体"/>
                <w:color w:val="000000"/>
                <w:kern w:val="0"/>
                <w:sz w:val="22"/>
                <w:highlight w:val="none"/>
                <w:shd w:val="clear" w:color="auto" w:fill="auto"/>
                <w:lang w:val="en-US" w:eastAsia="zh-CN"/>
              </w:rPr>
              <w:t>6</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highlight w:val="none"/>
                <w:shd w:val="clear" w:color="auto" w:fill="auto"/>
                <w:lang w:eastAsia="zh-CN"/>
              </w:rPr>
            </w:pPr>
            <w:r>
              <w:rPr>
                <w:rFonts w:hint="eastAsia" w:ascii="宋体" w:hAnsi="宋体" w:eastAsia="宋体" w:cs="宋体"/>
                <w:color w:val="000000"/>
                <w:kern w:val="0"/>
                <w:sz w:val="22"/>
                <w:highlight w:val="none"/>
                <w:shd w:val="clear" w:color="auto" w:fill="auto"/>
              </w:rPr>
              <w:t>152.</w:t>
            </w:r>
            <w:r>
              <w:rPr>
                <w:rFonts w:hint="eastAsia" w:ascii="宋体" w:hAnsi="宋体" w:eastAsia="宋体" w:cs="宋体"/>
                <w:color w:val="000000"/>
                <w:kern w:val="0"/>
                <w:sz w:val="22"/>
                <w:highlight w:val="none"/>
                <w:shd w:val="clear" w:color="auto" w:fill="auto"/>
                <w:lang w:val="en-US" w:eastAsia="zh-CN"/>
              </w:rPr>
              <w:t>6</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九、卫生健康支出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41</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十、节能环保支出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42</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1,889.59</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1,889.59</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十一、城乡社区支出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十二、农林水支出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44</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31,632.82</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31,632.82</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十三、交通运输支出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162.86</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14</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十四、资源勘探工业信息等支出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46</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十五、商业服务业等支出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47</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1,968.09</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十六、金融支出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48</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十七、援助其他地区支出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49</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十八、自然资源海洋气象等支出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十九、住房保障支出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51</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二十、粮油物资储备支出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649.62</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二十一、国有资本经营预算支出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53</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二十二、灾害防治及应急管理支出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54</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23</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二十三、其他支出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55</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b/>
                <w:bCs/>
                <w:color w:val="000000"/>
                <w:sz w:val="20"/>
                <w:szCs w:val="20"/>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24</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二十四、债务还本支出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25</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二十五、债务付息支出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57</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highlight w:val="none"/>
                <w:shd w:val="clear" w:color="auto" w:fill="auto"/>
              </w:rPr>
            </w:pP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26</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二十六、抗疫特别国债安排的支出</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58</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本年收入合计</w:t>
            </w: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35,225.46</w:t>
            </w:r>
          </w:p>
        </w:tc>
        <w:tc>
          <w:tcPr>
            <w:tcW w:w="3886"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本年支出合计</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59</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36,460.58</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36,460.58</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年初财政拨款结转和结余</w:t>
            </w: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1,235.12</w:t>
            </w:r>
          </w:p>
        </w:tc>
        <w:tc>
          <w:tcPr>
            <w:tcW w:w="388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年末财政拨款结转和结余</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60</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一般公共预算财政拨款</w:t>
            </w: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29</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1,235.12</w:t>
            </w:r>
          </w:p>
        </w:tc>
        <w:tc>
          <w:tcPr>
            <w:tcW w:w="3886" w:type="dxa"/>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61</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559"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134"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2197"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政府性基金预算财政拨款</w:t>
            </w: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3886" w:type="dxa"/>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62</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559"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134"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2197"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国有资本经营预算财政拨款</w:t>
            </w:r>
          </w:p>
        </w:tc>
        <w:tc>
          <w:tcPr>
            <w:tcW w:w="439"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3886" w:type="dxa"/>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63</w:t>
            </w:r>
          </w:p>
        </w:tc>
        <w:tc>
          <w:tcPr>
            <w:tcW w:w="1418"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559"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134"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2197"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08" w:hRule="atLeast"/>
          <w:jc w:val="center"/>
        </w:trPr>
        <w:tc>
          <w:tcPr>
            <w:tcW w:w="2978"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439" w:type="dxa"/>
            <w:gridSpan w:val="2"/>
            <w:tcBorders>
              <w:top w:val="nil"/>
              <w:left w:val="nil"/>
              <w:bottom w:val="single" w:color="000000" w:sz="8"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32</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36,460.58</w:t>
            </w:r>
          </w:p>
        </w:tc>
        <w:tc>
          <w:tcPr>
            <w:tcW w:w="3886"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508" w:type="dxa"/>
            <w:gridSpan w:val="2"/>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36,460.58</w:t>
            </w:r>
          </w:p>
        </w:tc>
        <w:tc>
          <w:tcPr>
            <w:tcW w:w="1559"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36,460.58</w:t>
            </w:r>
          </w:p>
        </w:tc>
        <w:tc>
          <w:tcPr>
            <w:tcW w:w="1134"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2197"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bl>
    <w:p>
      <w:pPr>
        <w:widowControl/>
        <w:rPr>
          <w:rFonts w:ascii="宋体" w:hAnsi="宋体" w:eastAsia="宋体" w:cs="宋体"/>
          <w:kern w:val="0"/>
          <w:sz w:val="24"/>
          <w:szCs w:val="24"/>
          <w:highlight w:val="none"/>
          <w:shd w:val="clear" w:color="auto" w:fill="auto"/>
        </w:rPr>
      </w:pPr>
      <w:r>
        <w:rPr>
          <w:rFonts w:hint="eastAsia" w:ascii="宋体" w:hAnsi="宋体" w:eastAsia="宋体" w:cs="宋体"/>
          <w:kern w:val="0"/>
          <w:sz w:val="24"/>
          <w:szCs w:val="24"/>
          <w:highlight w:val="none"/>
          <w:shd w:val="clear" w:color="auto" w:fill="auto"/>
        </w:rPr>
        <w:t>注：本表反映部门本年度一般公共预算财政拨款、政府性基金预算财政拨款和国有资本经营预算财政拨款的总收支和年末结转结余情况。</w:t>
      </w:r>
    </w:p>
    <w:p>
      <w:pPr>
        <w:widowControl/>
        <w:rPr>
          <w:rFonts w:ascii="宋体" w:hAnsi="宋体" w:eastAsia="宋体" w:cs="宋体"/>
          <w:kern w:val="0"/>
          <w:sz w:val="24"/>
          <w:szCs w:val="24"/>
          <w:highlight w:val="none"/>
          <w:shd w:val="clear" w:color="auto" w:fill="auto"/>
        </w:rPr>
      </w:pPr>
    </w:p>
    <w:p>
      <w:pPr>
        <w:widowControl/>
        <w:rPr>
          <w:rFonts w:ascii="宋体" w:hAnsi="宋体" w:eastAsia="宋体" w:cs="宋体"/>
          <w:kern w:val="0"/>
          <w:sz w:val="24"/>
          <w:szCs w:val="24"/>
          <w:highlight w:val="none"/>
          <w:shd w:val="clear" w:color="auto" w:fill="auto"/>
        </w:rPr>
      </w:pPr>
    </w:p>
    <w:tbl>
      <w:tblPr>
        <w:tblStyle w:val="7"/>
        <w:tblW w:w="11840" w:type="dxa"/>
        <w:jc w:val="center"/>
        <w:tblInd w:w="0" w:type="dxa"/>
        <w:tblLayout w:type="fixed"/>
        <w:tblCellMar>
          <w:top w:w="0" w:type="dxa"/>
          <w:left w:w="108" w:type="dxa"/>
          <w:bottom w:w="0" w:type="dxa"/>
          <w:right w:w="108" w:type="dxa"/>
        </w:tblCellMar>
      </w:tblPr>
      <w:tblGrid>
        <w:gridCol w:w="330"/>
        <w:gridCol w:w="330"/>
        <w:gridCol w:w="326"/>
        <w:gridCol w:w="4312"/>
        <w:gridCol w:w="2119"/>
        <w:gridCol w:w="2052"/>
        <w:gridCol w:w="2371"/>
      </w:tblGrid>
      <w:tr>
        <w:tblPrEx>
          <w:tblLayout w:type="fixed"/>
          <w:tblCellMar>
            <w:top w:w="0" w:type="dxa"/>
            <w:left w:w="108" w:type="dxa"/>
            <w:bottom w:w="0" w:type="dxa"/>
            <w:right w:w="108" w:type="dxa"/>
          </w:tblCellMar>
        </w:tblPrEx>
        <w:trPr>
          <w:trHeight w:val="390" w:hRule="atLeast"/>
          <w:jc w:val="center"/>
        </w:trPr>
        <w:tc>
          <w:tcPr>
            <w:tcW w:w="11840" w:type="dxa"/>
            <w:gridSpan w:val="7"/>
            <w:tcBorders>
              <w:top w:val="nil"/>
              <w:left w:val="nil"/>
              <w:bottom w:val="nil"/>
              <w:right w:val="nil"/>
            </w:tcBorders>
            <w:shd w:val="clear" w:color="auto" w:fill="auto"/>
            <w:noWrap/>
            <w:vAlign w:val="bottom"/>
          </w:tcPr>
          <w:p>
            <w:pPr>
              <w:widowControl/>
              <w:jc w:val="center"/>
              <w:textAlignment w:val="bottom"/>
              <w:rPr>
                <w:rFonts w:hint="eastAsia" w:ascii="宋体" w:hAnsi="宋体" w:eastAsia="宋体" w:cs="宋体"/>
                <w:b/>
                <w:bCs/>
                <w:color w:val="auto"/>
                <w:kern w:val="0"/>
                <w:sz w:val="32"/>
                <w:szCs w:val="32"/>
                <w:highlight w:val="none"/>
                <w:shd w:val="clear" w:color="auto" w:fill="auto"/>
              </w:rPr>
            </w:pPr>
          </w:p>
          <w:p>
            <w:pPr>
              <w:widowControl/>
              <w:jc w:val="center"/>
              <w:textAlignment w:val="bottom"/>
              <w:rPr>
                <w:rFonts w:hint="eastAsia" w:ascii="宋体" w:hAnsi="宋体" w:eastAsia="宋体" w:cs="宋体"/>
                <w:b/>
                <w:bCs/>
                <w:color w:val="auto"/>
                <w:kern w:val="0"/>
                <w:sz w:val="32"/>
                <w:szCs w:val="32"/>
                <w:highlight w:val="none"/>
                <w:shd w:val="clear" w:color="auto" w:fill="auto"/>
              </w:rPr>
            </w:pPr>
          </w:p>
          <w:p>
            <w:pPr>
              <w:widowControl/>
              <w:jc w:val="center"/>
              <w:textAlignment w:val="bottom"/>
              <w:rPr>
                <w:rFonts w:ascii="宋体" w:hAnsi="宋体" w:eastAsia="宋体" w:cs="宋体"/>
                <w:color w:val="auto"/>
                <w:sz w:val="30"/>
                <w:szCs w:val="30"/>
                <w:highlight w:val="none"/>
                <w:shd w:val="clear" w:color="auto" w:fill="auto"/>
              </w:rPr>
            </w:pPr>
            <w:r>
              <w:rPr>
                <w:rFonts w:hint="eastAsia" w:ascii="宋体" w:hAnsi="宋体" w:eastAsia="宋体" w:cs="宋体"/>
                <w:b/>
                <w:bCs/>
                <w:color w:val="auto"/>
                <w:kern w:val="0"/>
                <w:sz w:val="32"/>
                <w:szCs w:val="32"/>
                <w:highlight w:val="none"/>
                <w:shd w:val="clear" w:color="auto" w:fill="auto"/>
              </w:rPr>
              <w:t>一般公共预算财政拨款支出决算表</w:t>
            </w:r>
          </w:p>
        </w:tc>
      </w:tr>
      <w:tr>
        <w:tblPrEx>
          <w:tblLayout w:type="fixed"/>
          <w:tblCellMar>
            <w:top w:w="0" w:type="dxa"/>
            <w:left w:w="108" w:type="dxa"/>
            <w:bottom w:w="0" w:type="dxa"/>
            <w:right w:w="108" w:type="dxa"/>
          </w:tblCellMar>
        </w:tblPrEx>
        <w:trPr>
          <w:trHeight w:val="255" w:hRule="atLeast"/>
          <w:jc w:val="center"/>
        </w:trPr>
        <w:tc>
          <w:tcPr>
            <w:tcW w:w="330"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326"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4312"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2119"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2052"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2371"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公开05表</w:t>
            </w:r>
          </w:p>
        </w:tc>
      </w:tr>
      <w:tr>
        <w:tblPrEx>
          <w:tblLayout w:type="fixed"/>
          <w:tblCellMar>
            <w:top w:w="0" w:type="dxa"/>
            <w:left w:w="108" w:type="dxa"/>
            <w:bottom w:w="0" w:type="dxa"/>
            <w:right w:w="108" w:type="dxa"/>
          </w:tblCellMar>
        </w:tblPrEx>
        <w:trPr>
          <w:trHeight w:val="255" w:hRule="atLeast"/>
          <w:jc w:val="center"/>
        </w:trPr>
        <w:tc>
          <w:tcPr>
            <w:tcW w:w="5298" w:type="dxa"/>
            <w:gridSpan w:val="4"/>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部门：湘潭县农业农村局</w:t>
            </w:r>
          </w:p>
        </w:tc>
        <w:tc>
          <w:tcPr>
            <w:tcW w:w="2119"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2052"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2371"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金额单位：万元</w:t>
            </w:r>
          </w:p>
        </w:tc>
      </w:tr>
      <w:tr>
        <w:tblPrEx>
          <w:tblLayout w:type="fixed"/>
          <w:tblCellMar>
            <w:top w:w="0" w:type="dxa"/>
            <w:left w:w="108" w:type="dxa"/>
            <w:bottom w:w="0" w:type="dxa"/>
            <w:right w:w="108" w:type="dxa"/>
          </w:tblCellMar>
        </w:tblPrEx>
        <w:trPr>
          <w:trHeight w:val="308" w:hRule="atLeast"/>
          <w:jc w:val="center"/>
        </w:trPr>
        <w:tc>
          <w:tcPr>
            <w:tcW w:w="529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项目</w:t>
            </w:r>
          </w:p>
        </w:tc>
        <w:tc>
          <w:tcPr>
            <w:tcW w:w="6542"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本年支出</w:t>
            </w:r>
          </w:p>
        </w:tc>
      </w:tr>
      <w:tr>
        <w:tblPrEx>
          <w:tblLayout w:type="fixed"/>
          <w:tblCellMar>
            <w:top w:w="0" w:type="dxa"/>
            <w:left w:w="108" w:type="dxa"/>
            <w:bottom w:w="0" w:type="dxa"/>
            <w:right w:w="108" w:type="dxa"/>
          </w:tblCellMar>
        </w:tblPrEx>
        <w:trPr>
          <w:trHeight w:val="312" w:hRule="atLeast"/>
          <w:jc w:val="center"/>
        </w:trPr>
        <w:tc>
          <w:tcPr>
            <w:tcW w:w="986"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功能分类科目编码</w:t>
            </w:r>
          </w:p>
        </w:tc>
        <w:tc>
          <w:tcPr>
            <w:tcW w:w="4312" w:type="dxa"/>
            <w:vMerge w:val="restar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科目名称</w:t>
            </w:r>
          </w:p>
        </w:tc>
        <w:tc>
          <w:tcPr>
            <w:tcW w:w="2119"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小计</w:t>
            </w:r>
          </w:p>
        </w:tc>
        <w:tc>
          <w:tcPr>
            <w:tcW w:w="2052"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基本支出</w:t>
            </w:r>
          </w:p>
        </w:tc>
        <w:tc>
          <w:tcPr>
            <w:tcW w:w="2371"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项目支出</w:t>
            </w:r>
          </w:p>
        </w:tc>
      </w:tr>
      <w:tr>
        <w:tblPrEx>
          <w:tblLayout w:type="fixed"/>
          <w:tblCellMar>
            <w:top w:w="0" w:type="dxa"/>
            <w:left w:w="108" w:type="dxa"/>
            <w:bottom w:w="0" w:type="dxa"/>
            <w:right w:w="108" w:type="dxa"/>
          </w:tblCellMar>
        </w:tblPrEx>
        <w:trPr>
          <w:trHeight w:val="312" w:hRule="atLeast"/>
          <w:jc w:val="center"/>
        </w:trPr>
        <w:tc>
          <w:tcPr>
            <w:tcW w:w="986"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c>
          <w:tcPr>
            <w:tcW w:w="4312" w:type="dxa"/>
            <w:vMerge w:val="continue"/>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22"/>
                <w:highlight w:val="none"/>
                <w:shd w:val="clear" w:color="auto" w:fill="auto"/>
              </w:rPr>
            </w:pPr>
          </w:p>
        </w:tc>
        <w:tc>
          <w:tcPr>
            <w:tcW w:w="2119"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c>
          <w:tcPr>
            <w:tcW w:w="2052"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c>
          <w:tcPr>
            <w:tcW w:w="2371"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r>
      <w:tr>
        <w:tblPrEx>
          <w:tblLayout w:type="fixed"/>
          <w:tblCellMar>
            <w:top w:w="0" w:type="dxa"/>
            <w:left w:w="108" w:type="dxa"/>
            <w:bottom w:w="0" w:type="dxa"/>
            <w:right w:w="108" w:type="dxa"/>
          </w:tblCellMar>
        </w:tblPrEx>
        <w:trPr>
          <w:trHeight w:val="312" w:hRule="atLeast"/>
          <w:jc w:val="center"/>
        </w:trPr>
        <w:tc>
          <w:tcPr>
            <w:tcW w:w="986"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c>
          <w:tcPr>
            <w:tcW w:w="4312" w:type="dxa"/>
            <w:vMerge w:val="continue"/>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22"/>
                <w:highlight w:val="none"/>
                <w:shd w:val="clear" w:color="auto" w:fill="auto"/>
              </w:rPr>
            </w:pPr>
          </w:p>
        </w:tc>
        <w:tc>
          <w:tcPr>
            <w:tcW w:w="2119"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c>
          <w:tcPr>
            <w:tcW w:w="2052"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c>
          <w:tcPr>
            <w:tcW w:w="2371"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r>
      <w:tr>
        <w:tblPrEx>
          <w:tblLayout w:type="fixed"/>
          <w:tblCellMar>
            <w:top w:w="0" w:type="dxa"/>
            <w:left w:w="108" w:type="dxa"/>
            <w:bottom w:w="0" w:type="dxa"/>
            <w:right w:w="108" w:type="dxa"/>
          </w:tblCellMar>
        </w:tblPrEx>
        <w:trPr>
          <w:trHeight w:val="308" w:hRule="atLeast"/>
          <w:jc w:val="center"/>
        </w:trPr>
        <w:tc>
          <w:tcPr>
            <w:tcW w:w="5298"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栏次</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3</w:t>
            </w:r>
          </w:p>
        </w:tc>
      </w:tr>
      <w:tr>
        <w:tblPrEx>
          <w:tblLayout w:type="fixed"/>
          <w:tblCellMar>
            <w:top w:w="0" w:type="dxa"/>
            <w:left w:w="108" w:type="dxa"/>
            <w:bottom w:w="0" w:type="dxa"/>
            <w:right w:w="108" w:type="dxa"/>
          </w:tblCellMar>
        </w:tblPrEx>
        <w:trPr>
          <w:trHeight w:val="308" w:hRule="atLeast"/>
          <w:jc w:val="center"/>
        </w:trPr>
        <w:tc>
          <w:tcPr>
            <w:tcW w:w="5298"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合计</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36,460.58</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3,789.86</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32,670.72</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206</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科学技术支出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5.00</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5.00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20604</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技术研究与开发</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5.00</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5.00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2060404</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科技成果转化与扩散</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5.00</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5.00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208</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社会保障和就业支出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auto"/>
                <w:sz w:val="22"/>
                <w:highlight w:val="none"/>
                <w:shd w:val="clear" w:color="auto" w:fill="auto"/>
                <w:lang w:eastAsia="zh-CN"/>
              </w:rPr>
            </w:pPr>
            <w:r>
              <w:rPr>
                <w:rFonts w:hint="eastAsia" w:ascii="宋体" w:hAnsi="宋体" w:eastAsia="宋体" w:cs="宋体"/>
                <w:color w:val="auto"/>
                <w:kern w:val="0"/>
                <w:sz w:val="22"/>
                <w:highlight w:val="none"/>
                <w:shd w:val="clear" w:color="auto" w:fill="auto"/>
              </w:rPr>
              <w:t>152.</w:t>
            </w:r>
            <w:r>
              <w:rPr>
                <w:rFonts w:hint="eastAsia" w:ascii="宋体" w:hAnsi="宋体" w:eastAsia="宋体" w:cs="宋体"/>
                <w:color w:val="auto"/>
                <w:kern w:val="0"/>
                <w:sz w:val="22"/>
                <w:highlight w:val="none"/>
                <w:shd w:val="clear" w:color="auto" w:fill="auto"/>
                <w:lang w:val="en-US" w:eastAsia="zh-CN"/>
              </w:rPr>
              <w:t>6</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107.49</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45.11</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20808</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抚恤</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107.49</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107.49</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2080801</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死亡抚恤</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107.49</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107.49</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20827</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财政对其他社会保险基金的补助</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45.11</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45.11</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2082799</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其他财政对社会保险基金的补助</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45.11</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45.11</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211</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节能环保支出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1,889.59</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1,889.59</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21103</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污染防治</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952.59</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952.59</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2110399</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其他污染防治支出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952.59</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952.59</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21199</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其他节能环保支出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937.00</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937.00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2119999</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其他节能环保支出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937.00</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937.00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农林水支出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31,632.82</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3,682.37</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27,950.45</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农业农村</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28,439.24</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1,631.85</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26,807.39</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2130101</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行政运行</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1,356.96</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1,356.96</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2130102</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一般行政管理事务</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526.36</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526.36</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2130105</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农垦运行</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123.00</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123.00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2130106</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科技转化与推广服务</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771.27</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771.27</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2130108</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病虫害控制</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1,652.61</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1,652.61</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2130109</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农产品质量安全</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155.83</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155.83</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2130110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执法监管</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162.35</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162.35</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2130114</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对外交流与合作</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10.00</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10.00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2130119</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防灾救灾</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102.38</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102.38</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2130121</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农业结构调整补贴</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757.55</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757.55</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2130122</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农业生产发展</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16,480.99</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16,480.99</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2130124</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农村合作经济</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105.00</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105.00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2130125</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农产品加工与促销</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139.55</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139.55</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2130126</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农村社会事业</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1,741.70</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1,741.70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2130135</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农业资源保护修复与利用</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388.90</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388.90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2130148</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成品油价格改革对渔业的补贴</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28.41</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28.41</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2130199</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其他农业农村支出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3,936.39</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274.89</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3,661.50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21302</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林业和草原</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2,050.52</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2,050.52</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2130201</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行政运行</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2,050.52</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2,050.52</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21305</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扶贫</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1,125.56</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1,125.56</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2130502</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一般行政管理事务</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56.80</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56.80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2130505</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生产发展</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438.76</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438.76</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2130599</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其他扶贫支出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630.00</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630.00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21399</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其他农林水支出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17.50</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17.50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2139999</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其他农林水支出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17.50</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17.50</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214</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交通运输支出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162.86</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162.86</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21404</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成品油价格改革对交通运输的补贴</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162.86</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162.86</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2140499</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成品油价格改革补贴其他支出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162.86</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162.86</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216</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商业服务业等支出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1,968.09</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1,968.09</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21602</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商业流通事务</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1,968.09</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1,968.09</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2160299</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其他商业流通事务支出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1,968.09</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1,968.09</w:t>
            </w:r>
          </w:p>
        </w:tc>
      </w:tr>
      <w:tr>
        <w:tblPrEx>
          <w:tblLayout w:type="fixed"/>
          <w:tblCellMar>
            <w:top w:w="0" w:type="dxa"/>
            <w:left w:w="108" w:type="dxa"/>
            <w:bottom w:w="0" w:type="dxa"/>
            <w:right w:w="108" w:type="dxa"/>
          </w:tblCellMar>
        </w:tblPrEx>
        <w:trPr>
          <w:trHeight w:val="308"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222</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粮油物资储备支出</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649.62</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649.62</w:t>
            </w:r>
          </w:p>
        </w:tc>
      </w:tr>
      <w:tr>
        <w:tblPrEx>
          <w:tblLayout w:type="fixed"/>
          <w:tblCellMar>
            <w:top w:w="0" w:type="dxa"/>
            <w:left w:w="108" w:type="dxa"/>
            <w:bottom w:w="0" w:type="dxa"/>
            <w:right w:w="108" w:type="dxa"/>
          </w:tblCellMar>
        </w:tblPrEx>
        <w:trPr>
          <w:trHeight w:val="270" w:hRule="atLeast"/>
          <w:jc w:val="center"/>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22201</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粮油物资事务</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649.62</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649.62</w:t>
            </w:r>
          </w:p>
        </w:tc>
      </w:tr>
      <w:tr>
        <w:tblPrEx>
          <w:tblLayout w:type="fixed"/>
          <w:tblCellMar>
            <w:top w:w="0" w:type="dxa"/>
            <w:left w:w="108" w:type="dxa"/>
            <w:bottom w:w="0" w:type="dxa"/>
            <w:right w:w="108" w:type="dxa"/>
          </w:tblCellMar>
        </w:tblPrEx>
        <w:trPr>
          <w:trHeight w:val="285" w:hRule="atLeast"/>
          <w:jc w:val="center"/>
        </w:trPr>
        <w:tc>
          <w:tcPr>
            <w:tcW w:w="986" w:type="dxa"/>
            <w:gridSpan w:val="3"/>
            <w:tcBorders>
              <w:top w:val="nil"/>
              <w:left w:val="single" w:color="000000" w:sz="4" w:space="0"/>
              <w:bottom w:val="single" w:color="000000" w:sz="8"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2220199</w:t>
            </w:r>
          </w:p>
        </w:tc>
        <w:tc>
          <w:tcPr>
            <w:tcW w:w="4312" w:type="dxa"/>
            <w:tcBorders>
              <w:top w:val="nil"/>
              <w:left w:val="nil"/>
              <w:bottom w:val="single" w:color="000000" w:sz="8"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 xml:space="preserve">  其他粮油物资事务支出</w:t>
            </w:r>
          </w:p>
        </w:tc>
        <w:tc>
          <w:tcPr>
            <w:tcW w:w="2119"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649.62</w:t>
            </w:r>
          </w:p>
        </w:tc>
        <w:tc>
          <w:tcPr>
            <w:tcW w:w="2052"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0.00</w:t>
            </w:r>
          </w:p>
        </w:tc>
        <w:tc>
          <w:tcPr>
            <w:tcW w:w="2371"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649.62</w:t>
            </w:r>
          </w:p>
        </w:tc>
      </w:tr>
    </w:tbl>
    <w:p>
      <w:pPr>
        <w:widowControl/>
        <w:rPr>
          <w:rFonts w:ascii="宋体" w:hAnsi="宋体" w:eastAsia="宋体" w:cs="宋体"/>
          <w:kern w:val="0"/>
          <w:sz w:val="24"/>
          <w:szCs w:val="24"/>
          <w:highlight w:val="none"/>
          <w:shd w:val="clear" w:color="auto" w:fill="auto"/>
        </w:rPr>
      </w:pPr>
      <w:r>
        <w:rPr>
          <w:rFonts w:hint="eastAsia" w:ascii="Times New Roman" w:hAnsi="Times New Roman" w:eastAsia="仿宋_GB2312" w:cs="仿宋_GB2312"/>
          <w:kern w:val="0"/>
          <w:szCs w:val="21"/>
          <w:highlight w:val="none"/>
          <w:shd w:val="clear" w:color="auto" w:fill="auto"/>
        </w:rPr>
        <w:t>注：本表反映部门本年度一般公共预算财政拨款支出情况。</w:t>
      </w:r>
    </w:p>
    <w:p>
      <w:pPr>
        <w:widowControl/>
        <w:rPr>
          <w:rFonts w:ascii="宋体" w:hAnsi="宋体" w:eastAsia="宋体" w:cs="宋体"/>
          <w:kern w:val="0"/>
          <w:sz w:val="24"/>
          <w:szCs w:val="24"/>
          <w:highlight w:val="none"/>
          <w:shd w:val="clear" w:color="auto" w:fill="auto"/>
        </w:rPr>
      </w:pPr>
    </w:p>
    <w:p>
      <w:pPr>
        <w:widowControl/>
        <w:rPr>
          <w:rFonts w:ascii="宋体" w:hAnsi="宋体" w:eastAsia="宋体" w:cs="宋体"/>
          <w:kern w:val="0"/>
          <w:sz w:val="24"/>
          <w:szCs w:val="24"/>
          <w:highlight w:val="none"/>
          <w:shd w:val="clear" w:color="auto" w:fill="auto"/>
        </w:rPr>
      </w:pPr>
    </w:p>
    <w:p>
      <w:pPr>
        <w:widowControl/>
        <w:rPr>
          <w:rFonts w:ascii="宋体" w:hAnsi="宋体" w:eastAsia="宋体" w:cs="宋体"/>
          <w:kern w:val="0"/>
          <w:sz w:val="24"/>
          <w:szCs w:val="24"/>
          <w:highlight w:val="none"/>
          <w:shd w:val="clear" w:color="auto" w:fill="auto"/>
        </w:rPr>
      </w:pPr>
    </w:p>
    <w:tbl>
      <w:tblPr>
        <w:tblStyle w:val="7"/>
        <w:tblW w:w="15117" w:type="dxa"/>
        <w:jc w:val="center"/>
        <w:tblInd w:w="0" w:type="dxa"/>
        <w:tblLayout w:type="fixed"/>
        <w:tblCellMar>
          <w:top w:w="0" w:type="dxa"/>
          <w:left w:w="108" w:type="dxa"/>
          <w:bottom w:w="0" w:type="dxa"/>
          <w:right w:w="108" w:type="dxa"/>
        </w:tblCellMar>
      </w:tblPr>
      <w:tblGrid>
        <w:gridCol w:w="837"/>
        <w:gridCol w:w="3401"/>
        <w:gridCol w:w="1159"/>
        <w:gridCol w:w="825"/>
        <w:gridCol w:w="2254"/>
        <w:gridCol w:w="941"/>
        <w:gridCol w:w="795"/>
        <w:gridCol w:w="3690"/>
        <w:gridCol w:w="1215"/>
      </w:tblGrid>
      <w:tr>
        <w:tblPrEx>
          <w:tblLayout w:type="fixed"/>
          <w:tblCellMar>
            <w:top w:w="0" w:type="dxa"/>
            <w:left w:w="108" w:type="dxa"/>
            <w:bottom w:w="0" w:type="dxa"/>
            <w:right w:w="108" w:type="dxa"/>
          </w:tblCellMar>
        </w:tblPrEx>
        <w:trPr>
          <w:trHeight w:val="390" w:hRule="atLeast"/>
          <w:jc w:val="center"/>
        </w:trPr>
        <w:tc>
          <w:tcPr>
            <w:tcW w:w="15117" w:type="dxa"/>
            <w:gridSpan w:val="9"/>
            <w:tcBorders>
              <w:top w:val="nil"/>
              <w:left w:val="nil"/>
              <w:bottom w:val="nil"/>
              <w:right w:val="nil"/>
            </w:tcBorders>
            <w:shd w:val="clear" w:color="auto" w:fill="auto"/>
            <w:noWrap/>
            <w:vAlign w:val="bottom"/>
          </w:tcPr>
          <w:p>
            <w:pPr>
              <w:widowControl/>
              <w:jc w:val="center"/>
              <w:textAlignment w:val="bottom"/>
              <w:rPr>
                <w:rFonts w:hint="eastAsia" w:ascii="宋体" w:hAnsi="宋体" w:eastAsia="宋体" w:cs="宋体"/>
                <w:b/>
                <w:bCs/>
                <w:color w:val="000000"/>
                <w:kern w:val="0"/>
                <w:sz w:val="32"/>
                <w:szCs w:val="32"/>
                <w:highlight w:val="none"/>
                <w:shd w:val="clear" w:color="auto" w:fill="auto"/>
              </w:rPr>
            </w:pPr>
          </w:p>
          <w:p>
            <w:pPr>
              <w:widowControl/>
              <w:jc w:val="center"/>
              <w:textAlignment w:val="bottom"/>
              <w:rPr>
                <w:rFonts w:hint="eastAsia" w:ascii="宋体" w:hAnsi="宋体" w:eastAsia="宋体" w:cs="宋体"/>
                <w:b/>
                <w:bCs/>
                <w:color w:val="000000"/>
                <w:kern w:val="0"/>
                <w:sz w:val="32"/>
                <w:szCs w:val="32"/>
                <w:highlight w:val="none"/>
                <w:shd w:val="clear" w:color="auto" w:fill="auto"/>
              </w:rPr>
            </w:pPr>
          </w:p>
          <w:p>
            <w:pPr>
              <w:widowControl/>
              <w:jc w:val="center"/>
              <w:textAlignment w:val="bottom"/>
              <w:rPr>
                <w:rFonts w:hint="eastAsia" w:ascii="宋体" w:hAnsi="宋体" w:eastAsia="宋体" w:cs="宋体"/>
                <w:b/>
                <w:bCs/>
                <w:color w:val="000000"/>
                <w:kern w:val="0"/>
                <w:sz w:val="32"/>
                <w:szCs w:val="32"/>
                <w:highlight w:val="none"/>
                <w:shd w:val="clear" w:color="auto" w:fill="auto"/>
              </w:rPr>
            </w:pPr>
          </w:p>
          <w:p>
            <w:pPr>
              <w:widowControl/>
              <w:jc w:val="center"/>
              <w:textAlignment w:val="bottom"/>
              <w:rPr>
                <w:rFonts w:hint="eastAsia" w:ascii="宋体" w:hAnsi="宋体" w:eastAsia="宋体" w:cs="宋体"/>
                <w:b/>
                <w:bCs/>
                <w:color w:val="000000"/>
                <w:kern w:val="0"/>
                <w:sz w:val="32"/>
                <w:szCs w:val="32"/>
                <w:highlight w:val="none"/>
                <w:shd w:val="clear" w:color="auto" w:fill="auto"/>
              </w:rPr>
            </w:pPr>
          </w:p>
          <w:p>
            <w:pPr>
              <w:widowControl/>
              <w:jc w:val="center"/>
              <w:textAlignment w:val="bottom"/>
              <w:rPr>
                <w:rFonts w:hint="eastAsia" w:ascii="宋体" w:hAnsi="宋体" w:eastAsia="宋体" w:cs="宋体"/>
                <w:b/>
                <w:bCs/>
                <w:color w:val="000000"/>
                <w:kern w:val="0"/>
                <w:sz w:val="32"/>
                <w:szCs w:val="32"/>
                <w:highlight w:val="none"/>
                <w:shd w:val="clear" w:color="auto" w:fill="auto"/>
              </w:rPr>
            </w:pPr>
          </w:p>
          <w:p>
            <w:pPr>
              <w:widowControl/>
              <w:jc w:val="center"/>
              <w:textAlignment w:val="bottom"/>
              <w:rPr>
                <w:rFonts w:hint="eastAsia" w:ascii="宋体" w:hAnsi="宋体" w:eastAsia="宋体" w:cs="宋体"/>
                <w:b/>
                <w:bCs/>
                <w:color w:val="000000"/>
                <w:kern w:val="0"/>
                <w:sz w:val="32"/>
                <w:szCs w:val="32"/>
                <w:highlight w:val="none"/>
                <w:shd w:val="clear" w:color="auto" w:fill="auto"/>
              </w:rPr>
            </w:pPr>
          </w:p>
          <w:p>
            <w:pPr>
              <w:widowControl/>
              <w:jc w:val="center"/>
              <w:textAlignment w:val="bottom"/>
              <w:rPr>
                <w:rFonts w:ascii="宋体" w:hAnsi="宋体" w:eastAsia="宋体" w:cs="宋体"/>
                <w:color w:val="000000"/>
                <w:sz w:val="30"/>
                <w:szCs w:val="30"/>
                <w:highlight w:val="none"/>
                <w:shd w:val="clear" w:color="auto" w:fill="auto"/>
              </w:rPr>
            </w:pPr>
            <w:r>
              <w:rPr>
                <w:rFonts w:hint="eastAsia" w:ascii="宋体" w:hAnsi="宋体" w:eastAsia="宋体" w:cs="宋体"/>
                <w:b/>
                <w:bCs/>
                <w:color w:val="000000"/>
                <w:kern w:val="0"/>
                <w:sz w:val="32"/>
                <w:szCs w:val="32"/>
                <w:highlight w:val="none"/>
                <w:shd w:val="clear" w:color="auto" w:fill="auto"/>
              </w:rPr>
              <w:t>一般公共预算财政拨款基本支出决算表</w:t>
            </w:r>
          </w:p>
        </w:tc>
      </w:tr>
      <w:tr>
        <w:tblPrEx>
          <w:tblLayout w:type="fixed"/>
          <w:tblCellMar>
            <w:top w:w="0" w:type="dxa"/>
            <w:left w:w="108" w:type="dxa"/>
            <w:bottom w:w="0" w:type="dxa"/>
            <w:right w:w="108" w:type="dxa"/>
          </w:tblCellMar>
        </w:tblPrEx>
        <w:trPr>
          <w:trHeight w:val="255" w:hRule="atLeast"/>
          <w:jc w:val="center"/>
        </w:trPr>
        <w:tc>
          <w:tcPr>
            <w:tcW w:w="837"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401"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15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2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2254"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941"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79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69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15"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18"/>
                <w:szCs w:val="18"/>
                <w:highlight w:val="none"/>
                <w:shd w:val="clear" w:color="auto" w:fill="auto"/>
              </w:rPr>
            </w:pPr>
            <w:r>
              <w:rPr>
                <w:rFonts w:hint="eastAsia" w:ascii="宋体" w:hAnsi="宋体" w:eastAsia="宋体" w:cs="宋体"/>
                <w:color w:val="000000"/>
                <w:kern w:val="0"/>
                <w:sz w:val="18"/>
                <w:szCs w:val="18"/>
                <w:highlight w:val="none"/>
                <w:shd w:val="clear" w:color="auto" w:fill="auto"/>
              </w:rPr>
              <w:t>公开06表</w:t>
            </w:r>
          </w:p>
        </w:tc>
      </w:tr>
      <w:tr>
        <w:tblPrEx>
          <w:tblLayout w:type="fixed"/>
          <w:tblCellMar>
            <w:top w:w="0" w:type="dxa"/>
            <w:left w:w="108" w:type="dxa"/>
            <w:bottom w:w="0" w:type="dxa"/>
            <w:right w:w="108" w:type="dxa"/>
          </w:tblCellMar>
        </w:tblPrEx>
        <w:trPr>
          <w:trHeight w:val="255" w:hRule="atLeast"/>
          <w:jc w:val="center"/>
        </w:trPr>
        <w:tc>
          <w:tcPr>
            <w:tcW w:w="4238" w:type="dxa"/>
            <w:gridSpan w:val="2"/>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115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2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2254"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941"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79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4905" w:type="dxa"/>
            <w:gridSpan w:val="2"/>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18"/>
                <w:szCs w:val="18"/>
                <w:highlight w:val="none"/>
                <w:shd w:val="clear" w:color="auto" w:fill="auto"/>
              </w:rPr>
            </w:pPr>
            <w:r>
              <w:rPr>
                <w:rFonts w:hint="eastAsia" w:ascii="宋体" w:hAnsi="宋体" w:eastAsia="宋体" w:cs="宋体"/>
                <w:color w:val="000000"/>
                <w:kern w:val="0"/>
                <w:sz w:val="18"/>
                <w:szCs w:val="18"/>
                <w:highlight w:val="none"/>
                <w:shd w:val="clear" w:color="auto" w:fill="auto"/>
              </w:rPr>
              <w:t>金额单位：万元</w:t>
            </w:r>
          </w:p>
        </w:tc>
      </w:tr>
      <w:tr>
        <w:tblPrEx>
          <w:tblLayout w:type="fixed"/>
          <w:tblCellMar>
            <w:top w:w="0" w:type="dxa"/>
            <w:left w:w="108" w:type="dxa"/>
            <w:bottom w:w="0" w:type="dxa"/>
            <w:right w:w="108" w:type="dxa"/>
          </w:tblCellMar>
        </w:tblPrEx>
        <w:trPr>
          <w:trHeight w:val="308" w:hRule="atLeast"/>
          <w:jc w:val="center"/>
        </w:trPr>
        <w:tc>
          <w:tcPr>
            <w:tcW w:w="539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人员经费</w:t>
            </w:r>
          </w:p>
        </w:tc>
        <w:tc>
          <w:tcPr>
            <w:tcW w:w="9720" w:type="dxa"/>
            <w:gridSpan w:val="6"/>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公用经费</w:t>
            </w:r>
          </w:p>
        </w:tc>
      </w:tr>
      <w:tr>
        <w:tblPrEx>
          <w:tblLayout w:type="fixed"/>
          <w:tblCellMar>
            <w:top w:w="0" w:type="dxa"/>
            <w:left w:w="108" w:type="dxa"/>
            <w:bottom w:w="0" w:type="dxa"/>
            <w:right w:w="108" w:type="dxa"/>
          </w:tblCellMar>
        </w:tblPrEx>
        <w:trPr>
          <w:trHeight w:val="312" w:hRule="atLeast"/>
          <w:jc w:val="center"/>
        </w:trPr>
        <w:tc>
          <w:tcPr>
            <w:tcW w:w="83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科目编码</w:t>
            </w:r>
          </w:p>
        </w:tc>
        <w:tc>
          <w:tcPr>
            <w:tcW w:w="3401"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科目名称</w:t>
            </w:r>
          </w:p>
        </w:tc>
        <w:tc>
          <w:tcPr>
            <w:tcW w:w="1159"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决算数</w:t>
            </w:r>
          </w:p>
        </w:tc>
        <w:tc>
          <w:tcPr>
            <w:tcW w:w="825"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科目编码</w:t>
            </w:r>
          </w:p>
        </w:tc>
        <w:tc>
          <w:tcPr>
            <w:tcW w:w="2254"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科目名称</w:t>
            </w:r>
          </w:p>
        </w:tc>
        <w:tc>
          <w:tcPr>
            <w:tcW w:w="941"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决算数</w:t>
            </w:r>
          </w:p>
        </w:tc>
        <w:tc>
          <w:tcPr>
            <w:tcW w:w="795"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科目编码</w:t>
            </w:r>
          </w:p>
        </w:tc>
        <w:tc>
          <w:tcPr>
            <w:tcW w:w="3690"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科目名称</w:t>
            </w:r>
          </w:p>
        </w:tc>
        <w:tc>
          <w:tcPr>
            <w:tcW w:w="1215"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决算数</w:t>
            </w:r>
          </w:p>
        </w:tc>
      </w:tr>
      <w:tr>
        <w:tblPrEx>
          <w:tblLayout w:type="fixed"/>
          <w:tblCellMar>
            <w:top w:w="0" w:type="dxa"/>
            <w:left w:w="108" w:type="dxa"/>
            <w:bottom w:w="0" w:type="dxa"/>
            <w:right w:w="108" w:type="dxa"/>
          </w:tblCellMar>
        </w:tblPrEx>
        <w:trPr>
          <w:trHeight w:val="312" w:hRule="atLeast"/>
          <w:jc w:val="center"/>
        </w:trPr>
        <w:tc>
          <w:tcPr>
            <w:tcW w:w="837"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3401"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159"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25"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2254"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941"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795"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3690"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215"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301</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工资福利支出</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3,003.94</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商品和服务支出</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591.33</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307</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债务利息及费用支出</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30101</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基本工资</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1,052.82</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30201</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办公费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41.51</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30701</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国内债务付息</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30102</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津贴补贴</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334.89</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30202</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印刷费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20.25</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30702</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国外债务付息</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30103</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奖金</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536.11</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30203</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咨询费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28.98</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资本性支出</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30106</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伙食补助费</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111.13</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30204</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手续费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31001</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房屋建筑物购建</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30107</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绩效工资</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30205</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水费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2.64</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31002</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办公设备购置</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30108</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机关事业单位基本养老保险缴费</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312.69</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30206</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电费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34.94</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31003</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专用设备购置</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30109</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职业年金缴费</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70.26</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30207</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邮电费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5.51</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31005</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基础设施建设</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30110</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职工基本医疗保险缴费</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208.06</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30208</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取暖费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31006</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大型修缮</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30111</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公务员医疗补助缴费</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64.72</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30209</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物业管理费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17.49</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31007</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信息网络及软件购置更新</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30112</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其他社会保障缴费</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7.77</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30211</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差旅费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22.54</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31008</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物资储备</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30113</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住房公积金</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153.39</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30212</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因公出国（境）费用</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31009</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土地补偿</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30114</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医疗费</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30213</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维修（护）费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25.99</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31010</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安置补助</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30199</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其他工资福利支出</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152.10</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30214</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租赁费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31011</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地上附着物和青苗补偿</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303</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对个人和家庭的补助</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194.59</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30215</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会议费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2.38</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31012</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拆迁补偿</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30301</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离休费</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30216</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培训费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24.06</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31013</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公务用车购置</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30302</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退休费</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30217</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公务接待费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16.22</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31019</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其他交通工具购置</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30303</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退职（役）费</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30218</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专用材料费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31021</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文物和陈列品购置</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30304</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抚恤金</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107.49</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30224</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被装购置费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31022</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无形资产购置</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30305</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生活补助</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48.93</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30225</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专用燃料费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31099</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其他资本性支出</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30306</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救济费</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30226</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劳务费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27.6</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399</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其他支出</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30307</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医疗费补助</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30227</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委托业务费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101.15</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39906</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赠与</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30308</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助学金</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30228</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工会经费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75.72</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39907</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国家赔偿费用支出</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30309</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奖励金</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30229</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福利费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26.66</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39908</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对民间非营利组织和群众性自治组织补贴</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30310</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个人农业生产补贴</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0.00</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30231</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公务用车运行维护费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18.94</w:t>
            </w:r>
          </w:p>
        </w:tc>
        <w:tc>
          <w:tcPr>
            <w:tcW w:w="79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39999</w:t>
            </w:r>
          </w:p>
        </w:tc>
        <w:tc>
          <w:tcPr>
            <w:tcW w:w="3690"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其他支出</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30311</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代缴社会保险费</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30239</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其他交通费用</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795" w:type="dxa"/>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3690" w:type="dxa"/>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1215"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30399</w:t>
            </w:r>
          </w:p>
        </w:tc>
        <w:tc>
          <w:tcPr>
            <w:tcW w:w="340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其他对个人和家庭的补助</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38.17</w:t>
            </w: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30240</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税金及附加费用</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795" w:type="dxa"/>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3690" w:type="dxa"/>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1215"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08" w:hRule="atLeast"/>
          <w:jc w:val="center"/>
        </w:trPr>
        <w:tc>
          <w:tcPr>
            <w:tcW w:w="837"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3401" w:type="dxa"/>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115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82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30299</w:t>
            </w:r>
          </w:p>
        </w:tc>
        <w:tc>
          <w:tcPr>
            <w:tcW w:w="225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其他商品和服务支出</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98.75</w:t>
            </w:r>
          </w:p>
        </w:tc>
        <w:tc>
          <w:tcPr>
            <w:tcW w:w="795" w:type="dxa"/>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3690" w:type="dxa"/>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1215"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08" w:hRule="atLeast"/>
          <w:jc w:val="center"/>
        </w:trPr>
        <w:tc>
          <w:tcPr>
            <w:tcW w:w="4238"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人员经费合计</w:t>
            </w:r>
          </w:p>
        </w:tc>
        <w:tc>
          <w:tcPr>
            <w:tcW w:w="115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3,198.53</w:t>
            </w:r>
          </w:p>
        </w:tc>
        <w:tc>
          <w:tcPr>
            <w:tcW w:w="8505" w:type="dxa"/>
            <w:gridSpan w:val="5"/>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公用经费合计</w:t>
            </w:r>
          </w:p>
        </w:tc>
        <w:tc>
          <w:tcPr>
            <w:tcW w:w="121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591.33</w:t>
            </w:r>
          </w:p>
        </w:tc>
      </w:tr>
    </w:tbl>
    <w:p>
      <w:pPr>
        <w:widowControl/>
        <w:rPr>
          <w:rFonts w:ascii="宋体" w:hAnsi="宋体" w:eastAsia="宋体" w:cs="宋体"/>
          <w:color w:val="000000"/>
          <w:kern w:val="0"/>
          <w:szCs w:val="21"/>
          <w:highlight w:val="none"/>
          <w:shd w:val="clear" w:color="auto" w:fill="auto"/>
        </w:rPr>
      </w:pPr>
      <w:r>
        <w:rPr>
          <w:rFonts w:hint="eastAsia" w:ascii="宋体" w:hAnsi="宋体" w:eastAsia="宋体" w:cs="宋体"/>
          <w:color w:val="000000"/>
          <w:kern w:val="0"/>
          <w:szCs w:val="21"/>
          <w:highlight w:val="none"/>
          <w:shd w:val="clear" w:color="auto" w:fill="auto"/>
        </w:rPr>
        <w:t>注：本表反映部门本年度一般公共预算财政拨款基本支出明细情况。</w:t>
      </w:r>
    </w:p>
    <w:p>
      <w:pPr>
        <w:widowControl/>
        <w:rPr>
          <w:rFonts w:ascii="宋体" w:hAnsi="宋体" w:eastAsia="宋体" w:cs="宋体"/>
          <w:color w:val="000000"/>
          <w:kern w:val="0"/>
          <w:szCs w:val="21"/>
          <w:highlight w:val="none"/>
          <w:shd w:val="clear" w:color="auto" w:fill="auto"/>
        </w:rPr>
      </w:pPr>
    </w:p>
    <w:p>
      <w:pPr>
        <w:widowControl/>
        <w:rPr>
          <w:rFonts w:ascii="宋体" w:hAnsi="宋体" w:eastAsia="宋体" w:cs="宋体"/>
          <w:color w:val="000000"/>
          <w:kern w:val="0"/>
          <w:szCs w:val="21"/>
          <w:highlight w:val="none"/>
          <w:shd w:val="clear" w:color="auto" w:fill="auto"/>
        </w:rPr>
      </w:pPr>
    </w:p>
    <w:tbl>
      <w:tblPr>
        <w:tblStyle w:val="7"/>
        <w:tblW w:w="15440" w:type="dxa"/>
        <w:jc w:val="center"/>
        <w:tblInd w:w="0" w:type="dxa"/>
        <w:tblLayout w:type="fixed"/>
        <w:tblCellMar>
          <w:top w:w="0" w:type="dxa"/>
          <w:left w:w="108" w:type="dxa"/>
          <w:bottom w:w="0" w:type="dxa"/>
          <w:right w:w="108" w:type="dxa"/>
        </w:tblCellMar>
      </w:tblPr>
      <w:tblGrid>
        <w:gridCol w:w="1286"/>
        <w:gridCol w:w="1286"/>
        <w:gridCol w:w="1286"/>
        <w:gridCol w:w="1286"/>
        <w:gridCol w:w="1286"/>
        <w:gridCol w:w="1286"/>
        <w:gridCol w:w="1286"/>
        <w:gridCol w:w="1286"/>
        <w:gridCol w:w="1286"/>
        <w:gridCol w:w="1286"/>
        <w:gridCol w:w="1286"/>
        <w:gridCol w:w="1294"/>
      </w:tblGrid>
      <w:tr>
        <w:tblPrEx>
          <w:tblLayout w:type="fixed"/>
          <w:tblCellMar>
            <w:top w:w="0" w:type="dxa"/>
            <w:left w:w="108" w:type="dxa"/>
            <w:bottom w:w="0" w:type="dxa"/>
            <w:right w:w="108" w:type="dxa"/>
          </w:tblCellMar>
        </w:tblPrEx>
        <w:trPr>
          <w:trHeight w:val="615" w:hRule="atLeast"/>
          <w:jc w:val="center"/>
        </w:trPr>
        <w:tc>
          <w:tcPr>
            <w:tcW w:w="15440" w:type="dxa"/>
            <w:gridSpan w:val="12"/>
            <w:tcBorders>
              <w:top w:val="nil"/>
              <w:left w:val="nil"/>
              <w:bottom w:val="nil"/>
              <w:right w:val="nil"/>
            </w:tcBorders>
            <w:shd w:val="clear" w:color="auto" w:fill="auto"/>
            <w:noWrap/>
            <w:vAlign w:val="bottom"/>
          </w:tcPr>
          <w:p>
            <w:pPr>
              <w:widowControl/>
              <w:jc w:val="center"/>
              <w:textAlignment w:val="bottom"/>
              <w:rPr>
                <w:rFonts w:hint="eastAsia" w:ascii="宋体" w:hAnsi="宋体" w:eastAsia="宋体" w:cs="宋体"/>
                <w:color w:val="000000"/>
                <w:kern w:val="0"/>
                <w:sz w:val="44"/>
                <w:szCs w:val="44"/>
                <w:highlight w:val="none"/>
                <w:shd w:val="clear" w:color="auto" w:fill="auto"/>
              </w:rPr>
            </w:pPr>
          </w:p>
          <w:p>
            <w:pPr>
              <w:widowControl/>
              <w:jc w:val="center"/>
              <w:textAlignment w:val="bottom"/>
              <w:rPr>
                <w:rFonts w:hint="eastAsia" w:ascii="宋体" w:hAnsi="宋体" w:eastAsia="宋体" w:cs="宋体"/>
                <w:color w:val="000000"/>
                <w:kern w:val="0"/>
                <w:sz w:val="44"/>
                <w:szCs w:val="44"/>
                <w:highlight w:val="none"/>
                <w:shd w:val="clear" w:color="auto" w:fill="auto"/>
              </w:rPr>
            </w:pPr>
          </w:p>
          <w:p>
            <w:pPr>
              <w:widowControl/>
              <w:jc w:val="center"/>
              <w:textAlignment w:val="bottom"/>
              <w:rPr>
                <w:rFonts w:hint="eastAsia" w:ascii="宋体" w:hAnsi="宋体" w:eastAsia="宋体" w:cs="宋体"/>
                <w:color w:val="000000"/>
                <w:kern w:val="0"/>
                <w:sz w:val="44"/>
                <w:szCs w:val="44"/>
                <w:highlight w:val="none"/>
                <w:shd w:val="clear" w:color="auto" w:fill="auto"/>
              </w:rPr>
            </w:pPr>
          </w:p>
          <w:p>
            <w:pPr>
              <w:widowControl/>
              <w:jc w:val="center"/>
              <w:textAlignment w:val="bottom"/>
              <w:rPr>
                <w:rFonts w:ascii="宋体" w:hAnsi="宋体" w:eastAsia="宋体" w:cs="宋体"/>
                <w:color w:val="000000"/>
                <w:sz w:val="44"/>
                <w:szCs w:val="44"/>
                <w:highlight w:val="none"/>
                <w:shd w:val="clear" w:color="auto" w:fill="auto"/>
              </w:rPr>
            </w:pPr>
            <w:r>
              <w:rPr>
                <w:rFonts w:hint="eastAsia" w:ascii="宋体" w:hAnsi="宋体" w:eastAsia="宋体" w:cs="宋体"/>
                <w:color w:val="000000"/>
                <w:kern w:val="0"/>
                <w:sz w:val="44"/>
                <w:szCs w:val="44"/>
                <w:highlight w:val="none"/>
                <w:shd w:val="clear" w:color="auto" w:fill="auto"/>
              </w:rPr>
              <w:t>一般公共预算财政拨款“三公”经费支出决算表</w:t>
            </w:r>
          </w:p>
        </w:tc>
      </w:tr>
      <w:tr>
        <w:tblPrEx>
          <w:tblLayout w:type="fixed"/>
          <w:tblCellMar>
            <w:top w:w="0" w:type="dxa"/>
            <w:left w:w="108" w:type="dxa"/>
            <w:bottom w:w="0" w:type="dxa"/>
            <w:right w:w="108" w:type="dxa"/>
          </w:tblCellMar>
        </w:tblPrEx>
        <w:trPr>
          <w:trHeight w:val="308" w:hRule="atLeast"/>
          <w:jc w:val="center"/>
        </w:trPr>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94"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公开07表</w:t>
            </w:r>
          </w:p>
        </w:tc>
      </w:tr>
      <w:tr>
        <w:tblPrEx>
          <w:tblLayout w:type="fixed"/>
          <w:tblCellMar>
            <w:top w:w="0" w:type="dxa"/>
            <w:left w:w="108" w:type="dxa"/>
            <w:bottom w:w="0" w:type="dxa"/>
            <w:right w:w="108" w:type="dxa"/>
          </w:tblCellMar>
        </w:tblPrEx>
        <w:trPr>
          <w:trHeight w:val="308" w:hRule="atLeast"/>
          <w:jc w:val="center"/>
        </w:trPr>
        <w:tc>
          <w:tcPr>
            <w:tcW w:w="2572" w:type="dxa"/>
            <w:gridSpan w:val="2"/>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6"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2580" w:type="dxa"/>
            <w:gridSpan w:val="2"/>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tblPrEx>
          <w:tblLayout w:type="fixed"/>
          <w:tblCellMar>
            <w:top w:w="0" w:type="dxa"/>
            <w:left w:w="108" w:type="dxa"/>
            <w:bottom w:w="0" w:type="dxa"/>
            <w:right w:w="108" w:type="dxa"/>
          </w:tblCellMar>
        </w:tblPrEx>
        <w:trPr>
          <w:trHeight w:val="325" w:hRule="atLeast"/>
          <w:jc w:val="center"/>
        </w:trPr>
        <w:tc>
          <w:tcPr>
            <w:tcW w:w="771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预算数</w:t>
            </w:r>
          </w:p>
        </w:tc>
        <w:tc>
          <w:tcPr>
            <w:tcW w:w="772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决算数</w:t>
            </w:r>
          </w:p>
        </w:tc>
      </w:tr>
      <w:tr>
        <w:tblPrEx>
          <w:tblLayout w:type="fixed"/>
          <w:tblCellMar>
            <w:top w:w="0" w:type="dxa"/>
            <w:left w:w="108" w:type="dxa"/>
            <w:bottom w:w="0" w:type="dxa"/>
            <w:right w:w="108" w:type="dxa"/>
          </w:tblCellMar>
        </w:tblPrEx>
        <w:trPr>
          <w:trHeight w:val="325" w:hRule="atLeast"/>
          <w:jc w:val="center"/>
        </w:trPr>
        <w:tc>
          <w:tcPr>
            <w:tcW w:w="128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1286"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因公出国（境）费</w:t>
            </w:r>
          </w:p>
        </w:tc>
        <w:tc>
          <w:tcPr>
            <w:tcW w:w="3858" w:type="dxa"/>
            <w:gridSpan w:val="3"/>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公务用车购置及运行费</w:t>
            </w:r>
          </w:p>
        </w:tc>
        <w:tc>
          <w:tcPr>
            <w:tcW w:w="1286"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公务接待费</w:t>
            </w:r>
          </w:p>
        </w:tc>
        <w:tc>
          <w:tcPr>
            <w:tcW w:w="1286"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1286"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因公出国（境）费</w:t>
            </w:r>
          </w:p>
        </w:tc>
        <w:tc>
          <w:tcPr>
            <w:tcW w:w="3858" w:type="dxa"/>
            <w:gridSpan w:val="3"/>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公务用车购置及运行费</w:t>
            </w:r>
          </w:p>
        </w:tc>
        <w:tc>
          <w:tcPr>
            <w:tcW w:w="1294"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公务接待费</w:t>
            </w:r>
          </w:p>
        </w:tc>
      </w:tr>
      <w:tr>
        <w:tblPrEx>
          <w:tblLayout w:type="fixed"/>
          <w:tblCellMar>
            <w:top w:w="0" w:type="dxa"/>
            <w:left w:w="108" w:type="dxa"/>
            <w:bottom w:w="0" w:type="dxa"/>
            <w:right w:w="108" w:type="dxa"/>
          </w:tblCellMar>
        </w:tblPrEx>
        <w:trPr>
          <w:trHeight w:val="630" w:hRule="atLeast"/>
          <w:jc w:val="center"/>
        </w:trPr>
        <w:tc>
          <w:tcPr>
            <w:tcW w:w="1286"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286"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小计</w:t>
            </w: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公务用车购置费</w:t>
            </w: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公务用车运行费</w:t>
            </w:r>
          </w:p>
        </w:tc>
        <w:tc>
          <w:tcPr>
            <w:tcW w:w="1286"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286"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286"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小计</w:t>
            </w: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公务用车购置费</w:t>
            </w: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公务用车运行费</w:t>
            </w:r>
          </w:p>
        </w:tc>
        <w:tc>
          <w:tcPr>
            <w:tcW w:w="1294"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Layout w:type="fixed"/>
          <w:tblCellMar>
            <w:top w:w="0" w:type="dxa"/>
            <w:left w:w="108" w:type="dxa"/>
            <w:bottom w:w="0" w:type="dxa"/>
            <w:right w:w="108" w:type="dxa"/>
          </w:tblCellMar>
        </w:tblPrEx>
        <w:trPr>
          <w:trHeight w:val="325" w:hRule="atLeast"/>
          <w:jc w:val="center"/>
        </w:trPr>
        <w:tc>
          <w:tcPr>
            <w:tcW w:w="1286"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w:t>
            </w: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w:t>
            </w: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w:t>
            </w:r>
          </w:p>
        </w:tc>
        <w:tc>
          <w:tcPr>
            <w:tcW w:w="1286"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w:t>
            </w:r>
          </w:p>
        </w:tc>
        <w:tc>
          <w:tcPr>
            <w:tcW w:w="129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w:t>
            </w:r>
          </w:p>
        </w:tc>
      </w:tr>
      <w:tr>
        <w:tblPrEx>
          <w:tblLayout w:type="fixed"/>
          <w:tblCellMar>
            <w:top w:w="0" w:type="dxa"/>
            <w:left w:w="108" w:type="dxa"/>
            <w:bottom w:w="0" w:type="dxa"/>
            <w:right w:w="108" w:type="dxa"/>
          </w:tblCellMar>
        </w:tblPrEx>
        <w:trPr>
          <w:trHeight w:val="325" w:hRule="atLeast"/>
          <w:jc w:val="center"/>
        </w:trPr>
        <w:tc>
          <w:tcPr>
            <w:tcW w:w="1286" w:type="dxa"/>
            <w:tcBorders>
              <w:top w:val="nil"/>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60.40</w:t>
            </w:r>
          </w:p>
        </w:tc>
        <w:tc>
          <w:tcPr>
            <w:tcW w:w="128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8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19.20</w:t>
            </w:r>
          </w:p>
        </w:tc>
        <w:tc>
          <w:tcPr>
            <w:tcW w:w="128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8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19.20</w:t>
            </w:r>
          </w:p>
        </w:tc>
        <w:tc>
          <w:tcPr>
            <w:tcW w:w="128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41.20</w:t>
            </w:r>
          </w:p>
        </w:tc>
        <w:tc>
          <w:tcPr>
            <w:tcW w:w="128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60.07</w:t>
            </w:r>
          </w:p>
        </w:tc>
        <w:tc>
          <w:tcPr>
            <w:tcW w:w="128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8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18.94</w:t>
            </w:r>
          </w:p>
        </w:tc>
        <w:tc>
          <w:tcPr>
            <w:tcW w:w="128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8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18.94</w:t>
            </w:r>
          </w:p>
        </w:tc>
        <w:tc>
          <w:tcPr>
            <w:tcW w:w="129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41.13</w:t>
            </w:r>
          </w:p>
        </w:tc>
      </w:tr>
      <w:tr>
        <w:tblPrEx>
          <w:tblLayout w:type="fixed"/>
          <w:tblCellMar>
            <w:top w:w="0" w:type="dxa"/>
            <w:left w:w="108" w:type="dxa"/>
            <w:bottom w:w="0" w:type="dxa"/>
            <w:right w:w="108" w:type="dxa"/>
          </w:tblCellMar>
        </w:tblPrEx>
        <w:trPr>
          <w:trHeight w:val="630" w:hRule="atLeast"/>
          <w:jc w:val="center"/>
        </w:trPr>
        <w:tc>
          <w:tcPr>
            <w:tcW w:w="15440" w:type="dxa"/>
            <w:gridSpan w:val="12"/>
            <w:tcBorders>
              <w:top w:val="nil"/>
              <w:left w:val="nil"/>
              <w:bottom w:val="nil"/>
              <w:right w:val="nil"/>
            </w:tcBorders>
            <w:shd w:val="clear" w:color="auto" w:fill="auto"/>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widowControl/>
        <w:rPr>
          <w:rFonts w:ascii="宋体" w:hAnsi="宋体" w:eastAsia="宋体" w:cs="宋体"/>
          <w:color w:val="000000"/>
          <w:kern w:val="0"/>
          <w:szCs w:val="21"/>
          <w:highlight w:val="none"/>
          <w:shd w:val="clear" w:color="auto" w:fill="auto"/>
        </w:rPr>
      </w:pPr>
    </w:p>
    <w:p>
      <w:pPr>
        <w:widowControl/>
        <w:rPr>
          <w:rFonts w:ascii="宋体" w:hAnsi="宋体" w:eastAsia="宋体" w:cs="宋体"/>
          <w:kern w:val="0"/>
          <w:sz w:val="24"/>
          <w:szCs w:val="24"/>
          <w:highlight w:val="none"/>
          <w:shd w:val="clear" w:color="auto" w:fill="auto"/>
        </w:rPr>
      </w:pPr>
    </w:p>
    <w:p>
      <w:pPr>
        <w:widowControl/>
        <w:rPr>
          <w:rFonts w:ascii="宋体" w:hAnsi="宋体" w:eastAsia="宋体" w:cs="宋体"/>
          <w:kern w:val="0"/>
          <w:sz w:val="24"/>
          <w:szCs w:val="24"/>
          <w:highlight w:val="none"/>
          <w:shd w:val="clear" w:color="auto" w:fill="auto"/>
        </w:rPr>
      </w:pPr>
    </w:p>
    <w:tbl>
      <w:tblPr>
        <w:tblStyle w:val="7"/>
        <w:tblW w:w="12460" w:type="dxa"/>
        <w:jc w:val="center"/>
        <w:tblInd w:w="0" w:type="dxa"/>
        <w:tblLayout w:type="fixed"/>
        <w:tblCellMar>
          <w:top w:w="0" w:type="dxa"/>
          <w:left w:w="108" w:type="dxa"/>
          <w:bottom w:w="0" w:type="dxa"/>
          <w:right w:w="108" w:type="dxa"/>
        </w:tblCellMar>
      </w:tblPr>
      <w:tblGrid>
        <w:gridCol w:w="1689"/>
        <w:gridCol w:w="1443"/>
        <w:gridCol w:w="851"/>
        <w:gridCol w:w="1502"/>
        <w:gridCol w:w="1519"/>
        <w:gridCol w:w="1832"/>
        <w:gridCol w:w="1472"/>
        <w:gridCol w:w="2152"/>
      </w:tblGrid>
      <w:tr>
        <w:tblPrEx>
          <w:tblLayout w:type="fixed"/>
          <w:tblCellMar>
            <w:top w:w="0" w:type="dxa"/>
            <w:left w:w="108" w:type="dxa"/>
            <w:bottom w:w="0" w:type="dxa"/>
            <w:right w:w="108" w:type="dxa"/>
          </w:tblCellMar>
        </w:tblPrEx>
        <w:trPr>
          <w:trHeight w:val="640" w:hRule="atLeast"/>
          <w:jc w:val="center"/>
        </w:trPr>
        <w:tc>
          <w:tcPr>
            <w:tcW w:w="12460" w:type="dxa"/>
            <w:gridSpan w:val="8"/>
            <w:tcBorders>
              <w:top w:val="nil"/>
              <w:left w:val="nil"/>
              <w:bottom w:val="nil"/>
              <w:right w:val="nil"/>
              <w:tl2br w:val="nil"/>
              <w:tr2bl w:val="nil"/>
            </w:tcBorders>
          </w:tcPr>
          <w:p>
            <w:pPr>
              <w:jc w:val="center"/>
              <w:rPr>
                <w:rFonts w:hint="eastAsia" w:ascii="宋体" w:hAnsi="宋体" w:eastAsia="宋体" w:cs="宋体"/>
                <w:b/>
                <w:bCs/>
                <w:color w:val="000000"/>
                <w:sz w:val="44"/>
                <w:szCs w:val="24"/>
                <w:highlight w:val="none"/>
                <w:shd w:val="clear" w:color="auto" w:fill="auto"/>
              </w:rPr>
            </w:pPr>
          </w:p>
          <w:p>
            <w:pPr>
              <w:jc w:val="center"/>
              <w:rPr>
                <w:rFonts w:hint="eastAsia" w:ascii="宋体" w:hAnsi="宋体" w:eastAsia="宋体" w:cs="宋体"/>
                <w:b/>
                <w:bCs/>
                <w:color w:val="000000"/>
                <w:sz w:val="44"/>
                <w:szCs w:val="24"/>
                <w:highlight w:val="none"/>
                <w:shd w:val="clear" w:color="auto" w:fill="auto"/>
              </w:rPr>
            </w:pPr>
          </w:p>
          <w:p>
            <w:pPr>
              <w:jc w:val="center"/>
              <w:rPr>
                <w:rFonts w:hint="eastAsia" w:ascii="宋体" w:hAnsi="宋体" w:eastAsia="宋体" w:cs="宋体"/>
                <w:b/>
                <w:bCs/>
                <w:color w:val="000000"/>
                <w:sz w:val="44"/>
                <w:szCs w:val="24"/>
                <w:highlight w:val="none"/>
                <w:shd w:val="clear" w:color="auto" w:fill="auto"/>
              </w:rPr>
            </w:pPr>
          </w:p>
          <w:p>
            <w:pPr>
              <w:jc w:val="center"/>
              <w:rPr>
                <w:rFonts w:hint="eastAsia" w:ascii="宋体" w:hAnsi="宋体" w:eastAsia="宋体" w:cs="宋体"/>
                <w:b/>
                <w:bCs/>
                <w:color w:val="000000"/>
                <w:sz w:val="44"/>
                <w:szCs w:val="24"/>
                <w:highlight w:val="none"/>
                <w:shd w:val="clear" w:color="auto" w:fill="auto"/>
              </w:rPr>
            </w:pPr>
          </w:p>
          <w:p>
            <w:pPr>
              <w:jc w:val="center"/>
              <w:rPr>
                <w:rFonts w:hint="eastAsia" w:ascii="宋体" w:hAnsi="宋体" w:eastAsia="宋体" w:cs="宋体"/>
                <w:b/>
                <w:bCs/>
                <w:color w:val="000000"/>
                <w:sz w:val="44"/>
                <w:szCs w:val="24"/>
                <w:highlight w:val="none"/>
                <w:shd w:val="clear" w:color="auto" w:fill="auto"/>
              </w:rPr>
            </w:pPr>
          </w:p>
          <w:p>
            <w:pPr>
              <w:jc w:val="center"/>
              <w:rPr>
                <w:rFonts w:ascii="Arial" w:hAnsi="Arial" w:eastAsia="ËÎÌå" w:cs="Calibri"/>
                <w:color w:val="000000"/>
                <w:sz w:val="20"/>
                <w:szCs w:val="24"/>
                <w:highlight w:val="none"/>
                <w:shd w:val="clear" w:color="auto" w:fill="auto"/>
              </w:rPr>
            </w:pPr>
            <w:r>
              <w:rPr>
                <w:rFonts w:hint="eastAsia" w:ascii="宋体" w:hAnsi="宋体" w:eastAsia="宋体" w:cs="宋体"/>
                <w:b/>
                <w:bCs/>
                <w:color w:val="000000"/>
                <w:sz w:val="44"/>
                <w:szCs w:val="24"/>
                <w:highlight w:val="none"/>
                <w:shd w:val="clear" w:color="auto" w:fill="auto"/>
              </w:rPr>
              <w:t>政府性基金预算财政拨款收入支出决算表</w:t>
            </w:r>
          </w:p>
        </w:tc>
      </w:tr>
      <w:tr>
        <w:tblPrEx>
          <w:tblLayout w:type="fixed"/>
          <w:tblCellMar>
            <w:top w:w="0" w:type="dxa"/>
            <w:left w:w="108" w:type="dxa"/>
            <w:bottom w:w="0" w:type="dxa"/>
            <w:right w:w="108" w:type="dxa"/>
          </w:tblCellMar>
        </w:tblPrEx>
        <w:trPr>
          <w:trHeight w:val="319" w:hRule="atLeast"/>
          <w:jc w:val="center"/>
        </w:trPr>
        <w:tc>
          <w:tcPr>
            <w:tcW w:w="1689" w:type="dxa"/>
            <w:tcBorders>
              <w:top w:val="nil"/>
              <w:left w:val="nil"/>
              <w:bottom w:val="nil"/>
              <w:right w:val="nil"/>
              <w:tl2br w:val="nil"/>
              <w:tr2bl w:val="nil"/>
            </w:tcBorders>
          </w:tcPr>
          <w:p>
            <w:pPr>
              <w:jc w:val="right"/>
              <w:rPr>
                <w:rFonts w:ascii="Arial" w:hAnsi="Arial" w:eastAsia="ËÎÌå" w:cs="Calibri"/>
                <w:color w:val="000000"/>
                <w:sz w:val="20"/>
                <w:szCs w:val="24"/>
                <w:highlight w:val="none"/>
                <w:shd w:val="clear" w:color="auto" w:fill="auto"/>
              </w:rPr>
            </w:pPr>
          </w:p>
        </w:tc>
        <w:tc>
          <w:tcPr>
            <w:tcW w:w="1443" w:type="dxa"/>
            <w:tcBorders>
              <w:top w:val="nil"/>
              <w:left w:val="nil"/>
              <w:bottom w:val="nil"/>
              <w:right w:val="nil"/>
              <w:tl2br w:val="nil"/>
              <w:tr2bl w:val="nil"/>
            </w:tcBorders>
          </w:tcPr>
          <w:p>
            <w:pPr>
              <w:jc w:val="right"/>
              <w:rPr>
                <w:rFonts w:ascii="Arial" w:hAnsi="Arial" w:eastAsia="ËÎÌå" w:cs="Calibri"/>
                <w:color w:val="000000"/>
                <w:sz w:val="20"/>
                <w:szCs w:val="24"/>
                <w:highlight w:val="none"/>
                <w:shd w:val="clear" w:color="auto" w:fill="auto"/>
              </w:rPr>
            </w:pPr>
          </w:p>
        </w:tc>
        <w:tc>
          <w:tcPr>
            <w:tcW w:w="851" w:type="dxa"/>
            <w:tcBorders>
              <w:top w:val="nil"/>
              <w:left w:val="nil"/>
              <w:bottom w:val="nil"/>
              <w:right w:val="nil"/>
              <w:tl2br w:val="nil"/>
              <w:tr2bl w:val="nil"/>
            </w:tcBorders>
          </w:tcPr>
          <w:p>
            <w:pPr>
              <w:jc w:val="right"/>
              <w:rPr>
                <w:rFonts w:ascii="Arial" w:hAnsi="Arial" w:eastAsia="ËÎÌå" w:cs="Calibri"/>
                <w:color w:val="000000"/>
                <w:sz w:val="20"/>
                <w:szCs w:val="24"/>
                <w:highlight w:val="none"/>
                <w:shd w:val="clear" w:color="auto" w:fill="auto"/>
              </w:rPr>
            </w:pPr>
          </w:p>
        </w:tc>
        <w:tc>
          <w:tcPr>
            <w:tcW w:w="1502" w:type="dxa"/>
            <w:tcBorders>
              <w:top w:val="nil"/>
              <w:left w:val="nil"/>
              <w:bottom w:val="nil"/>
              <w:right w:val="nil"/>
              <w:tl2br w:val="nil"/>
              <w:tr2bl w:val="nil"/>
            </w:tcBorders>
          </w:tcPr>
          <w:p>
            <w:pPr>
              <w:jc w:val="right"/>
              <w:rPr>
                <w:rFonts w:ascii="Arial" w:hAnsi="Arial" w:eastAsia="ËÎÌå" w:cs="Calibri"/>
                <w:color w:val="000000"/>
                <w:sz w:val="20"/>
                <w:szCs w:val="24"/>
                <w:highlight w:val="none"/>
                <w:shd w:val="clear" w:color="auto" w:fill="auto"/>
              </w:rPr>
            </w:pPr>
          </w:p>
        </w:tc>
        <w:tc>
          <w:tcPr>
            <w:tcW w:w="1519" w:type="dxa"/>
            <w:tcBorders>
              <w:top w:val="nil"/>
              <w:left w:val="nil"/>
              <w:bottom w:val="nil"/>
              <w:right w:val="nil"/>
              <w:tl2br w:val="nil"/>
              <w:tr2bl w:val="nil"/>
            </w:tcBorders>
          </w:tcPr>
          <w:p>
            <w:pPr>
              <w:jc w:val="right"/>
              <w:rPr>
                <w:rFonts w:ascii="Arial" w:hAnsi="Arial" w:eastAsia="ËÎÌå" w:cs="Calibri"/>
                <w:color w:val="000000"/>
                <w:sz w:val="20"/>
                <w:szCs w:val="24"/>
                <w:highlight w:val="none"/>
                <w:shd w:val="clear" w:color="auto" w:fill="auto"/>
              </w:rPr>
            </w:pPr>
          </w:p>
        </w:tc>
        <w:tc>
          <w:tcPr>
            <w:tcW w:w="1832" w:type="dxa"/>
            <w:tcBorders>
              <w:top w:val="nil"/>
              <w:left w:val="nil"/>
              <w:bottom w:val="nil"/>
              <w:right w:val="nil"/>
              <w:tl2br w:val="nil"/>
              <w:tr2bl w:val="nil"/>
            </w:tcBorders>
          </w:tcPr>
          <w:p>
            <w:pPr>
              <w:jc w:val="right"/>
              <w:rPr>
                <w:rFonts w:ascii="Arial" w:hAnsi="Arial" w:eastAsia="ËÎÌå" w:cs="Calibri"/>
                <w:color w:val="000000"/>
                <w:sz w:val="20"/>
                <w:szCs w:val="24"/>
                <w:highlight w:val="none"/>
                <w:shd w:val="clear" w:color="auto" w:fill="auto"/>
              </w:rPr>
            </w:pPr>
          </w:p>
        </w:tc>
        <w:tc>
          <w:tcPr>
            <w:tcW w:w="3624" w:type="dxa"/>
            <w:gridSpan w:val="2"/>
            <w:tcBorders>
              <w:top w:val="nil"/>
              <w:left w:val="nil"/>
              <w:bottom w:val="nil"/>
              <w:right w:val="nil"/>
              <w:tl2br w:val="nil"/>
              <w:tr2bl w:val="nil"/>
            </w:tcBorders>
          </w:tcPr>
          <w:p>
            <w:pPr>
              <w:jc w:val="right"/>
              <w:rPr>
                <w:rFonts w:ascii="ËÎÌå" w:hAnsi="ËÎÌå" w:eastAsia="ËÎÌå" w:cs="Calibri"/>
                <w:color w:val="000000"/>
                <w:szCs w:val="21"/>
                <w:highlight w:val="none"/>
                <w:shd w:val="clear" w:color="auto" w:fill="auto"/>
              </w:rPr>
            </w:pPr>
            <w:r>
              <w:rPr>
                <w:rFonts w:hint="eastAsia" w:ascii="宋体" w:hAnsi="宋体" w:eastAsia="宋体" w:cs="宋体"/>
                <w:color w:val="000000"/>
                <w:szCs w:val="21"/>
                <w:highlight w:val="none"/>
                <w:shd w:val="clear" w:color="auto" w:fill="auto"/>
              </w:rPr>
              <w:t>公开</w:t>
            </w:r>
            <w:r>
              <w:rPr>
                <w:rFonts w:ascii="ËÎÌå" w:hAnsi="ËÎÌå" w:eastAsia="ËÎÌå" w:cs="Calibri"/>
                <w:color w:val="000000"/>
                <w:szCs w:val="21"/>
                <w:highlight w:val="none"/>
                <w:shd w:val="clear" w:color="auto" w:fill="auto"/>
              </w:rPr>
              <w:t>08</w:t>
            </w:r>
            <w:r>
              <w:rPr>
                <w:rFonts w:hint="eastAsia" w:ascii="宋体" w:hAnsi="宋体" w:eastAsia="宋体" w:cs="宋体"/>
                <w:color w:val="000000"/>
                <w:szCs w:val="21"/>
                <w:highlight w:val="none"/>
                <w:shd w:val="clear" w:color="auto" w:fill="auto"/>
              </w:rPr>
              <w:t>表</w:t>
            </w:r>
          </w:p>
        </w:tc>
      </w:tr>
      <w:tr>
        <w:tblPrEx>
          <w:tblLayout w:type="fixed"/>
          <w:tblCellMar>
            <w:top w:w="0" w:type="dxa"/>
            <w:left w:w="108" w:type="dxa"/>
            <w:bottom w:w="0" w:type="dxa"/>
            <w:right w:w="108" w:type="dxa"/>
          </w:tblCellMar>
        </w:tblPrEx>
        <w:trPr>
          <w:trHeight w:val="319" w:hRule="atLeast"/>
          <w:jc w:val="center"/>
        </w:trPr>
        <w:tc>
          <w:tcPr>
            <w:tcW w:w="3132" w:type="dxa"/>
            <w:gridSpan w:val="2"/>
            <w:tcBorders>
              <w:top w:val="nil"/>
              <w:left w:val="nil"/>
              <w:bottom w:val="nil"/>
              <w:right w:val="nil"/>
              <w:tl2br w:val="nil"/>
              <w:tr2bl w:val="nil"/>
            </w:tcBorders>
          </w:tcPr>
          <w:p>
            <w:pPr>
              <w:jc w:val="left"/>
              <w:rPr>
                <w:rFonts w:ascii="Arial" w:hAnsi="Arial" w:eastAsia="ËÎÌå" w:cs="Calibri"/>
                <w:color w:val="000000"/>
                <w:sz w:val="20"/>
                <w:szCs w:val="24"/>
                <w:highlight w:val="none"/>
                <w:shd w:val="clear" w:color="auto" w:fill="auto"/>
              </w:rPr>
            </w:pPr>
            <w:r>
              <w:rPr>
                <w:rFonts w:hint="eastAsia" w:ascii="宋体" w:hAnsi="宋体" w:eastAsia="宋体" w:cs="宋体"/>
                <w:color w:val="000000"/>
                <w:sz w:val="24"/>
                <w:szCs w:val="24"/>
                <w:highlight w:val="none"/>
                <w:shd w:val="clear" w:color="auto" w:fill="auto"/>
              </w:rPr>
              <w:t>部门：湘潭县农业农村局</w:t>
            </w:r>
          </w:p>
        </w:tc>
        <w:tc>
          <w:tcPr>
            <w:tcW w:w="851" w:type="dxa"/>
            <w:tcBorders>
              <w:top w:val="nil"/>
              <w:left w:val="nil"/>
              <w:bottom w:val="nil"/>
              <w:right w:val="nil"/>
              <w:tl2br w:val="nil"/>
              <w:tr2bl w:val="nil"/>
            </w:tcBorders>
          </w:tcPr>
          <w:p>
            <w:pPr>
              <w:jc w:val="right"/>
              <w:rPr>
                <w:rFonts w:ascii="Arial" w:hAnsi="Arial" w:eastAsia="ËÎÌå" w:cs="Calibri"/>
                <w:color w:val="000000"/>
                <w:sz w:val="20"/>
                <w:szCs w:val="24"/>
                <w:highlight w:val="none"/>
                <w:shd w:val="clear" w:color="auto" w:fill="auto"/>
              </w:rPr>
            </w:pPr>
          </w:p>
        </w:tc>
        <w:tc>
          <w:tcPr>
            <w:tcW w:w="1502" w:type="dxa"/>
            <w:tcBorders>
              <w:top w:val="nil"/>
              <w:left w:val="nil"/>
              <w:bottom w:val="nil"/>
              <w:right w:val="nil"/>
              <w:tl2br w:val="nil"/>
              <w:tr2bl w:val="nil"/>
            </w:tcBorders>
          </w:tcPr>
          <w:p>
            <w:pPr>
              <w:jc w:val="right"/>
              <w:rPr>
                <w:rFonts w:ascii="Arial" w:hAnsi="Arial" w:eastAsia="ËÎÌå" w:cs="Calibri"/>
                <w:color w:val="000000"/>
                <w:sz w:val="20"/>
                <w:szCs w:val="24"/>
                <w:highlight w:val="none"/>
                <w:shd w:val="clear" w:color="auto" w:fill="auto"/>
              </w:rPr>
            </w:pPr>
          </w:p>
        </w:tc>
        <w:tc>
          <w:tcPr>
            <w:tcW w:w="1519" w:type="dxa"/>
            <w:tcBorders>
              <w:top w:val="nil"/>
              <w:left w:val="nil"/>
              <w:bottom w:val="nil"/>
              <w:right w:val="nil"/>
              <w:tl2br w:val="nil"/>
              <w:tr2bl w:val="nil"/>
            </w:tcBorders>
          </w:tcPr>
          <w:p>
            <w:pPr>
              <w:jc w:val="right"/>
              <w:rPr>
                <w:rFonts w:ascii="Arial" w:hAnsi="Arial" w:eastAsia="ËÎÌå" w:cs="Calibri"/>
                <w:color w:val="000000"/>
                <w:sz w:val="20"/>
                <w:szCs w:val="24"/>
                <w:highlight w:val="none"/>
                <w:shd w:val="clear" w:color="auto" w:fill="auto"/>
              </w:rPr>
            </w:pPr>
          </w:p>
        </w:tc>
        <w:tc>
          <w:tcPr>
            <w:tcW w:w="1832" w:type="dxa"/>
            <w:tcBorders>
              <w:top w:val="nil"/>
              <w:left w:val="nil"/>
              <w:bottom w:val="nil"/>
              <w:right w:val="nil"/>
              <w:tl2br w:val="nil"/>
              <w:tr2bl w:val="nil"/>
            </w:tcBorders>
          </w:tcPr>
          <w:p>
            <w:pPr>
              <w:jc w:val="right"/>
              <w:rPr>
                <w:rFonts w:ascii="Arial" w:hAnsi="Arial" w:eastAsia="ËÎÌå" w:cs="Calibri"/>
                <w:color w:val="000000"/>
                <w:sz w:val="20"/>
                <w:szCs w:val="24"/>
                <w:highlight w:val="none"/>
                <w:shd w:val="clear" w:color="auto" w:fill="auto"/>
              </w:rPr>
            </w:pPr>
          </w:p>
        </w:tc>
        <w:tc>
          <w:tcPr>
            <w:tcW w:w="3624" w:type="dxa"/>
            <w:gridSpan w:val="2"/>
            <w:tcBorders>
              <w:top w:val="nil"/>
              <w:left w:val="nil"/>
              <w:bottom w:val="nil"/>
              <w:right w:val="nil"/>
              <w:tl2br w:val="nil"/>
              <w:tr2bl w:val="nil"/>
            </w:tcBorders>
          </w:tcPr>
          <w:p>
            <w:pPr>
              <w:jc w:val="right"/>
              <w:rPr>
                <w:rFonts w:ascii="ËÎÌå" w:hAnsi="ËÎÌå" w:eastAsia="ËÎÌå" w:cs="Calibri"/>
                <w:color w:val="000000"/>
                <w:szCs w:val="21"/>
                <w:highlight w:val="none"/>
                <w:shd w:val="clear" w:color="auto" w:fill="auto"/>
              </w:rPr>
            </w:pPr>
            <w:r>
              <w:rPr>
                <w:rFonts w:hint="eastAsia" w:ascii="宋体" w:hAnsi="宋体" w:eastAsia="宋体" w:cs="宋体"/>
                <w:color w:val="000000"/>
                <w:szCs w:val="21"/>
                <w:highlight w:val="none"/>
                <w:shd w:val="clear" w:color="auto" w:fill="auto"/>
              </w:rPr>
              <w:t>金额单位：万元</w:t>
            </w:r>
          </w:p>
        </w:tc>
      </w:tr>
      <w:tr>
        <w:tblPrEx>
          <w:tblLayout w:type="fixed"/>
          <w:tblCellMar>
            <w:top w:w="0" w:type="dxa"/>
            <w:left w:w="108" w:type="dxa"/>
            <w:bottom w:w="0" w:type="dxa"/>
            <w:right w:w="108" w:type="dxa"/>
          </w:tblCellMar>
        </w:tblPrEx>
        <w:trPr>
          <w:trHeight w:val="351" w:hRule="atLeast"/>
          <w:jc w:val="center"/>
        </w:trPr>
        <w:tc>
          <w:tcPr>
            <w:tcW w:w="3132" w:type="dxa"/>
            <w:gridSpan w:val="2"/>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项目</w:t>
            </w:r>
          </w:p>
        </w:tc>
        <w:tc>
          <w:tcPr>
            <w:tcW w:w="851" w:type="dxa"/>
            <w:vMerge w:val="restart"/>
            <w:tcBorders>
              <w:top w:val="single" w:color="000000" w:sz="6" w:space="0"/>
              <w:left w:val="nil"/>
              <w:right w:val="single" w:color="000000" w:sz="6" w:space="0"/>
              <w:tl2br w:val="nil"/>
              <w:tr2bl w:val="nil"/>
            </w:tcBorders>
            <w:vAlign w:val="center"/>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年初结转和结余</w:t>
            </w:r>
          </w:p>
        </w:tc>
        <w:tc>
          <w:tcPr>
            <w:tcW w:w="1502" w:type="dxa"/>
            <w:vMerge w:val="restart"/>
            <w:tcBorders>
              <w:top w:val="single" w:color="000000" w:sz="6" w:space="0"/>
              <w:left w:val="nil"/>
              <w:right w:val="single" w:color="000000" w:sz="6" w:space="0"/>
              <w:tl2br w:val="nil"/>
              <w:tr2bl w:val="nil"/>
            </w:tcBorders>
            <w:vAlign w:val="center"/>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本年收入</w:t>
            </w:r>
          </w:p>
        </w:tc>
        <w:tc>
          <w:tcPr>
            <w:tcW w:w="4823" w:type="dxa"/>
            <w:gridSpan w:val="3"/>
            <w:tcBorders>
              <w:top w:val="single" w:color="000000" w:sz="6" w:space="0"/>
              <w:left w:val="nil"/>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本年支出</w:t>
            </w:r>
          </w:p>
        </w:tc>
        <w:tc>
          <w:tcPr>
            <w:tcW w:w="2152" w:type="dxa"/>
            <w:vMerge w:val="restart"/>
            <w:tcBorders>
              <w:top w:val="single" w:color="000000" w:sz="6" w:space="0"/>
              <w:left w:val="nil"/>
              <w:right w:val="single" w:color="000000" w:sz="6" w:space="0"/>
              <w:tl2br w:val="nil"/>
              <w:tr2bl w:val="nil"/>
            </w:tcBorders>
            <w:vAlign w:val="center"/>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年末结转和结余</w:t>
            </w:r>
          </w:p>
        </w:tc>
      </w:tr>
      <w:tr>
        <w:tblPrEx>
          <w:tblLayout w:type="fixed"/>
          <w:tblCellMar>
            <w:top w:w="0" w:type="dxa"/>
            <w:left w:w="108" w:type="dxa"/>
            <w:bottom w:w="0" w:type="dxa"/>
            <w:right w:w="108" w:type="dxa"/>
          </w:tblCellMar>
        </w:tblPrEx>
        <w:trPr>
          <w:trHeight w:val="976" w:hRule="atLeast"/>
          <w:jc w:val="center"/>
        </w:trPr>
        <w:tc>
          <w:tcPr>
            <w:tcW w:w="1689" w:type="dxa"/>
            <w:tcBorders>
              <w:top w:val="nil"/>
              <w:left w:val="single" w:color="000000" w:sz="6" w:space="0"/>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功能分类科目编码</w:t>
            </w:r>
          </w:p>
        </w:tc>
        <w:tc>
          <w:tcPr>
            <w:tcW w:w="1443" w:type="dxa"/>
            <w:tcBorders>
              <w:top w:val="nil"/>
              <w:left w:val="nil"/>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科目名称</w:t>
            </w:r>
          </w:p>
        </w:tc>
        <w:tc>
          <w:tcPr>
            <w:tcW w:w="851" w:type="dxa"/>
            <w:vMerge w:val="continue"/>
            <w:tcBorders>
              <w:left w:val="nil"/>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p>
        </w:tc>
        <w:tc>
          <w:tcPr>
            <w:tcW w:w="1502" w:type="dxa"/>
            <w:vMerge w:val="continue"/>
            <w:tcBorders>
              <w:left w:val="nil"/>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p>
        </w:tc>
        <w:tc>
          <w:tcPr>
            <w:tcW w:w="1519" w:type="dxa"/>
            <w:tcBorders>
              <w:top w:val="nil"/>
              <w:left w:val="nil"/>
              <w:bottom w:val="single" w:color="000000" w:sz="6" w:space="0"/>
              <w:right w:val="single" w:color="000000" w:sz="6" w:space="0"/>
              <w:tl2br w:val="nil"/>
              <w:tr2bl w:val="nil"/>
            </w:tcBorders>
            <w:vAlign w:val="center"/>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小计</w:t>
            </w:r>
          </w:p>
        </w:tc>
        <w:tc>
          <w:tcPr>
            <w:tcW w:w="1832" w:type="dxa"/>
            <w:tcBorders>
              <w:top w:val="nil"/>
              <w:left w:val="nil"/>
              <w:bottom w:val="single" w:color="000000" w:sz="6" w:space="0"/>
              <w:right w:val="single" w:color="000000" w:sz="6" w:space="0"/>
              <w:tl2br w:val="nil"/>
              <w:tr2bl w:val="nil"/>
            </w:tcBorders>
            <w:vAlign w:val="center"/>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基本支出</w:t>
            </w:r>
          </w:p>
        </w:tc>
        <w:tc>
          <w:tcPr>
            <w:tcW w:w="1472" w:type="dxa"/>
            <w:tcBorders>
              <w:top w:val="nil"/>
              <w:left w:val="nil"/>
              <w:bottom w:val="single" w:color="000000" w:sz="6" w:space="0"/>
              <w:right w:val="single" w:color="000000" w:sz="6" w:space="0"/>
              <w:tl2br w:val="nil"/>
              <w:tr2bl w:val="nil"/>
            </w:tcBorders>
            <w:vAlign w:val="center"/>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项目支出</w:t>
            </w:r>
          </w:p>
        </w:tc>
        <w:tc>
          <w:tcPr>
            <w:tcW w:w="2152" w:type="dxa"/>
            <w:vMerge w:val="continue"/>
            <w:tcBorders>
              <w:left w:val="nil"/>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p>
        </w:tc>
      </w:tr>
      <w:tr>
        <w:tblPrEx>
          <w:tblLayout w:type="fixed"/>
          <w:tblCellMar>
            <w:top w:w="0" w:type="dxa"/>
            <w:left w:w="108" w:type="dxa"/>
            <w:bottom w:w="0" w:type="dxa"/>
            <w:right w:w="108" w:type="dxa"/>
          </w:tblCellMar>
        </w:tblPrEx>
        <w:trPr>
          <w:trHeight w:val="351" w:hRule="atLeast"/>
          <w:jc w:val="center"/>
        </w:trPr>
        <w:tc>
          <w:tcPr>
            <w:tcW w:w="1689" w:type="dxa"/>
            <w:tcBorders>
              <w:top w:val="nil"/>
              <w:left w:val="single" w:color="000000" w:sz="6" w:space="0"/>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栏次</w:t>
            </w:r>
          </w:p>
        </w:tc>
        <w:tc>
          <w:tcPr>
            <w:tcW w:w="1443" w:type="dxa"/>
            <w:tcBorders>
              <w:top w:val="nil"/>
              <w:left w:val="nil"/>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p>
        </w:tc>
        <w:tc>
          <w:tcPr>
            <w:tcW w:w="851" w:type="dxa"/>
            <w:tcBorders>
              <w:top w:val="nil"/>
              <w:left w:val="nil"/>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ascii="ËÎÌå" w:hAnsi="ËÎÌå" w:eastAsia="ËÎÌå" w:cs="Calibri"/>
                <w:color w:val="000000"/>
                <w:sz w:val="22"/>
                <w:szCs w:val="24"/>
                <w:highlight w:val="none"/>
                <w:shd w:val="clear" w:color="auto" w:fill="auto"/>
              </w:rPr>
              <w:t>1</w:t>
            </w:r>
          </w:p>
        </w:tc>
        <w:tc>
          <w:tcPr>
            <w:tcW w:w="1502" w:type="dxa"/>
            <w:tcBorders>
              <w:top w:val="nil"/>
              <w:left w:val="nil"/>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ascii="ËÎÌå" w:hAnsi="ËÎÌå" w:eastAsia="ËÎÌå" w:cs="Calibri"/>
                <w:color w:val="000000"/>
                <w:sz w:val="22"/>
                <w:szCs w:val="24"/>
                <w:highlight w:val="none"/>
                <w:shd w:val="clear" w:color="auto" w:fill="auto"/>
              </w:rPr>
              <w:t>2</w:t>
            </w:r>
          </w:p>
        </w:tc>
        <w:tc>
          <w:tcPr>
            <w:tcW w:w="1519" w:type="dxa"/>
            <w:tcBorders>
              <w:top w:val="nil"/>
              <w:left w:val="nil"/>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ascii="ËÎÌå" w:hAnsi="ËÎÌå" w:eastAsia="ËÎÌå" w:cs="Calibri"/>
                <w:color w:val="000000"/>
                <w:sz w:val="22"/>
                <w:szCs w:val="24"/>
                <w:highlight w:val="none"/>
                <w:shd w:val="clear" w:color="auto" w:fill="auto"/>
              </w:rPr>
              <w:t>3</w:t>
            </w:r>
          </w:p>
        </w:tc>
        <w:tc>
          <w:tcPr>
            <w:tcW w:w="1832" w:type="dxa"/>
            <w:tcBorders>
              <w:top w:val="nil"/>
              <w:left w:val="nil"/>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ascii="ËÎÌå" w:hAnsi="ËÎÌå" w:eastAsia="ËÎÌå" w:cs="Calibri"/>
                <w:color w:val="000000"/>
                <w:sz w:val="22"/>
                <w:szCs w:val="24"/>
                <w:highlight w:val="none"/>
                <w:shd w:val="clear" w:color="auto" w:fill="auto"/>
              </w:rPr>
              <w:t>4</w:t>
            </w:r>
          </w:p>
        </w:tc>
        <w:tc>
          <w:tcPr>
            <w:tcW w:w="1472" w:type="dxa"/>
            <w:tcBorders>
              <w:top w:val="nil"/>
              <w:left w:val="nil"/>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ascii="ËÎÌå" w:hAnsi="ËÎÌå" w:eastAsia="ËÎÌå" w:cs="Calibri"/>
                <w:color w:val="000000"/>
                <w:sz w:val="22"/>
                <w:szCs w:val="24"/>
                <w:highlight w:val="none"/>
                <w:shd w:val="clear" w:color="auto" w:fill="auto"/>
              </w:rPr>
              <w:t>5</w:t>
            </w:r>
          </w:p>
        </w:tc>
        <w:tc>
          <w:tcPr>
            <w:tcW w:w="2152" w:type="dxa"/>
            <w:tcBorders>
              <w:top w:val="nil"/>
              <w:left w:val="nil"/>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ascii="ËÎÌå" w:hAnsi="ËÎÌå" w:eastAsia="ËÎÌå" w:cs="Calibri"/>
                <w:color w:val="000000"/>
                <w:sz w:val="22"/>
                <w:szCs w:val="24"/>
                <w:highlight w:val="none"/>
                <w:shd w:val="clear" w:color="auto" w:fill="auto"/>
              </w:rPr>
              <w:t>6</w:t>
            </w:r>
          </w:p>
        </w:tc>
      </w:tr>
      <w:tr>
        <w:tblPrEx>
          <w:tblLayout w:type="fixed"/>
          <w:tblCellMar>
            <w:top w:w="0" w:type="dxa"/>
            <w:left w:w="108" w:type="dxa"/>
            <w:bottom w:w="0" w:type="dxa"/>
            <w:right w:w="108" w:type="dxa"/>
          </w:tblCellMar>
        </w:tblPrEx>
        <w:trPr>
          <w:trHeight w:val="351" w:hRule="atLeast"/>
          <w:jc w:val="center"/>
        </w:trPr>
        <w:tc>
          <w:tcPr>
            <w:tcW w:w="1689" w:type="dxa"/>
            <w:tcBorders>
              <w:top w:val="nil"/>
              <w:left w:val="single" w:color="000000" w:sz="6" w:space="0"/>
              <w:bottom w:val="single" w:color="000000" w:sz="6" w:space="0"/>
              <w:right w:val="single" w:color="000000" w:sz="6" w:space="0"/>
              <w:tl2br w:val="nil"/>
              <w:tr2bl w:val="nil"/>
            </w:tcBorders>
          </w:tcPr>
          <w:p>
            <w:pPr>
              <w:jc w:val="center"/>
              <w:rPr>
                <w:rFonts w:hint="eastAsia" w:ascii="宋体" w:hAnsi="宋体" w:eastAsia="宋体" w:cs="宋体"/>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合计</w:t>
            </w:r>
          </w:p>
        </w:tc>
        <w:tc>
          <w:tcPr>
            <w:tcW w:w="1443" w:type="dxa"/>
            <w:tcBorders>
              <w:top w:val="nil"/>
              <w:left w:val="nil"/>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p>
        </w:tc>
        <w:tc>
          <w:tcPr>
            <w:tcW w:w="851" w:type="dxa"/>
            <w:tcBorders>
              <w:top w:val="nil"/>
              <w:left w:val="nil"/>
              <w:bottom w:val="single" w:color="000000" w:sz="6" w:space="0"/>
              <w:right w:val="single" w:color="000000" w:sz="6" w:space="0"/>
              <w:tl2br w:val="nil"/>
              <w:tr2bl w:val="nil"/>
            </w:tcBorders>
          </w:tcPr>
          <w:p>
            <w:pPr>
              <w:jc w:val="center"/>
              <w:rPr>
                <w:rFonts w:hint="eastAsia" w:ascii="ËÎÌå" w:hAnsi="ËÎÌå" w:eastAsia="宋体" w:cs="Calibri"/>
                <w:color w:val="000000"/>
                <w:sz w:val="22"/>
                <w:szCs w:val="24"/>
                <w:highlight w:val="none"/>
                <w:shd w:val="clear" w:color="auto" w:fill="auto"/>
                <w:lang w:val="en-US" w:eastAsia="zh-CN"/>
              </w:rPr>
            </w:pPr>
            <w:r>
              <w:rPr>
                <w:rFonts w:hint="eastAsia" w:ascii="ËÎÌå" w:hAnsi="ËÎÌå" w:eastAsia="宋体" w:cs="Calibri"/>
                <w:color w:val="000000"/>
                <w:sz w:val="22"/>
                <w:szCs w:val="24"/>
                <w:highlight w:val="none"/>
                <w:shd w:val="clear" w:color="auto" w:fill="auto"/>
                <w:lang w:val="en-US" w:eastAsia="zh-CN"/>
              </w:rPr>
              <w:t>0</w:t>
            </w:r>
          </w:p>
        </w:tc>
        <w:tc>
          <w:tcPr>
            <w:tcW w:w="1502" w:type="dxa"/>
            <w:tcBorders>
              <w:top w:val="nil"/>
              <w:left w:val="nil"/>
              <w:bottom w:val="single" w:color="000000" w:sz="6" w:space="0"/>
              <w:right w:val="single" w:color="000000" w:sz="6" w:space="0"/>
              <w:tl2br w:val="nil"/>
              <w:tr2bl w:val="nil"/>
            </w:tcBorders>
          </w:tcPr>
          <w:p>
            <w:pPr>
              <w:jc w:val="center"/>
              <w:rPr>
                <w:rFonts w:hint="eastAsia" w:ascii="ËÎÌå" w:hAnsi="ËÎÌå" w:eastAsia="宋体" w:cs="Calibri"/>
                <w:color w:val="000000"/>
                <w:sz w:val="22"/>
                <w:szCs w:val="24"/>
                <w:highlight w:val="none"/>
                <w:shd w:val="clear" w:color="auto" w:fill="auto"/>
                <w:lang w:val="en-US" w:eastAsia="zh-CN"/>
              </w:rPr>
            </w:pPr>
            <w:r>
              <w:rPr>
                <w:rFonts w:hint="eastAsia" w:ascii="ËÎÌå" w:hAnsi="ËÎÌå" w:eastAsia="宋体" w:cs="Calibri"/>
                <w:color w:val="000000"/>
                <w:sz w:val="22"/>
                <w:szCs w:val="24"/>
                <w:highlight w:val="none"/>
                <w:shd w:val="clear" w:color="auto" w:fill="auto"/>
                <w:lang w:val="en-US" w:eastAsia="zh-CN"/>
              </w:rPr>
              <w:t>0</w:t>
            </w:r>
          </w:p>
        </w:tc>
        <w:tc>
          <w:tcPr>
            <w:tcW w:w="1519" w:type="dxa"/>
            <w:tcBorders>
              <w:top w:val="nil"/>
              <w:left w:val="nil"/>
              <w:bottom w:val="single" w:color="000000" w:sz="6" w:space="0"/>
              <w:right w:val="single" w:color="000000" w:sz="6" w:space="0"/>
              <w:tl2br w:val="nil"/>
              <w:tr2bl w:val="nil"/>
            </w:tcBorders>
          </w:tcPr>
          <w:p>
            <w:pPr>
              <w:jc w:val="center"/>
              <w:rPr>
                <w:rFonts w:hint="eastAsia" w:ascii="ËÎÌå" w:hAnsi="ËÎÌå" w:eastAsia="宋体" w:cs="Calibri"/>
                <w:color w:val="000000"/>
                <w:sz w:val="22"/>
                <w:szCs w:val="24"/>
                <w:highlight w:val="none"/>
                <w:shd w:val="clear" w:color="auto" w:fill="auto"/>
                <w:lang w:val="en-US" w:eastAsia="zh-CN"/>
              </w:rPr>
            </w:pPr>
            <w:r>
              <w:rPr>
                <w:rFonts w:hint="eastAsia" w:ascii="ËÎÌå" w:hAnsi="ËÎÌå" w:eastAsia="宋体" w:cs="Calibri"/>
                <w:color w:val="000000"/>
                <w:sz w:val="22"/>
                <w:szCs w:val="24"/>
                <w:highlight w:val="none"/>
                <w:shd w:val="clear" w:color="auto" w:fill="auto"/>
                <w:lang w:val="en-US" w:eastAsia="zh-CN"/>
              </w:rPr>
              <w:t>0</w:t>
            </w:r>
          </w:p>
        </w:tc>
        <w:tc>
          <w:tcPr>
            <w:tcW w:w="1832" w:type="dxa"/>
            <w:tcBorders>
              <w:top w:val="nil"/>
              <w:left w:val="nil"/>
              <w:bottom w:val="single" w:color="000000" w:sz="6" w:space="0"/>
              <w:right w:val="single" w:color="000000" w:sz="6" w:space="0"/>
              <w:tl2br w:val="nil"/>
              <w:tr2bl w:val="nil"/>
            </w:tcBorders>
          </w:tcPr>
          <w:p>
            <w:pPr>
              <w:jc w:val="center"/>
              <w:rPr>
                <w:rFonts w:hint="eastAsia" w:ascii="ËÎÌå" w:hAnsi="ËÎÌå" w:eastAsia="宋体" w:cs="Calibri"/>
                <w:color w:val="000000"/>
                <w:sz w:val="22"/>
                <w:szCs w:val="24"/>
                <w:highlight w:val="none"/>
                <w:shd w:val="clear" w:color="auto" w:fill="auto"/>
                <w:lang w:val="en-US" w:eastAsia="zh-CN"/>
              </w:rPr>
            </w:pPr>
            <w:r>
              <w:rPr>
                <w:rFonts w:hint="eastAsia" w:ascii="ËÎÌå" w:hAnsi="ËÎÌå" w:eastAsia="宋体" w:cs="Calibri"/>
                <w:color w:val="000000"/>
                <w:sz w:val="22"/>
                <w:szCs w:val="24"/>
                <w:highlight w:val="none"/>
                <w:shd w:val="clear" w:color="auto" w:fill="auto"/>
                <w:lang w:val="en-US" w:eastAsia="zh-CN"/>
              </w:rPr>
              <w:t>0</w:t>
            </w:r>
          </w:p>
        </w:tc>
        <w:tc>
          <w:tcPr>
            <w:tcW w:w="1472" w:type="dxa"/>
            <w:tcBorders>
              <w:top w:val="nil"/>
              <w:left w:val="nil"/>
              <w:bottom w:val="single" w:color="000000" w:sz="6" w:space="0"/>
              <w:right w:val="single" w:color="000000" w:sz="6" w:space="0"/>
              <w:tl2br w:val="nil"/>
              <w:tr2bl w:val="nil"/>
            </w:tcBorders>
          </w:tcPr>
          <w:p>
            <w:pPr>
              <w:jc w:val="center"/>
              <w:rPr>
                <w:rFonts w:hint="eastAsia" w:ascii="ËÎÌå" w:hAnsi="ËÎÌå" w:eastAsia="宋体" w:cs="Calibri"/>
                <w:color w:val="000000"/>
                <w:sz w:val="22"/>
                <w:szCs w:val="24"/>
                <w:highlight w:val="none"/>
                <w:shd w:val="clear" w:color="auto" w:fill="auto"/>
                <w:lang w:val="en-US" w:eastAsia="zh-CN"/>
              </w:rPr>
            </w:pPr>
            <w:r>
              <w:rPr>
                <w:rFonts w:hint="eastAsia" w:ascii="ËÎÌå" w:hAnsi="ËÎÌå" w:eastAsia="宋体" w:cs="Calibri"/>
                <w:color w:val="000000"/>
                <w:sz w:val="22"/>
                <w:szCs w:val="24"/>
                <w:highlight w:val="none"/>
                <w:shd w:val="clear" w:color="auto" w:fill="auto"/>
                <w:lang w:val="en-US" w:eastAsia="zh-CN"/>
              </w:rPr>
              <w:t>0</w:t>
            </w:r>
          </w:p>
        </w:tc>
        <w:tc>
          <w:tcPr>
            <w:tcW w:w="2152" w:type="dxa"/>
            <w:tcBorders>
              <w:top w:val="nil"/>
              <w:left w:val="nil"/>
              <w:bottom w:val="single" w:color="000000" w:sz="6" w:space="0"/>
              <w:right w:val="single" w:color="000000" w:sz="6" w:space="0"/>
              <w:tl2br w:val="nil"/>
              <w:tr2bl w:val="nil"/>
            </w:tcBorders>
          </w:tcPr>
          <w:p>
            <w:pPr>
              <w:jc w:val="center"/>
              <w:rPr>
                <w:rFonts w:hint="eastAsia" w:ascii="ËÎÌå" w:hAnsi="ËÎÌå" w:eastAsia="宋体" w:cs="Calibri"/>
                <w:color w:val="000000"/>
                <w:sz w:val="22"/>
                <w:szCs w:val="24"/>
                <w:highlight w:val="none"/>
                <w:shd w:val="clear" w:color="auto" w:fill="auto"/>
                <w:lang w:val="en-US" w:eastAsia="zh-CN"/>
              </w:rPr>
            </w:pPr>
            <w:r>
              <w:rPr>
                <w:rFonts w:hint="eastAsia" w:ascii="ËÎÌå" w:hAnsi="ËÎÌå" w:eastAsia="宋体" w:cs="Calibri"/>
                <w:color w:val="000000"/>
                <w:sz w:val="22"/>
                <w:szCs w:val="24"/>
                <w:highlight w:val="none"/>
                <w:shd w:val="clear" w:color="auto" w:fill="auto"/>
                <w:lang w:val="en-US" w:eastAsia="zh-CN"/>
              </w:rPr>
              <w:t>0</w:t>
            </w:r>
          </w:p>
        </w:tc>
      </w:tr>
      <w:tr>
        <w:tblPrEx>
          <w:tblLayout w:type="fixed"/>
          <w:tblCellMar>
            <w:top w:w="0" w:type="dxa"/>
            <w:left w:w="108" w:type="dxa"/>
            <w:bottom w:w="0" w:type="dxa"/>
            <w:right w:w="108" w:type="dxa"/>
          </w:tblCellMar>
        </w:tblPrEx>
        <w:trPr>
          <w:trHeight w:val="351" w:hRule="atLeast"/>
          <w:jc w:val="center"/>
        </w:trPr>
        <w:tc>
          <w:tcPr>
            <w:tcW w:w="1689" w:type="dxa"/>
            <w:tcBorders>
              <w:top w:val="nil"/>
              <w:left w:val="single" w:color="000000" w:sz="6" w:space="0"/>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p>
        </w:tc>
        <w:tc>
          <w:tcPr>
            <w:tcW w:w="1443" w:type="dxa"/>
            <w:tcBorders>
              <w:top w:val="nil"/>
              <w:left w:val="nil"/>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p>
        </w:tc>
        <w:tc>
          <w:tcPr>
            <w:tcW w:w="9328" w:type="dxa"/>
            <w:gridSpan w:val="6"/>
            <w:tcBorders>
              <w:top w:val="nil"/>
              <w:left w:val="nil"/>
              <w:bottom w:val="single" w:color="000000" w:sz="6" w:space="0"/>
              <w:right w:val="single" w:color="000000" w:sz="6" w:space="0"/>
              <w:tl2br w:val="nil"/>
              <w:tr2bl w:val="nil"/>
            </w:tcBorders>
          </w:tcPr>
          <w:p>
            <w:pPr>
              <w:jc w:val="center"/>
              <w:rPr>
                <w:rFonts w:ascii="ËÎÌå" w:hAnsi="ËÎÌå" w:eastAsia="ËÎÌå" w:cs="Calibri"/>
                <w:b/>
                <w:bCs/>
                <w:color w:val="000000"/>
                <w:sz w:val="22"/>
                <w:szCs w:val="24"/>
                <w:highlight w:val="none"/>
                <w:shd w:val="clear" w:color="auto" w:fill="auto"/>
              </w:rPr>
            </w:pPr>
            <w:r>
              <w:rPr>
                <w:rFonts w:hint="eastAsia" w:ascii="ËÎÌå" w:hAnsi="ËÎÌå" w:eastAsia="宋体" w:cs="Calibri"/>
                <w:b/>
                <w:bCs/>
                <w:color w:val="000000"/>
                <w:sz w:val="22"/>
                <w:szCs w:val="24"/>
                <w:highlight w:val="none"/>
                <w:shd w:val="clear" w:color="auto" w:fill="auto"/>
              </w:rPr>
              <w:t>湘潭县农业农村局</w:t>
            </w:r>
            <w:r>
              <w:rPr>
                <w:rFonts w:hint="eastAsia" w:ascii="宋体" w:hAnsi="宋体" w:eastAsia="宋体" w:cs="宋体"/>
                <w:b/>
                <w:bCs/>
                <w:color w:val="000000"/>
                <w:sz w:val="22"/>
                <w:szCs w:val="24"/>
                <w:highlight w:val="none"/>
                <w:shd w:val="clear" w:color="auto" w:fill="auto"/>
              </w:rPr>
              <w:t>无政府基金收入</w:t>
            </w:r>
            <w:r>
              <w:rPr>
                <w:rFonts w:hint="eastAsia" w:ascii="ËÎÌå" w:hAnsi="ËÎÌå" w:eastAsia="宋体" w:cs="Calibri"/>
                <w:b/>
                <w:bCs/>
                <w:color w:val="000000"/>
                <w:sz w:val="22"/>
                <w:szCs w:val="24"/>
                <w:highlight w:val="none"/>
                <w:shd w:val="clear" w:color="auto" w:fill="auto"/>
              </w:rPr>
              <w:t>，也没有政府性基金安排支出，故本表无数据</w:t>
            </w:r>
          </w:p>
        </w:tc>
      </w:tr>
      <w:tr>
        <w:tblPrEx>
          <w:tblLayout w:type="fixed"/>
          <w:tblCellMar>
            <w:top w:w="0" w:type="dxa"/>
            <w:left w:w="108" w:type="dxa"/>
            <w:bottom w:w="0" w:type="dxa"/>
            <w:right w:w="108" w:type="dxa"/>
          </w:tblCellMar>
        </w:tblPrEx>
        <w:trPr>
          <w:trHeight w:val="351" w:hRule="atLeast"/>
          <w:jc w:val="center"/>
        </w:trPr>
        <w:tc>
          <w:tcPr>
            <w:tcW w:w="1689" w:type="dxa"/>
            <w:tcBorders>
              <w:top w:val="nil"/>
              <w:left w:val="single" w:color="000000" w:sz="6" w:space="0"/>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p>
        </w:tc>
        <w:tc>
          <w:tcPr>
            <w:tcW w:w="1443" w:type="dxa"/>
            <w:tcBorders>
              <w:top w:val="nil"/>
              <w:left w:val="nil"/>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p>
        </w:tc>
        <w:tc>
          <w:tcPr>
            <w:tcW w:w="851"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1502"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1519"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1832"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1472"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2152"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r>
      <w:tr>
        <w:tblPrEx>
          <w:tblLayout w:type="fixed"/>
          <w:tblCellMar>
            <w:top w:w="0" w:type="dxa"/>
            <w:left w:w="108" w:type="dxa"/>
            <w:bottom w:w="0" w:type="dxa"/>
            <w:right w:w="108" w:type="dxa"/>
          </w:tblCellMar>
        </w:tblPrEx>
        <w:trPr>
          <w:trHeight w:val="351" w:hRule="atLeast"/>
          <w:jc w:val="center"/>
        </w:trPr>
        <w:tc>
          <w:tcPr>
            <w:tcW w:w="1689" w:type="dxa"/>
            <w:tcBorders>
              <w:top w:val="nil"/>
              <w:left w:val="single" w:color="000000" w:sz="6" w:space="0"/>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p>
        </w:tc>
        <w:tc>
          <w:tcPr>
            <w:tcW w:w="1443" w:type="dxa"/>
            <w:tcBorders>
              <w:top w:val="nil"/>
              <w:left w:val="nil"/>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p>
        </w:tc>
        <w:tc>
          <w:tcPr>
            <w:tcW w:w="851"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1502"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1519"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1832"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1472"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2152"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r>
      <w:tr>
        <w:tblPrEx>
          <w:tblLayout w:type="fixed"/>
          <w:tblCellMar>
            <w:top w:w="0" w:type="dxa"/>
            <w:left w:w="108" w:type="dxa"/>
            <w:bottom w:w="0" w:type="dxa"/>
            <w:right w:w="108" w:type="dxa"/>
          </w:tblCellMar>
        </w:tblPrEx>
        <w:trPr>
          <w:trHeight w:val="351" w:hRule="atLeast"/>
          <w:jc w:val="center"/>
        </w:trPr>
        <w:tc>
          <w:tcPr>
            <w:tcW w:w="12460" w:type="dxa"/>
            <w:gridSpan w:val="8"/>
            <w:tcBorders>
              <w:top w:val="nil"/>
              <w:left w:val="nil"/>
              <w:bottom w:val="nil"/>
              <w:right w:val="nil"/>
              <w:tl2br w:val="nil"/>
              <w:tr2bl w:val="nil"/>
            </w:tcBorders>
          </w:tcPr>
          <w:p>
            <w:pPr>
              <w:jc w:val="left"/>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注：本表反映部门本年度政府性基金预算财政拨款收入、支出及结转和结余情况。</w:t>
            </w:r>
          </w:p>
        </w:tc>
      </w:tr>
      <w:tr>
        <w:tblPrEx>
          <w:tblLayout w:type="fixed"/>
          <w:tblCellMar>
            <w:top w:w="0" w:type="dxa"/>
            <w:left w:w="108" w:type="dxa"/>
            <w:bottom w:w="0" w:type="dxa"/>
            <w:right w:w="108" w:type="dxa"/>
          </w:tblCellMar>
        </w:tblPrEx>
        <w:trPr>
          <w:trHeight w:val="319" w:hRule="atLeast"/>
          <w:jc w:val="center"/>
        </w:trPr>
        <w:tc>
          <w:tcPr>
            <w:tcW w:w="12460" w:type="dxa"/>
            <w:gridSpan w:val="8"/>
            <w:tcBorders>
              <w:top w:val="nil"/>
              <w:left w:val="nil"/>
              <w:bottom w:val="nil"/>
              <w:right w:val="nil"/>
              <w:tl2br w:val="nil"/>
              <w:tr2bl w:val="nil"/>
            </w:tcBorders>
          </w:tcPr>
          <w:p>
            <w:pPr>
              <w:jc w:val="left"/>
              <w:rPr>
                <w:rFonts w:ascii="ËÎÌå" w:hAnsi="ËÎÌå" w:eastAsia="ËÎÌå" w:cs="Calibri"/>
                <w:color w:val="000000"/>
                <w:sz w:val="22"/>
                <w:szCs w:val="24"/>
                <w:highlight w:val="none"/>
                <w:shd w:val="clear" w:color="auto" w:fill="auto"/>
              </w:rPr>
            </w:pPr>
          </w:p>
        </w:tc>
      </w:tr>
    </w:tbl>
    <w:p>
      <w:pPr>
        <w:autoSpaceDE w:val="0"/>
        <w:autoSpaceDN w:val="0"/>
        <w:adjustRightInd w:val="0"/>
        <w:jc w:val="left"/>
        <w:rPr>
          <w:rFonts w:ascii="黑体" w:hAnsi="Calibri" w:eastAsia="黑体" w:cs="Times New Roman"/>
          <w:color w:val="000000"/>
          <w:kern w:val="0"/>
          <w:sz w:val="72"/>
          <w:szCs w:val="72"/>
          <w:highlight w:val="none"/>
          <w:shd w:val="clear" w:color="auto" w:fill="auto"/>
        </w:rPr>
      </w:pPr>
    </w:p>
    <w:tbl>
      <w:tblPr>
        <w:tblStyle w:val="7"/>
        <w:tblW w:w="12120" w:type="dxa"/>
        <w:jc w:val="center"/>
        <w:tblInd w:w="0" w:type="dxa"/>
        <w:tblLayout w:type="fixed"/>
        <w:tblCellMar>
          <w:top w:w="0" w:type="dxa"/>
          <w:left w:w="108" w:type="dxa"/>
          <w:bottom w:w="0" w:type="dxa"/>
          <w:right w:w="108" w:type="dxa"/>
        </w:tblCellMar>
      </w:tblPr>
      <w:tblGrid>
        <w:gridCol w:w="2010"/>
        <w:gridCol w:w="1946"/>
        <w:gridCol w:w="2648"/>
        <w:gridCol w:w="2813"/>
        <w:gridCol w:w="2703"/>
      </w:tblGrid>
      <w:tr>
        <w:tblPrEx>
          <w:tblLayout w:type="fixed"/>
          <w:tblCellMar>
            <w:top w:w="0" w:type="dxa"/>
            <w:left w:w="108" w:type="dxa"/>
            <w:bottom w:w="0" w:type="dxa"/>
            <w:right w:w="108" w:type="dxa"/>
          </w:tblCellMar>
        </w:tblPrEx>
        <w:trPr>
          <w:trHeight w:val="738" w:hRule="atLeast"/>
          <w:jc w:val="center"/>
        </w:trPr>
        <w:tc>
          <w:tcPr>
            <w:tcW w:w="12120" w:type="dxa"/>
            <w:gridSpan w:val="5"/>
            <w:tcBorders>
              <w:top w:val="nil"/>
              <w:left w:val="nil"/>
              <w:bottom w:val="nil"/>
              <w:right w:val="nil"/>
              <w:tl2br w:val="nil"/>
              <w:tr2bl w:val="nil"/>
            </w:tcBorders>
          </w:tcPr>
          <w:p>
            <w:pPr>
              <w:jc w:val="center"/>
              <w:rPr>
                <w:rFonts w:hint="eastAsia" w:ascii="宋体" w:hAnsi="宋体" w:eastAsia="宋体" w:cs="宋体"/>
                <w:b/>
                <w:bCs/>
                <w:color w:val="000000"/>
                <w:sz w:val="30"/>
                <w:szCs w:val="24"/>
                <w:highlight w:val="none"/>
                <w:shd w:val="clear" w:color="auto" w:fill="auto"/>
              </w:rPr>
            </w:pPr>
          </w:p>
          <w:p>
            <w:pPr>
              <w:jc w:val="center"/>
              <w:rPr>
                <w:rFonts w:hint="eastAsia" w:ascii="宋体" w:hAnsi="宋体" w:eastAsia="宋体" w:cs="宋体"/>
                <w:b/>
                <w:bCs/>
                <w:color w:val="000000"/>
                <w:sz w:val="30"/>
                <w:szCs w:val="24"/>
                <w:highlight w:val="none"/>
                <w:shd w:val="clear" w:color="auto" w:fill="auto"/>
              </w:rPr>
            </w:pPr>
          </w:p>
          <w:p>
            <w:pPr>
              <w:jc w:val="center"/>
              <w:rPr>
                <w:rFonts w:hint="eastAsia" w:ascii="宋体" w:hAnsi="宋体" w:eastAsia="宋体" w:cs="宋体"/>
                <w:b/>
                <w:bCs/>
                <w:color w:val="000000"/>
                <w:sz w:val="30"/>
                <w:szCs w:val="24"/>
                <w:highlight w:val="none"/>
                <w:shd w:val="clear" w:color="auto" w:fill="auto"/>
              </w:rPr>
            </w:pPr>
          </w:p>
          <w:p>
            <w:pPr>
              <w:jc w:val="center"/>
              <w:rPr>
                <w:rFonts w:ascii="Arial" w:hAnsi="Arial" w:eastAsia="ËÎÌå" w:cs="Calibri"/>
                <w:color w:val="000000"/>
                <w:sz w:val="20"/>
                <w:szCs w:val="24"/>
                <w:highlight w:val="none"/>
                <w:shd w:val="clear" w:color="auto" w:fill="auto"/>
              </w:rPr>
            </w:pPr>
            <w:r>
              <w:rPr>
                <w:rFonts w:hint="eastAsia" w:ascii="宋体" w:hAnsi="宋体" w:eastAsia="宋体" w:cs="宋体"/>
                <w:b/>
                <w:bCs/>
                <w:color w:val="000000"/>
                <w:sz w:val="30"/>
                <w:szCs w:val="24"/>
                <w:highlight w:val="none"/>
                <w:shd w:val="clear" w:color="auto" w:fill="auto"/>
              </w:rPr>
              <w:t>国有资本经营预算财政拨款支出决算表</w:t>
            </w:r>
          </w:p>
        </w:tc>
      </w:tr>
      <w:tr>
        <w:tblPrEx>
          <w:tblLayout w:type="fixed"/>
          <w:tblCellMar>
            <w:top w:w="0" w:type="dxa"/>
            <w:left w:w="108" w:type="dxa"/>
            <w:bottom w:w="0" w:type="dxa"/>
            <w:right w:w="108" w:type="dxa"/>
          </w:tblCellMar>
        </w:tblPrEx>
        <w:trPr>
          <w:trHeight w:val="369" w:hRule="atLeast"/>
          <w:jc w:val="center"/>
        </w:trPr>
        <w:tc>
          <w:tcPr>
            <w:tcW w:w="2010" w:type="dxa"/>
            <w:tcBorders>
              <w:top w:val="nil"/>
              <w:left w:val="nil"/>
              <w:bottom w:val="nil"/>
              <w:right w:val="nil"/>
              <w:tl2br w:val="nil"/>
              <w:tr2bl w:val="nil"/>
            </w:tcBorders>
          </w:tcPr>
          <w:p>
            <w:pPr>
              <w:jc w:val="right"/>
              <w:rPr>
                <w:rFonts w:ascii="Arial" w:hAnsi="Arial" w:eastAsia="ËÎÌå" w:cs="Calibri"/>
                <w:color w:val="000000"/>
                <w:sz w:val="20"/>
                <w:szCs w:val="24"/>
                <w:highlight w:val="none"/>
                <w:shd w:val="clear" w:color="auto" w:fill="auto"/>
              </w:rPr>
            </w:pPr>
          </w:p>
        </w:tc>
        <w:tc>
          <w:tcPr>
            <w:tcW w:w="1946" w:type="dxa"/>
            <w:tcBorders>
              <w:top w:val="nil"/>
              <w:left w:val="nil"/>
              <w:bottom w:val="nil"/>
              <w:right w:val="nil"/>
              <w:tl2br w:val="nil"/>
              <w:tr2bl w:val="nil"/>
            </w:tcBorders>
          </w:tcPr>
          <w:p>
            <w:pPr>
              <w:jc w:val="right"/>
              <w:rPr>
                <w:rFonts w:ascii="Arial" w:hAnsi="Arial" w:eastAsia="ËÎÌå" w:cs="Calibri"/>
                <w:color w:val="000000"/>
                <w:sz w:val="20"/>
                <w:szCs w:val="24"/>
                <w:highlight w:val="none"/>
                <w:shd w:val="clear" w:color="auto" w:fill="auto"/>
              </w:rPr>
            </w:pPr>
          </w:p>
        </w:tc>
        <w:tc>
          <w:tcPr>
            <w:tcW w:w="2648" w:type="dxa"/>
            <w:tcBorders>
              <w:top w:val="nil"/>
              <w:left w:val="nil"/>
              <w:bottom w:val="nil"/>
              <w:right w:val="nil"/>
              <w:tl2br w:val="nil"/>
              <w:tr2bl w:val="nil"/>
            </w:tcBorders>
          </w:tcPr>
          <w:p>
            <w:pPr>
              <w:jc w:val="right"/>
              <w:rPr>
                <w:rFonts w:ascii="Arial" w:hAnsi="Arial" w:eastAsia="ËÎÌå" w:cs="Calibri"/>
                <w:color w:val="000000"/>
                <w:sz w:val="20"/>
                <w:szCs w:val="24"/>
                <w:highlight w:val="none"/>
                <w:shd w:val="clear" w:color="auto" w:fill="auto"/>
              </w:rPr>
            </w:pPr>
          </w:p>
        </w:tc>
        <w:tc>
          <w:tcPr>
            <w:tcW w:w="2813" w:type="dxa"/>
            <w:tcBorders>
              <w:top w:val="nil"/>
              <w:left w:val="nil"/>
              <w:bottom w:val="nil"/>
              <w:right w:val="nil"/>
              <w:tl2br w:val="nil"/>
              <w:tr2bl w:val="nil"/>
            </w:tcBorders>
          </w:tcPr>
          <w:p>
            <w:pPr>
              <w:jc w:val="right"/>
              <w:rPr>
                <w:rFonts w:ascii="Arial" w:hAnsi="Arial" w:eastAsia="ËÎÌå" w:cs="Calibri"/>
                <w:color w:val="000000"/>
                <w:szCs w:val="21"/>
                <w:highlight w:val="none"/>
                <w:shd w:val="clear" w:color="auto" w:fill="auto"/>
              </w:rPr>
            </w:pPr>
          </w:p>
        </w:tc>
        <w:tc>
          <w:tcPr>
            <w:tcW w:w="2703" w:type="dxa"/>
            <w:tcBorders>
              <w:top w:val="nil"/>
              <w:left w:val="nil"/>
              <w:bottom w:val="nil"/>
              <w:right w:val="nil"/>
              <w:tl2br w:val="nil"/>
              <w:tr2bl w:val="nil"/>
            </w:tcBorders>
          </w:tcPr>
          <w:p>
            <w:pPr>
              <w:jc w:val="right"/>
              <w:rPr>
                <w:rFonts w:ascii="ËÎÌå" w:hAnsi="ËÎÌå" w:eastAsia="ËÎÌå" w:cs="Calibri"/>
                <w:color w:val="000000"/>
                <w:szCs w:val="21"/>
                <w:highlight w:val="none"/>
                <w:shd w:val="clear" w:color="auto" w:fill="auto"/>
              </w:rPr>
            </w:pPr>
            <w:r>
              <w:rPr>
                <w:rFonts w:hint="eastAsia" w:ascii="宋体" w:hAnsi="宋体" w:eastAsia="宋体" w:cs="宋体"/>
                <w:color w:val="000000"/>
                <w:szCs w:val="21"/>
                <w:highlight w:val="none"/>
                <w:shd w:val="clear" w:color="auto" w:fill="auto"/>
              </w:rPr>
              <w:t>公开</w:t>
            </w:r>
            <w:r>
              <w:rPr>
                <w:rFonts w:ascii="ËÎÌå" w:hAnsi="ËÎÌå" w:eastAsia="ËÎÌå" w:cs="Calibri"/>
                <w:color w:val="000000"/>
                <w:szCs w:val="21"/>
                <w:highlight w:val="none"/>
                <w:shd w:val="clear" w:color="auto" w:fill="auto"/>
              </w:rPr>
              <w:t>09</w:t>
            </w:r>
            <w:r>
              <w:rPr>
                <w:rFonts w:hint="eastAsia" w:ascii="宋体" w:hAnsi="宋体" w:eastAsia="宋体" w:cs="宋体"/>
                <w:color w:val="000000"/>
                <w:szCs w:val="21"/>
                <w:highlight w:val="none"/>
                <w:shd w:val="clear" w:color="auto" w:fill="auto"/>
              </w:rPr>
              <w:t>表</w:t>
            </w:r>
          </w:p>
        </w:tc>
      </w:tr>
      <w:tr>
        <w:tblPrEx>
          <w:tblLayout w:type="fixed"/>
          <w:tblCellMar>
            <w:top w:w="0" w:type="dxa"/>
            <w:left w:w="108" w:type="dxa"/>
            <w:bottom w:w="0" w:type="dxa"/>
            <w:right w:w="108" w:type="dxa"/>
          </w:tblCellMar>
        </w:tblPrEx>
        <w:trPr>
          <w:trHeight w:val="369" w:hRule="atLeast"/>
          <w:jc w:val="center"/>
        </w:trPr>
        <w:tc>
          <w:tcPr>
            <w:tcW w:w="3956" w:type="dxa"/>
            <w:gridSpan w:val="2"/>
            <w:tcBorders>
              <w:top w:val="nil"/>
              <w:left w:val="nil"/>
              <w:bottom w:val="nil"/>
              <w:right w:val="nil"/>
              <w:tl2br w:val="nil"/>
              <w:tr2bl w:val="nil"/>
            </w:tcBorders>
          </w:tcPr>
          <w:p>
            <w:pPr>
              <w:jc w:val="left"/>
              <w:rPr>
                <w:rFonts w:ascii="Arial" w:hAnsi="Arial" w:eastAsia="ËÎÌå" w:cs="Calibri"/>
                <w:color w:val="000000"/>
                <w:sz w:val="20"/>
                <w:szCs w:val="24"/>
                <w:highlight w:val="none"/>
                <w:shd w:val="clear" w:color="auto" w:fill="auto"/>
              </w:rPr>
            </w:pPr>
            <w:r>
              <w:rPr>
                <w:rFonts w:hint="eastAsia" w:ascii="宋体" w:hAnsi="宋体" w:eastAsia="宋体" w:cs="宋体"/>
                <w:color w:val="000000"/>
                <w:szCs w:val="21"/>
                <w:highlight w:val="none"/>
                <w:shd w:val="clear" w:color="auto" w:fill="auto"/>
              </w:rPr>
              <w:t>部门：湘潭县农业农村局</w:t>
            </w:r>
          </w:p>
        </w:tc>
        <w:tc>
          <w:tcPr>
            <w:tcW w:w="2648" w:type="dxa"/>
            <w:tcBorders>
              <w:top w:val="nil"/>
              <w:left w:val="nil"/>
              <w:bottom w:val="nil"/>
              <w:right w:val="nil"/>
              <w:tl2br w:val="nil"/>
              <w:tr2bl w:val="nil"/>
            </w:tcBorders>
          </w:tcPr>
          <w:p>
            <w:pPr>
              <w:jc w:val="left"/>
              <w:rPr>
                <w:rFonts w:ascii="Arial" w:hAnsi="Arial" w:eastAsia="ËÎÌå" w:cs="Calibri"/>
                <w:color w:val="000000"/>
                <w:sz w:val="20"/>
                <w:szCs w:val="24"/>
                <w:highlight w:val="none"/>
                <w:shd w:val="clear" w:color="auto" w:fill="auto"/>
              </w:rPr>
            </w:pPr>
          </w:p>
        </w:tc>
        <w:tc>
          <w:tcPr>
            <w:tcW w:w="5516" w:type="dxa"/>
            <w:gridSpan w:val="2"/>
            <w:tcBorders>
              <w:top w:val="nil"/>
              <w:left w:val="nil"/>
              <w:bottom w:val="nil"/>
              <w:right w:val="nil"/>
              <w:tl2br w:val="nil"/>
              <w:tr2bl w:val="nil"/>
            </w:tcBorders>
          </w:tcPr>
          <w:p>
            <w:pPr>
              <w:jc w:val="right"/>
              <w:rPr>
                <w:rFonts w:ascii="ËÎÌå" w:hAnsi="ËÎÌå" w:eastAsia="ËÎÌå" w:cs="Calibri"/>
                <w:color w:val="000000"/>
                <w:szCs w:val="21"/>
                <w:highlight w:val="none"/>
                <w:shd w:val="clear" w:color="auto" w:fill="auto"/>
              </w:rPr>
            </w:pPr>
            <w:r>
              <w:rPr>
                <w:rFonts w:hint="eastAsia" w:ascii="宋体" w:hAnsi="宋体" w:eastAsia="宋体" w:cs="宋体"/>
                <w:color w:val="000000"/>
                <w:szCs w:val="21"/>
                <w:highlight w:val="none"/>
                <w:shd w:val="clear" w:color="auto" w:fill="auto"/>
              </w:rPr>
              <w:t>金额单位：万元</w:t>
            </w:r>
          </w:p>
        </w:tc>
      </w:tr>
      <w:tr>
        <w:tblPrEx>
          <w:tblLayout w:type="fixed"/>
          <w:tblCellMar>
            <w:top w:w="0" w:type="dxa"/>
            <w:left w:w="108" w:type="dxa"/>
            <w:bottom w:w="0" w:type="dxa"/>
            <w:right w:w="108" w:type="dxa"/>
          </w:tblCellMar>
        </w:tblPrEx>
        <w:trPr>
          <w:trHeight w:val="402" w:hRule="atLeast"/>
          <w:jc w:val="center"/>
        </w:trPr>
        <w:tc>
          <w:tcPr>
            <w:tcW w:w="3956" w:type="dxa"/>
            <w:gridSpan w:val="2"/>
            <w:tcBorders>
              <w:top w:val="single" w:color="000000" w:sz="6" w:space="0"/>
              <w:left w:val="single" w:color="000000" w:sz="6" w:space="0"/>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项目</w:t>
            </w:r>
          </w:p>
        </w:tc>
        <w:tc>
          <w:tcPr>
            <w:tcW w:w="8164" w:type="dxa"/>
            <w:gridSpan w:val="3"/>
            <w:tcBorders>
              <w:top w:val="single" w:color="000000" w:sz="6" w:space="0"/>
              <w:left w:val="nil"/>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本年支出</w:t>
            </w:r>
          </w:p>
        </w:tc>
      </w:tr>
      <w:tr>
        <w:tblPrEx>
          <w:tblLayout w:type="fixed"/>
          <w:tblCellMar>
            <w:top w:w="0" w:type="dxa"/>
            <w:left w:w="108" w:type="dxa"/>
            <w:bottom w:w="0" w:type="dxa"/>
            <w:right w:w="108" w:type="dxa"/>
          </w:tblCellMar>
        </w:tblPrEx>
        <w:trPr>
          <w:trHeight w:val="772" w:hRule="atLeast"/>
          <w:jc w:val="center"/>
        </w:trPr>
        <w:tc>
          <w:tcPr>
            <w:tcW w:w="2010" w:type="dxa"/>
            <w:tcBorders>
              <w:top w:val="nil"/>
              <w:left w:val="single" w:color="000000" w:sz="6" w:space="0"/>
              <w:bottom w:val="single" w:color="000000" w:sz="6" w:space="0"/>
              <w:right w:val="single" w:color="000000" w:sz="6" w:space="0"/>
              <w:tl2br w:val="nil"/>
              <w:tr2bl w:val="nil"/>
            </w:tcBorders>
            <w:vAlign w:val="center"/>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功能分类科目编码</w:t>
            </w:r>
          </w:p>
        </w:tc>
        <w:tc>
          <w:tcPr>
            <w:tcW w:w="1946" w:type="dxa"/>
            <w:tcBorders>
              <w:top w:val="nil"/>
              <w:left w:val="nil"/>
              <w:bottom w:val="single" w:color="000000" w:sz="6" w:space="0"/>
              <w:right w:val="single" w:color="000000" w:sz="6" w:space="0"/>
              <w:tl2br w:val="nil"/>
              <w:tr2bl w:val="nil"/>
            </w:tcBorders>
            <w:vAlign w:val="center"/>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科目名称</w:t>
            </w:r>
          </w:p>
        </w:tc>
        <w:tc>
          <w:tcPr>
            <w:tcW w:w="2648" w:type="dxa"/>
            <w:tcBorders>
              <w:top w:val="nil"/>
              <w:left w:val="nil"/>
              <w:bottom w:val="single" w:color="000000" w:sz="6" w:space="0"/>
              <w:right w:val="single" w:color="000000" w:sz="6" w:space="0"/>
              <w:tl2br w:val="nil"/>
              <w:tr2bl w:val="nil"/>
            </w:tcBorders>
            <w:vAlign w:val="center"/>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合计</w:t>
            </w:r>
          </w:p>
        </w:tc>
        <w:tc>
          <w:tcPr>
            <w:tcW w:w="2813" w:type="dxa"/>
            <w:tcBorders>
              <w:top w:val="nil"/>
              <w:left w:val="nil"/>
              <w:bottom w:val="single" w:color="000000" w:sz="6" w:space="0"/>
              <w:right w:val="single" w:color="000000" w:sz="6" w:space="0"/>
              <w:tl2br w:val="nil"/>
              <w:tr2bl w:val="nil"/>
            </w:tcBorders>
            <w:vAlign w:val="center"/>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基本支出</w:t>
            </w:r>
          </w:p>
        </w:tc>
        <w:tc>
          <w:tcPr>
            <w:tcW w:w="2703" w:type="dxa"/>
            <w:tcBorders>
              <w:top w:val="nil"/>
              <w:left w:val="nil"/>
              <w:bottom w:val="single" w:color="000000" w:sz="6" w:space="0"/>
              <w:right w:val="single" w:color="000000" w:sz="6" w:space="0"/>
              <w:tl2br w:val="nil"/>
              <w:tr2bl w:val="nil"/>
            </w:tcBorders>
            <w:vAlign w:val="center"/>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项目支出</w:t>
            </w:r>
          </w:p>
        </w:tc>
      </w:tr>
      <w:tr>
        <w:tblPrEx>
          <w:tblLayout w:type="fixed"/>
          <w:tblCellMar>
            <w:top w:w="0" w:type="dxa"/>
            <w:left w:w="108" w:type="dxa"/>
            <w:bottom w:w="0" w:type="dxa"/>
            <w:right w:w="108" w:type="dxa"/>
          </w:tblCellMar>
        </w:tblPrEx>
        <w:trPr>
          <w:trHeight w:val="402" w:hRule="atLeast"/>
          <w:jc w:val="center"/>
        </w:trPr>
        <w:tc>
          <w:tcPr>
            <w:tcW w:w="3956" w:type="dxa"/>
            <w:gridSpan w:val="2"/>
            <w:tcBorders>
              <w:top w:val="nil"/>
              <w:left w:val="single" w:color="000000" w:sz="6" w:space="0"/>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栏次</w:t>
            </w:r>
          </w:p>
        </w:tc>
        <w:tc>
          <w:tcPr>
            <w:tcW w:w="2648" w:type="dxa"/>
            <w:tcBorders>
              <w:top w:val="nil"/>
              <w:left w:val="nil"/>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ascii="ËÎÌå" w:hAnsi="ËÎÌå" w:eastAsia="ËÎÌå" w:cs="Calibri"/>
                <w:color w:val="000000"/>
                <w:sz w:val="22"/>
                <w:szCs w:val="24"/>
                <w:highlight w:val="none"/>
                <w:shd w:val="clear" w:color="auto" w:fill="auto"/>
              </w:rPr>
              <w:t>1</w:t>
            </w:r>
          </w:p>
        </w:tc>
        <w:tc>
          <w:tcPr>
            <w:tcW w:w="2813" w:type="dxa"/>
            <w:tcBorders>
              <w:top w:val="nil"/>
              <w:left w:val="nil"/>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ascii="ËÎÌå" w:hAnsi="ËÎÌå" w:eastAsia="ËÎÌå" w:cs="Calibri"/>
                <w:color w:val="000000"/>
                <w:sz w:val="22"/>
                <w:szCs w:val="24"/>
                <w:highlight w:val="none"/>
                <w:shd w:val="clear" w:color="auto" w:fill="auto"/>
              </w:rPr>
              <w:t>2</w:t>
            </w:r>
          </w:p>
        </w:tc>
        <w:tc>
          <w:tcPr>
            <w:tcW w:w="2703" w:type="dxa"/>
            <w:tcBorders>
              <w:top w:val="nil"/>
              <w:left w:val="nil"/>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ascii="ËÎÌå" w:hAnsi="ËÎÌå" w:eastAsia="ËÎÌå" w:cs="Calibri"/>
                <w:color w:val="000000"/>
                <w:sz w:val="22"/>
                <w:szCs w:val="24"/>
                <w:highlight w:val="none"/>
                <w:shd w:val="clear" w:color="auto" w:fill="auto"/>
              </w:rPr>
              <w:t>3</w:t>
            </w:r>
          </w:p>
        </w:tc>
      </w:tr>
      <w:tr>
        <w:tblPrEx>
          <w:tblLayout w:type="fixed"/>
          <w:tblCellMar>
            <w:top w:w="0" w:type="dxa"/>
            <w:left w:w="108" w:type="dxa"/>
            <w:bottom w:w="0" w:type="dxa"/>
            <w:right w:w="108" w:type="dxa"/>
          </w:tblCellMar>
        </w:tblPrEx>
        <w:trPr>
          <w:trHeight w:val="402" w:hRule="atLeast"/>
          <w:jc w:val="center"/>
        </w:trPr>
        <w:tc>
          <w:tcPr>
            <w:tcW w:w="3956" w:type="dxa"/>
            <w:gridSpan w:val="2"/>
            <w:tcBorders>
              <w:top w:val="nil"/>
              <w:left w:val="single" w:color="000000" w:sz="6" w:space="0"/>
              <w:bottom w:val="single" w:color="000000" w:sz="6" w:space="0"/>
              <w:right w:val="single" w:color="000000" w:sz="6" w:space="0"/>
              <w:tl2br w:val="nil"/>
              <w:tr2bl w:val="nil"/>
            </w:tcBorders>
          </w:tcPr>
          <w:p>
            <w:pPr>
              <w:jc w:val="center"/>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合计</w:t>
            </w:r>
          </w:p>
        </w:tc>
        <w:tc>
          <w:tcPr>
            <w:tcW w:w="2648" w:type="dxa"/>
            <w:tcBorders>
              <w:top w:val="nil"/>
              <w:left w:val="nil"/>
              <w:bottom w:val="single" w:color="000000" w:sz="6" w:space="0"/>
              <w:right w:val="single" w:color="000000" w:sz="6" w:space="0"/>
              <w:tl2br w:val="nil"/>
              <w:tr2bl w:val="nil"/>
            </w:tcBorders>
          </w:tcPr>
          <w:p>
            <w:pPr>
              <w:jc w:val="right"/>
              <w:rPr>
                <w:rFonts w:hint="eastAsia" w:ascii="ËÎÌå" w:hAnsi="ËÎÌå" w:eastAsia="宋体" w:cs="Calibri"/>
                <w:b/>
                <w:color w:val="000000"/>
                <w:sz w:val="22"/>
                <w:szCs w:val="24"/>
                <w:highlight w:val="none"/>
                <w:shd w:val="clear" w:color="auto" w:fill="auto"/>
                <w:lang w:val="en-US" w:eastAsia="zh-CN"/>
              </w:rPr>
            </w:pPr>
            <w:r>
              <w:rPr>
                <w:rFonts w:hint="eastAsia" w:ascii="ËÎÌå" w:hAnsi="ËÎÌå" w:eastAsia="宋体" w:cs="Calibri"/>
                <w:b/>
                <w:color w:val="000000"/>
                <w:sz w:val="22"/>
                <w:szCs w:val="24"/>
                <w:highlight w:val="none"/>
                <w:shd w:val="clear" w:color="auto" w:fill="auto"/>
                <w:lang w:val="en-US" w:eastAsia="zh-CN"/>
              </w:rPr>
              <w:t>0</w:t>
            </w:r>
          </w:p>
        </w:tc>
        <w:tc>
          <w:tcPr>
            <w:tcW w:w="2813" w:type="dxa"/>
            <w:tcBorders>
              <w:top w:val="nil"/>
              <w:left w:val="nil"/>
              <w:bottom w:val="single" w:color="000000" w:sz="6" w:space="0"/>
              <w:right w:val="single" w:color="000000" w:sz="6" w:space="0"/>
              <w:tl2br w:val="nil"/>
              <w:tr2bl w:val="nil"/>
            </w:tcBorders>
          </w:tcPr>
          <w:p>
            <w:pPr>
              <w:jc w:val="right"/>
              <w:rPr>
                <w:rFonts w:hint="eastAsia" w:ascii="ËÎÌå" w:hAnsi="ËÎÌå" w:eastAsia="宋体" w:cs="Calibri"/>
                <w:b/>
                <w:color w:val="000000"/>
                <w:sz w:val="22"/>
                <w:szCs w:val="24"/>
                <w:highlight w:val="none"/>
                <w:shd w:val="clear" w:color="auto" w:fill="auto"/>
                <w:lang w:val="en-US" w:eastAsia="zh-CN"/>
              </w:rPr>
            </w:pPr>
            <w:r>
              <w:rPr>
                <w:rFonts w:hint="eastAsia" w:ascii="ËÎÌå" w:hAnsi="ËÎÌå" w:eastAsia="宋体" w:cs="Calibri"/>
                <w:b/>
                <w:color w:val="000000"/>
                <w:sz w:val="22"/>
                <w:szCs w:val="24"/>
                <w:highlight w:val="none"/>
                <w:shd w:val="clear" w:color="auto" w:fill="auto"/>
                <w:lang w:val="en-US" w:eastAsia="zh-CN"/>
              </w:rPr>
              <w:t>0</w:t>
            </w:r>
          </w:p>
        </w:tc>
        <w:tc>
          <w:tcPr>
            <w:tcW w:w="2703" w:type="dxa"/>
            <w:tcBorders>
              <w:top w:val="nil"/>
              <w:left w:val="nil"/>
              <w:bottom w:val="single" w:color="000000" w:sz="6" w:space="0"/>
              <w:right w:val="single" w:color="000000" w:sz="6" w:space="0"/>
              <w:tl2br w:val="nil"/>
              <w:tr2bl w:val="nil"/>
            </w:tcBorders>
          </w:tcPr>
          <w:p>
            <w:pPr>
              <w:jc w:val="right"/>
              <w:rPr>
                <w:rFonts w:hint="eastAsia" w:ascii="ËÎÌå" w:hAnsi="ËÎÌå" w:eastAsia="宋体" w:cs="Calibri"/>
                <w:b/>
                <w:color w:val="000000"/>
                <w:sz w:val="22"/>
                <w:szCs w:val="24"/>
                <w:highlight w:val="none"/>
                <w:shd w:val="clear" w:color="auto" w:fill="auto"/>
                <w:lang w:val="en-US" w:eastAsia="zh-CN"/>
              </w:rPr>
            </w:pPr>
            <w:r>
              <w:rPr>
                <w:rFonts w:hint="eastAsia" w:ascii="ËÎÌå" w:hAnsi="ËÎÌå" w:eastAsia="宋体" w:cs="Calibri"/>
                <w:b/>
                <w:color w:val="000000"/>
                <w:sz w:val="22"/>
                <w:szCs w:val="24"/>
                <w:highlight w:val="none"/>
                <w:shd w:val="clear" w:color="auto" w:fill="auto"/>
                <w:lang w:val="en-US" w:eastAsia="zh-CN"/>
              </w:rPr>
              <w:t>0</w:t>
            </w:r>
          </w:p>
        </w:tc>
      </w:tr>
      <w:tr>
        <w:tblPrEx>
          <w:tblLayout w:type="fixed"/>
          <w:tblCellMar>
            <w:top w:w="0" w:type="dxa"/>
            <w:left w:w="108" w:type="dxa"/>
            <w:bottom w:w="0" w:type="dxa"/>
            <w:right w:w="108" w:type="dxa"/>
          </w:tblCellMar>
        </w:tblPrEx>
        <w:trPr>
          <w:trHeight w:val="402" w:hRule="atLeast"/>
          <w:jc w:val="center"/>
        </w:trPr>
        <w:tc>
          <w:tcPr>
            <w:tcW w:w="2010" w:type="dxa"/>
            <w:tcBorders>
              <w:top w:val="nil"/>
              <w:left w:val="single" w:color="000000" w:sz="6" w:space="0"/>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p>
        </w:tc>
        <w:tc>
          <w:tcPr>
            <w:tcW w:w="7407" w:type="dxa"/>
            <w:gridSpan w:val="3"/>
            <w:tcBorders>
              <w:top w:val="nil"/>
              <w:left w:val="nil"/>
              <w:bottom w:val="single" w:color="000000" w:sz="6" w:space="0"/>
              <w:right w:val="single" w:color="000000" w:sz="6" w:space="0"/>
              <w:tl2br w:val="nil"/>
              <w:tr2bl w:val="nil"/>
            </w:tcBorders>
          </w:tcPr>
          <w:p>
            <w:pPr>
              <w:jc w:val="center"/>
              <w:rPr>
                <w:rFonts w:ascii="ËÎÌå" w:hAnsi="ËÎÌå" w:eastAsia="宋体" w:cs="Calibri"/>
                <w:color w:val="000000"/>
                <w:sz w:val="22"/>
                <w:szCs w:val="24"/>
                <w:highlight w:val="none"/>
                <w:shd w:val="clear" w:color="auto" w:fill="auto"/>
              </w:rPr>
            </w:pPr>
            <w:r>
              <w:rPr>
                <w:rFonts w:hint="eastAsia" w:ascii="ËÎÌå" w:hAnsi="ËÎÌå" w:eastAsia="宋体" w:cs="Calibri"/>
                <w:b/>
                <w:bCs/>
                <w:color w:val="000000"/>
                <w:sz w:val="22"/>
                <w:szCs w:val="24"/>
                <w:highlight w:val="none"/>
                <w:shd w:val="clear" w:color="auto" w:fill="auto"/>
              </w:rPr>
              <w:t>湘潭县农业农村局</w:t>
            </w:r>
            <w:r>
              <w:rPr>
                <w:rFonts w:hint="eastAsia" w:ascii="宋体" w:hAnsi="宋体" w:eastAsia="宋体" w:cs="宋体"/>
                <w:b/>
                <w:bCs/>
                <w:color w:val="000000"/>
                <w:sz w:val="22"/>
                <w:szCs w:val="24"/>
                <w:highlight w:val="none"/>
                <w:shd w:val="clear" w:color="auto" w:fill="auto"/>
              </w:rPr>
              <w:t>无国有资本经营支出</w:t>
            </w:r>
            <w:r>
              <w:rPr>
                <w:rFonts w:hint="eastAsia" w:ascii="ËÎÌå" w:hAnsi="ËÎÌå" w:eastAsia="宋体" w:cs="Calibri"/>
                <w:b/>
                <w:bCs/>
                <w:color w:val="000000"/>
                <w:sz w:val="22"/>
                <w:szCs w:val="24"/>
                <w:highlight w:val="none"/>
                <w:shd w:val="clear" w:color="auto" w:fill="auto"/>
              </w:rPr>
              <w:t>，故本表无数据</w:t>
            </w:r>
          </w:p>
        </w:tc>
        <w:tc>
          <w:tcPr>
            <w:tcW w:w="2703"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r>
      <w:tr>
        <w:tblPrEx>
          <w:tblLayout w:type="fixed"/>
          <w:tblCellMar>
            <w:top w:w="0" w:type="dxa"/>
            <w:left w:w="108" w:type="dxa"/>
            <w:bottom w:w="0" w:type="dxa"/>
            <w:right w:w="108" w:type="dxa"/>
          </w:tblCellMar>
        </w:tblPrEx>
        <w:trPr>
          <w:trHeight w:val="438" w:hRule="atLeast"/>
          <w:jc w:val="center"/>
        </w:trPr>
        <w:tc>
          <w:tcPr>
            <w:tcW w:w="2010" w:type="dxa"/>
            <w:tcBorders>
              <w:top w:val="nil"/>
              <w:left w:val="single" w:color="000000" w:sz="6" w:space="0"/>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p>
        </w:tc>
        <w:tc>
          <w:tcPr>
            <w:tcW w:w="1946" w:type="dxa"/>
            <w:tcBorders>
              <w:top w:val="nil"/>
              <w:left w:val="nil"/>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p>
        </w:tc>
        <w:tc>
          <w:tcPr>
            <w:tcW w:w="2648"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2813"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2703"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r>
      <w:tr>
        <w:tblPrEx>
          <w:tblLayout w:type="fixed"/>
          <w:tblCellMar>
            <w:top w:w="0" w:type="dxa"/>
            <w:left w:w="108" w:type="dxa"/>
            <w:bottom w:w="0" w:type="dxa"/>
            <w:right w:w="108" w:type="dxa"/>
          </w:tblCellMar>
        </w:tblPrEx>
        <w:trPr>
          <w:trHeight w:val="402" w:hRule="atLeast"/>
          <w:jc w:val="center"/>
        </w:trPr>
        <w:tc>
          <w:tcPr>
            <w:tcW w:w="2010" w:type="dxa"/>
            <w:tcBorders>
              <w:top w:val="nil"/>
              <w:left w:val="single" w:color="000000" w:sz="6" w:space="0"/>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p>
        </w:tc>
        <w:tc>
          <w:tcPr>
            <w:tcW w:w="1946" w:type="dxa"/>
            <w:tcBorders>
              <w:top w:val="nil"/>
              <w:left w:val="nil"/>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p>
        </w:tc>
        <w:tc>
          <w:tcPr>
            <w:tcW w:w="2648"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2813"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2703"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r>
      <w:tr>
        <w:tblPrEx>
          <w:tblLayout w:type="fixed"/>
          <w:tblCellMar>
            <w:top w:w="0" w:type="dxa"/>
            <w:left w:w="108" w:type="dxa"/>
            <w:bottom w:w="0" w:type="dxa"/>
            <w:right w:w="108" w:type="dxa"/>
          </w:tblCellMar>
        </w:tblPrEx>
        <w:trPr>
          <w:trHeight w:val="402" w:hRule="atLeast"/>
          <w:jc w:val="center"/>
        </w:trPr>
        <w:tc>
          <w:tcPr>
            <w:tcW w:w="2010" w:type="dxa"/>
            <w:tcBorders>
              <w:top w:val="nil"/>
              <w:left w:val="single" w:color="000000" w:sz="6" w:space="0"/>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p>
        </w:tc>
        <w:tc>
          <w:tcPr>
            <w:tcW w:w="1946" w:type="dxa"/>
            <w:tcBorders>
              <w:top w:val="nil"/>
              <w:left w:val="nil"/>
              <w:bottom w:val="single" w:color="000000" w:sz="6" w:space="0"/>
              <w:right w:val="single" w:color="000000" w:sz="6" w:space="0"/>
              <w:tl2br w:val="nil"/>
              <w:tr2bl w:val="nil"/>
            </w:tcBorders>
          </w:tcPr>
          <w:p>
            <w:pPr>
              <w:jc w:val="left"/>
              <w:rPr>
                <w:rFonts w:ascii="ËÎÌå" w:hAnsi="ËÎÌå" w:eastAsia="ËÎÌå" w:cs="Calibri"/>
                <w:color w:val="000000"/>
                <w:sz w:val="22"/>
                <w:szCs w:val="24"/>
                <w:highlight w:val="none"/>
                <w:shd w:val="clear" w:color="auto" w:fill="auto"/>
              </w:rPr>
            </w:pPr>
          </w:p>
        </w:tc>
        <w:tc>
          <w:tcPr>
            <w:tcW w:w="2648"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2813"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c>
          <w:tcPr>
            <w:tcW w:w="2703" w:type="dxa"/>
            <w:tcBorders>
              <w:top w:val="nil"/>
              <w:left w:val="nil"/>
              <w:bottom w:val="single" w:color="000000" w:sz="6" w:space="0"/>
              <w:right w:val="single" w:color="000000" w:sz="6" w:space="0"/>
              <w:tl2br w:val="nil"/>
              <w:tr2bl w:val="nil"/>
            </w:tcBorders>
          </w:tcPr>
          <w:p>
            <w:pPr>
              <w:jc w:val="right"/>
              <w:rPr>
                <w:rFonts w:ascii="ËÎÌå" w:hAnsi="ËÎÌå" w:eastAsia="ËÎÌå" w:cs="Calibri"/>
                <w:color w:val="000000"/>
                <w:sz w:val="22"/>
                <w:szCs w:val="24"/>
                <w:highlight w:val="none"/>
                <w:shd w:val="clear" w:color="auto" w:fill="auto"/>
              </w:rPr>
            </w:pPr>
          </w:p>
        </w:tc>
      </w:tr>
      <w:tr>
        <w:tblPrEx>
          <w:tblLayout w:type="fixed"/>
          <w:tblCellMar>
            <w:top w:w="0" w:type="dxa"/>
            <w:left w:w="108" w:type="dxa"/>
            <w:bottom w:w="0" w:type="dxa"/>
            <w:right w:w="108" w:type="dxa"/>
          </w:tblCellMar>
        </w:tblPrEx>
        <w:trPr>
          <w:trHeight w:val="402" w:hRule="atLeast"/>
          <w:jc w:val="center"/>
        </w:trPr>
        <w:tc>
          <w:tcPr>
            <w:tcW w:w="12120" w:type="dxa"/>
            <w:gridSpan w:val="5"/>
            <w:tcBorders>
              <w:top w:val="nil"/>
              <w:left w:val="nil"/>
              <w:bottom w:val="nil"/>
              <w:right w:val="nil"/>
              <w:tl2br w:val="nil"/>
              <w:tr2bl w:val="nil"/>
            </w:tcBorders>
          </w:tcPr>
          <w:p>
            <w:pPr>
              <w:jc w:val="left"/>
              <w:rPr>
                <w:rFonts w:ascii="ËÎÌå" w:hAnsi="ËÎÌå" w:eastAsia="ËÎÌå" w:cs="Calibri"/>
                <w:color w:val="000000"/>
                <w:sz w:val="22"/>
                <w:szCs w:val="24"/>
                <w:highlight w:val="none"/>
                <w:shd w:val="clear" w:color="auto" w:fill="auto"/>
              </w:rPr>
            </w:pPr>
            <w:r>
              <w:rPr>
                <w:rFonts w:hint="eastAsia" w:ascii="宋体" w:hAnsi="宋体" w:eastAsia="宋体" w:cs="宋体"/>
                <w:color w:val="000000"/>
                <w:sz w:val="22"/>
                <w:szCs w:val="24"/>
                <w:highlight w:val="none"/>
                <w:shd w:val="clear" w:color="auto" w:fill="auto"/>
              </w:rPr>
              <w:t>注：本表反映部门本年度国有资本经营预算财政拨款支出情况。</w:t>
            </w:r>
          </w:p>
        </w:tc>
      </w:tr>
      <w:tr>
        <w:tblPrEx>
          <w:tblLayout w:type="fixed"/>
          <w:tblCellMar>
            <w:top w:w="0" w:type="dxa"/>
            <w:left w:w="108" w:type="dxa"/>
            <w:bottom w:w="0" w:type="dxa"/>
            <w:right w:w="108" w:type="dxa"/>
          </w:tblCellMar>
        </w:tblPrEx>
        <w:trPr>
          <w:trHeight w:val="402" w:hRule="atLeast"/>
          <w:jc w:val="center"/>
        </w:trPr>
        <w:tc>
          <w:tcPr>
            <w:tcW w:w="12120" w:type="dxa"/>
            <w:gridSpan w:val="5"/>
            <w:tcBorders>
              <w:top w:val="nil"/>
              <w:left w:val="nil"/>
              <w:bottom w:val="nil"/>
              <w:right w:val="nil"/>
              <w:tl2br w:val="nil"/>
              <w:tr2bl w:val="nil"/>
            </w:tcBorders>
          </w:tcPr>
          <w:p>
            <w:pPr>
              <w:jc w:val="left"/>
              <w:rPr>
                <w:rFonts w:ascii="ËÎÌå" w:hAnsi="ËÎÌå" w:eastAsia="ËÎÌå" w:cs="Calibri"/>
                <w:color w:val="000000"/>
                <w:sz w:val="22"/>
                <w:szCs w:val="24"/>
                <w:highlight w:val="none"/>
                <w:shd w:val="clear" w:color="auto" w:fill="auto"/>
              </w:rPr>
            </w:pPr>
          </w:p>
        </w:tc>
      </w:tr>
    </w:tbl>
    <w:p>
      <w:pPr>
        <w:rPr>
          <w:highlight w:val="none"/>
          <w:shd w:val="clear" w:color="auto" w:fill="auto"/>
        </w:rPr>
      </w:pPr>
    </w:p>
    <w:p>
      <w:pPr>
        <w:rPr>
          <w:rFonts w:hint="eastAsia" w:ascii="仿宋" w:hAnsi="仿宋" w:eastAsia="仿宋"/>
          <w:b/>
          <w:bCs/>
          <w:sz w:val="24"/>
          <w:szCs w:val="24"/>
          <w:highlight w:val="none"/>
          <w:shd w:val="clear" w:color="auto" w:fill="auto"/>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 w:hAnsi="仿宋" w:eastAsia="仿宋"/>
          <w:b/>
          <w:bCs/>
          <w:sz w:val="24"/>
          <w:szCs w:val="24"/>
          <w:highlight w:val="none"/>
          <w:shd w:val="clear" w:color="auto" w:fill="auto"/>
        </w:rPr>
        <w:br w:type="page"/>
      </w:r>
    </w:p>
    <w:p>
      <w:pPr>
        <w:rPr>
          <w:rFonts w:hint="eastAsia" w:ascii="仿宋" w:hAnsi="仿宋" w:eastAsia="仿宋"/>
          <w:b/>
          <w:bCs/>
          <w:sz w:val="24"/>
          <w:szCs w:val="24"/>
          <w:highlight w:val="none"/>
          <w:shd w:val="clear" w:color="auto" w:fill="auto"/>
        </w:rPr>
      </w:pPr>
    </w:p>
    <w:p>
      <w:pPr>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第三部分2021年度部门决算情况说明</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一、收入支出决算总体情况说明</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2021年度收、支总计44937.91万元。与上年相比，增加3355.35万元，增长8.07%，主要是因为本年度项目经费预算安排增加。</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二、收入决算情况说明</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本年收入合计43702.79万元，其中：财政拨款收入35225.46万元，占80.60%；上级补助收入0万元，占0%；事业收入0万元，占0%；经营收入0万元，占0%；附属单位上缴收入0万元，占0%；其他收入8477.33万元，占19.40%。</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三、支出决算情况说明</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本年支出合计38608.88元，其中：基本支出3789.86万元，占9.82%；项目支出34819.01万元，占90.18%；上缴上级支出0万元，占0%；经营支出0万元，占0%；对附属单位补助支出0万元，占0%。</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四、财政拨款收入支出决算总体情况说明</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sz w:val="24"/>
          <w:szCs w:val="24"/>
          <w:highlight w:val="none"/>
          <w:shd w:val="clear" w:color="auto" w:fill="auto"/>
        </w:rPr>
        <w:t>2021年度财政拨款收、支总计36460.58万元，与上年相比，减少3886.86万元,减少9.63%，主要是因为本年度部分项目进度较慢未验收相比往年支付减少。</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五、一般公共预算财政拨款支出决算情况说明</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（一）一般公共预算财政拨款支出决算总体情况</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2021年度一般公共预算财政拨款支出36460.58万元，占本年支出合计的100%，与上年相比，财政拨款支出增加3716.75万元，增长11.35%，主要是因为本年度财政项目经费预算安排增加，相应支出增加。</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（二）一般公共预算财政拨款支出决算结构情况</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2021年度一般公共预算财政拨款支出36460.58万元，主要用于以下方面：科学技术（类）支出5万元，占0.01%;社会保障和就业（类）支出152.</w:t>
      </w:r>
      <w:r>
        <w:rPr>
          <w:rFonts w:hint="eastAsia" w:ascii="仿宋" w:hAnsi="仿宋" w:eastAsia="仿宋"/>
          <w:sz w:val="24"/>
          <w:szCs w:val="24"/>
          <w:highlight w:val="none"/>
          <w:shd w:val="clear" w:color="auto" w:fill="auto"/>
          <w:lang w:val="en-US" w:eastAsia="zh-CN"/>
        </w:rPr>
        <w:t>6</w:t>
      </w:r>
      <w:r>
        <w:rPr>
          <w:rFonts w:hint="eastAsia" w:ascii="仿宋" w:hAnsi="仿宋" w:eastAsia="仿宋"/>
          <w:sz w:val="24"/>
          <w:szCs w:val="24"/>
          <w:highlight w:val="none"/>
          <w:shd w:val="clear" w:color="auto" w:fill="auto"/>
        </w:rPr>
        <w:t>万元，占0.4</w:t>
      </w:r>
      <w:r>
        <w:rPr>
          <w:rFonts w:hint="eastAsia" w:ascii="仿宋" w:hAnsi="仿宋" w:eastAsia="仿宋"/>
          <w:sz w:val="24"/>
          <w:szCs w:val="24"/>
          <w:highlight w:val="none"/>
          <w:shd w:val="clear" w:color="auto" w:fill="auto"/>
          <w:lang w:val="en-US" w:eastAsia="zh-CN"/>
        </w:rPr>
        <w:t>2</w:t>
      </w:r>
      <w:r>
        <w:rPr>
          <w:rFonts w:hint="eastAsia" w:ascii="仿宋" w:hAnsi="仿宋" w:eastAsia="仿宋"/>
          <w:sz w:val="24"/>
          <w:szCs w:val="24"/>
          <w:highlight w:val="none"/>
          <w:shd w:val="clear" w:color="auto" w:fill="auto"/>
        </w:rPr>
        <w:t>%；节能环保（类）支出1889.59万元，占5.1</w:t>
      </w:r>
      <w:r>
        <w:rPr>
          <w:rFonts w:hint="eastAsia" w:ascii="仿宋" w:hAnsi="仿宋" w:eastAsia="仿宋"/>
          <w:sz w:val="24"/>
          <w:szCs w:val="24"/>
          <w:highlight w:val="none"/>
          <w:shd w:val="clear" w:color="auto" w:fill="auto"/>
          <w:lang w:val="en-US" w:eastAsia="zh-CN"/>
        </w:rPr>
        <w:t>8</w:t>
      </w:r>
      <w:r>
        <w:rPr>
          <w:rFonts w:hint="eastAsia" w:ascii="仿宋" w:hAnsi="仿宋" w:eastAsia="仿宋"/>
          <w:sz w:val="24"/>
          <w:szCs w:val="24"/>
          <w:highlight w:val="none"/>
          <w:shd w:val="clear" w:color="auto" w:fill="auto"/>
        </w:rPr>
        <w:t>%;</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支出31632.82万元，占86.76%;交通运输（类）支出162.86万元，占0.45%;商业服务业等（类）支出1968.09万元，占5.4%;粮油物资储备（类）支出649.62万元，占1.78%。</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（三）一般公共预算财政拨款支出决算具体情况</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2021年度一般公共预算财政拨款支出年初预算数为35225.46万元，支出决算数为36460.58万元，完成年初预算的103.51%，其中：</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1、科学技术</w:t>
      </w:r>
      <w:r>
        <w:rPr>
          <w:rFonts w:hint="eastAsia" w:ascii="仿宋" w:hAnsi="仿宋" w:eastAsia="仿宋"/>
          <w:sz w:val="24"/>
          <w:szCs w:val="24"/>
          <w:highlight w:val="none"/>
          <w:shd w:val="clear" w:color="auto" w:fill="auto"/>
          <w:lang w:val="en-US" w:eastAsia="zh-CN"/>
        </w:rPr>
        <w:t>支出</w:t>
      </w:r>
      <w:r>
        <w:rPr>
          <w:rFonts w:hint="eastAsia" w:ascii="仿宋" w:hAnsi="仿宋" w:eastAsia="仿宋"/>
          <w:sz w:val="24"/>
          <w:szCs w:val="24"/>
          <w:highlight w:val="none"/>
          <w:shd w:val="clear" w:color="auto" w:fill="auto"/>
        </w:rPr>
        <w:t>（类）技术研究与开发（款）科技成果转化与扩散（项）。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年初预算为5万元，支出决算为5万元，完成年初预算的100%。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2、社会保障和就业</w:t>
      </w:r>
      <w:r>
        <w:rPr>
          <w:rFonts w:hint="eastAsia" w:ascii="仿宋" w:hAnsi="仿宋" w:eastAsia="仿宋"/>
          <w:sz w:val="24"/>
          <w:szCs w:val="24"/>
          <w:highlight w:val="none"/>
          <w:shd w:val="clear" w:color="auto" w:fill="auto"/>
          <w:lang w:val="en-US" w:eastAsia="zh-CN"/>
        </w:rPr>
        <w:t>支出</w:t>
      </w:r>
      <w:r>
        <w:rPr>
          <w:rFonts w:hint="eastAsia" w:ascii="仿宋" w:hAnsi="仿宋" w:eastAsia="仿宋"/>
          <w:sz w:val="24"/>
          <w:szCs w:val="24"/>
          <w:highlight w:val="none"/>
          <w:shd w:val="clear" w:color="auto" w:fill="auto"/>
        </w:rPr>
        <w:t>（类）抚恤（款）死亡抚恤（项）。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年初预算为107.49万元，支出决算为107.49万元，完成年初预算的100%。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3、社会保障和就业（类）财政对其他社会保险基金的补助（款)其他财政对社会保险基金的补助（项）。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年初预算为45.11万元，支出决算为45.11万元，完成年初预算的100%。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4、节能环保（类）污染防治（款）其他污染防治支出（项）。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年初预算为952.59万元，支出决算为952.59万元，完成年初预算的100%。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5、节能环保（类）其他节能环保（款）其他节能环保支出（项）。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年初预算为937万元，支出决算为937万元，完成年初预算的100%。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6、</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 xml:space="preserve"> 农业农村（款）行政运行（项）。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年初预算为1356.96万元，支出决算为1356.96万元，完成年初预算的100%。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7、</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 xml:space="preserve"> 农业农村（款）一般行政管理事务（项）。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年初预算为526.36万元，支出决算为526.36万元，完成年初预算的100%。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8、</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 xml:space="preserve"> 农业农村（款）农垦运行（项）。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年初预算为123万元，支出决算为123万元，完成年初预算的100%。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9、</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 xml:space="preserve"> 农业农村（款）科技转化与推广服务（项）。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年初预算为771.27万元，支出决算为771.27万元，完成年初预算的100%。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10、</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农业农村（款）病虫害控制（项）。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年初预算为1652.61万元，支出决算为1652.61万元，完成年初预算的100%。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11、</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农业农村（款）农产品质量安全（项）。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年初预算为155.83万元，支出决算为155.83万元，完成年初预算的100%。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12、</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农业农村（款）执法监管（项）。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年初预算为162.35万元，支出决算为162.35万元，完成年初预算的100%。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13、</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农业农村（款）对外交流与合作（项）。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年初预算为10万元，支出决算为10万元，完成年初预算的100%。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14、</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农业农村（款）防灾救灾（项）。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年初预算为102.38万元，支出决算为102.38万元，完成年初预算的100%。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15、</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农业农村（款）农业结构调整补贴（项）。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年初预算为757.55万元，支出决算为757.55万元，完成年初预算的100%。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16、</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农业农村（款）农业生产发展（项）。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年初预算为16480.99万元，支出决算为16480.99万元，完成年初预算的100%。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17、</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农业农村（款）农村合作经济（项）。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年初预算为105万元，支出决算为105万元，完成年初预算的100%.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18、</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农业农村（款）农产品加工与促销（项）。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年初预算为139.55万元，支出决算为139.55万元，完成年初预算的100%。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19、</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农业农村（款）农村社会事业（项）。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年初预算为1741.7万元，支出决算为1741.7万元，完成年初预算的100%。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20、</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农业农村（款）农业资源保护修复与利用（项）。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年初预算为388.9万元，支出决算为388.9万元，完成年初预算的100%。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21、</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农业农村（款）成品油价格改革对渔业的补贴（项）。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年初预算为28.41万元，支出决算为28.41万元，完成年初预算的100%。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22、</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农业农村（款）其他农业农村支出（项）。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年初预算为2701.27万元，支出决算为3936.39万元，完成年初预算的145.72%，决算数大于年初预算数的主要原因是：上年未验收项目于本年验收并支付。</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23、</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林业和草原（款）行政运行（项）。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年初预算为2050.52万元，支出决算为2050.52万元，完成年初预算的100%。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24、</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扶贫（款）一般行政管理事务（项）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年初预算为56.8万元，支出决算为56.8万元，完成年初预算100%。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25、</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扶贫（款）生产发展（项）。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年初预算为438.76万元，支出决算为438.76万元，完成年初预算100%。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26、</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扶贫（款）其他扶贫支出（项）。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年初预算为630万元，支出决算为630万元，完成年初预算的100%。</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sz w:val="24"/>
          <w:szCs w:val="24"/>
          <w:highlight w:val="none"/>
          <w:shd w:val="clear" w:color="auto" w:fill="auto"/>
        </w:rPr>
        <w:t>27、</w:t>
      </w:r>
      <w:r>
        <w:rPr>
          <w:rFonts w:hint="eastAsia" w:ascii="仿宋" w:hAnsi="仿宋" w:eastAsia="仿宋"/>
          <w:sz w:val="24"/>
          <w:szCs w:val="24"/>
          <w:highlight w:val="none"/>
          <w:shd w:val="clear" w:color="auto" w:fill="auto"/>
          <w:lang w:eastAsia="zh-CN"/>
        </w:rPr>
        <w:t>农林水支出（类）</w:t>
      </w:r>
      <w:r>
        <w:rPr>
          <w:rFonts w:hint="eastAsia" w:ascii="仿宋" w:hAnsi="仿宋" w:eastAsia="仿宋"/>
          <w:sz w:val="24"/>
          <w:szCs w:val="24"/>
          <w:highlight w:val="none"/>
          <w:shd w:val="clear" w:color="auto" w:fill="auto"/>
        </w:rPr>
        <w:t>其他农林水支出（款）</w:t>
      </w:r>
      <w:r>
        <w:rPr>
          <w:rFonts w:hint="eastAsia" w:ascii="仿宋" w:hAnsi="仿宋" w:eastAsia="仿宋"/>
          <w:color w:val="auto"/>
          <w:sz w:val="24"/>
          <w:szCs w:val="24"/>
          <w:highlight w:val="none"/>
          <w:shd w:val="clear" w:color="auto" w:fill="auto"/>
        </w:rPr>
        <w:t>其他农林水支出（项）。</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年初预算为</w:t>
      </w:r>
      <w:r>
        <w:rPr>
          <w:rFonts w:hint="eastAsia" w:ascii="仿宋" w:hAnsi="仿宋" w:eastAsia="仿宋"/>
          <w:color w:val="auto"/>
          <w:sz w:val="24"/>
          <w:szCs w:val="24"/>
          <w:highlight w:val="none"/>
          <w:shd w:val="clear" w:color="auto" w:fill="auto"/>
          <w:lang w:val="en-US" w:eastAsia="zh-CN"/>
        </w:rPr>
        <w:t>17.5</w:t>
      </w:r>
      <w:r>
        <w:rPr>
          <w:rFonts w:hint="eastAsia" w:ascii="仿宋" w:hAnsi="仿宋" w:eastAsia="仿宋"/>
          <w:color w:val="auto"/>
          <w:sz w:val="24"/>
          <w:szCs w:val="24"/>
          <w:highlight w:val="none"/>
          <w:shd w:val="clear" w:color="auto" w:fill="auto"/>
        </w:rPr>
        <w:t>万元，支出决算为</w:t>
      </w:r>
      <w:r>
        <w:rPr>
          <w:rFonts w:hint="eastAsia" w:ascii="仿宋" w:hAnsi="仿宋" w:eastAsia="仿宋"/>
          <w:color w:val="auto"/>
          <w:sz w:val="24"/>
          <w:szCs w:val="24"/>
          <w:highlight w:val="none"/>
          <w:shd w:val="clear" w:color="auto" w:fill="auto"/>
          <w:lang w:val="en-US" w:eastAsia="zh-CN"/>
        </w:rPr>
        <w:t>17.5</w:t>
      </w:r>
      <w:r>
        <w:rPr>
          <w:rFonts w:hint="eastAsia" w:ascii="仿宋" w:hAnsi="仿宋" w:eastAsia="仿宋"/>
          <w:color w:val="auto"/>
          <w:sz w:val="24"/>
          <w:szCs w:val="24"/>
          <w:highlight w:val="none"/>
          <w:shd w:val="clear" w:color="auto" w:fill="auto"/>
        </w:rPr>
        <w:t>万元，完成年初预算的100%。</w:t>
      </w:r>
    </w:p>
    <w:p>
      <w:pPr>
        <w:spacing w:line="320" w:lineRule="exact"/>
        <w:ind w:firstLine="602"/>
        <w:rPr>
          <w:rFonts w:hint="eastAsia" w:ascii="仿宋" w:hAnsi="仿宋" w:eastAsia="仿宋"/>
          <w:color w:val="auto"/>
          <w:sz w:val="24"/>
          <w:szCs w:val="24"/>
          <w:highlight w:val="none"/>
          <w:shd w:val="clear" w:color="auto" w:fill="auto"/>
        </w:rPr>
      </w:pPr>
      <w:r>
        <w:rPr>
          <w:rFonts w:hint="eastAsia" w:ascii="仿宋" w:hAnsi="仿宋" w:eastAsia="仿宋"/>
          <w:color w:val="auto"/>
          <w:sz w:val="24"/>
          <w:szCs w:val="24"/>
          <w:highlight w:val="none"/>
          <w:shd w:val="clear" w:color="auto" w:fill="auto"/>
        </w:rPr>
        <w:t>28、交通运输</w:t>
      </w:r>
      <w:r>
        <w:rPr>
          <w:rFonts w:hint="eastAsia" w:ascii="仿宋" w:hAnsi="仿宋" w:eastAsia="仿宋"/>
          <w:color w:val="auto"/>
          <w:sz w:val="24"/>
          <w:szCs w:val="24"/>
          <w:highlight w:val="none"/>
          <w:shd w:val="clear" w:color="auto" w:fill="auto"/>
          <w:lang w:val="en-US" w:eastAsia="zh-CN"/>
        </w:rPr>
        <w:t>支出</w:t>
      </w:r>
      <w:r>
        <w:rPr>
          <w:rFonts w:hint="eastAsia" w:ascii="仿宋" w:hAnsi="仿宋" w:eastAsia="仿宋"/>
          <w:color w:val="auto"/>
          <w:sz w:val="24"/>
          <w:szCs w:val="24"/>
          <w:highlight w:val="none"/>
          <w:shd w:val="clear" w:color="auto" w:fill="auto"/>
        </w:rPr>
        <w:t>（类）成品油价格改革对交通运输补贴（款）成品油价格改革补贴其他支出（项）。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年初预算为162.86万元，支出决算为162.86万元，完成年初预算的100%。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29、商业服务业等</w:t>
      </w:r>
      <w:r>
        <w:rPr>
          <w:rFonts w:hint="eastAsia" w:ascii="仿宋" w:hAnsi="仿宋" w:eastAsia="仿宋"/>
          <w:sz w:val="24"/>
          <w:szCs w:val="24"/>
          <w:highlight w:val="none"/>
          <w:shd w:val="clear" w:color="auto" w:fill="auto"/>
          <w:lang w:val="en-US" w:eastAsia="zh-CN"/>
        </w:rPr>
        <w:t>支出</w:t>
      </w:r>
      <w:r>
        <w:rPr>
          <w:rFonts w:hint="eastAsia" w:ascii="仿宋" w:hAnsi="仿宋" w:eastAsia="仿宋"/>
          <w:sz w:val="24"/>
          <w:szCs w:val="24"/>
          <w:highlight w:val="none"/>
          <w:shd w:val="clear" w:color="auto" w:fill="auto"/>
        </w:rPr>
        <w:t>（类）商业流通事务（款）其他商业流通事务支出（项）。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年初预算为1968.09万元，支出决算为1968.09万元，完成年初预算的100%。</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30、粮油物资储备</w:t>
      </w:r>
      <w:r>
        <w:rPr>
          <w:rFonts w:hint="eastAsia" w:ascii="仿宋" w:hAnsi="仿宋" w:eastAsia="仿宋"/>
          <w:sz w:val="24"/>
          <w:szCs w:val="24"/>
          <w:highlight w:val="none"/>
          <w:shd w:val="clear" w:color="auto" w:fill="auto"/>
          <w:lang w:val="en-US" w:eastAsia="zh-CN"/>
        </w:rPr>
        <w:t>支出</w:t>
      </w:r>
      <w:r>
        <w:rPr>
          <w:rFonts w:hint="eastAsia" w:ascii="仿宋" w:hAnsi="仿宋" w:eastAsia="仿宋"/>
          <w:sz w:val="24"/>
          <w:szCs w:val="24"/>
          <w:highlight w:val="none"/>
          <w:shd w:val="clear" w:color="auto" w:fill="auto"/>
        </w:rPr>
        <w:t>（类）粮油物资事务（款）其他粮油物资事务支出（项）。</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年初预算为649.62万元，支出决算为649.62万元，完成年初预算的100%。</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六、一般公共预算财政拨款基本支出决算情况说明</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2021年度财政拨款基本支出3789.86万元，其中：人员经费3198.53万元，占基本支出的84.40%,主要包括基本工资、津贴补贴、奖金、伙食补助费基本养老保险、职业年金、基本医疗保险、公务员医疗补助、其他社会保障费、住房公积金、其他工资福利支出、对个人和家庭的补助、抚恤金、其他对个人和家庭的补助；公用经费591.33万元，占基本支出的15.60%，主要包括办公费、印刷费、咨询费、手续费、水电费、邮电费、维修维护费、租赁费、公务接待、委托业务费、公车运行维护费、其他交通费用。</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七、一般公共预算财政拨款三公经费支出决算情况说明</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（一）“三公”经费财政拨款支出决算总体情况说明</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“三公”经费财政拨款支出预算为60.40万元，支出决算为60.07万元，完成预算的99.45%，其中：</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因公出国（境）费支出预算为0万元，支出决算为0万元，完成预算的0%，与上年相比减少0万元,主要原因是无因公出国（境）费支出。</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公务接待费支出预算为41.20万元，支出决算为41.13万元，完成预算的99.83%，决算数小于预算数的主要原因是厉行节俭，压缩经费支出，与上年相比减少0.05万元，减少0.11%,减少的主要原因是：一、因机构改革，部分职能划转到农业发展服务中心，二、根据上级要求进行三公经费支出压减。</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公务用车购置费及运行维护费支出预算为19.2万元</w:t>
      </w:r>
      <w:r>
        <w:rPr>
          <w:rFonts w:hint="eastAsia" w:ascii="仿宋" w:hAnsi="仿宋" w:eastAsia="仿宋"/>
          <w:sz w:val="24"/>
          <w:szCs w:val="24"/>
          <w:highlight w:val="none"/>
          <w:shd w:val="clear" w:color="auto" w:fill="auto"/>
          <w:lang w:eastAsia="zh-CN"/>
        </w:rPr>
        <w:t>，</w:t>
      </w:r>
      <w:r>
        <w:rPr>
          <w:rFonts w:hint="eastAsia" w:ascii="仿宋" w:hAnsi="仿宋" w:eastAsia="仿宋"/>
          <w:sz w:val="24"/>
          <w:szCs w:val="24"/>
          <w:highlight w:val="none"/>
          <w:shd w:val="clear" w:color="auto" w:fill="auto"/>
        </w:rPr>
        <w:t>支出决算为18.94万元（其中，公务用车购置费0万元，公务用车运行费18.94万元），完成预算的98.65%，决算数小于预算数的主要原因是根据上级要求进行三公经费支出压减，与上年相比减少0.12万元，减少0.65%,减少的主要原因是根据上级要求进行三公经费支出压减。</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（二）“三公”经费财政拨款支出决算具体情况说明</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2021年度“三公”经费财政拨款支出决算中，公务接待费支出决算41.13万元，占68.47%,因公出国（境）费支出决算0万元，占0%,公务用车购置费及运行维护费支出决算18.94万元，占31.53%。其中：</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1、因公出国（境）费支出决算为0万元，全年安排因公出国（境）团组0个，累计0次。</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2、公务接待费支出决算为41.13万元，全年共接待来访团组700个、来宾6855人次，主要是招商引资、信访维稳、项目前期工作会议、农民培训活动、基层农技推广会议等相关项目发生的接待支出。</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3、公务用车购置费及运行维护费支出决算为18.94万元，其中：公务用车购置费0万元，无（单位本级或某二级机构）更新公务用车0辆，公务用车运行维护费18.94万元，主要是公务用车加油费、过桥过路费及维护修理支出，截止2021年12月31日，我单位开支财政拨款的公务用车保有量为4辆。</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八、政府性基金预算收入支出决算情况</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2021年度政府性基金预算财政拨款收入0万元；年初结转和结余0万元；支出0万元，其中基本支出0万元，项目支出0万元；年末结转和结余0万元。(本单位无政府性基金收支）</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九、关于机关运行经费支出说明</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本部门2021年度机关运行经费支出591.33万元，比上年决算数减少348.51万元，降低37.08%。主要原因是：一方面因为机构改革，部分职能划转到农业发展服务中心，另一方面按照相关规定进行经费压减。</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十、一般性支出情况</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2021年本部门开支会议费2.38万元，用于召开单位培训及日常活动会议，人数596人次，内容为项目会议会、日常工作会议、培训活动；开支培训费</w:t>
      </w:r>
      <w:r>
        <w:rPr>
          <w:rFonts w:hint="eastAsia" w:ascii="仿宋" w:hAnsi="仿宋" w:eastAsia="仿宋"/>
          <w:sz w:val="24"/>
          <w:szCs w:val="24"/>
          <w:highlight w:val="none"/>
          <w:shd w:val="clear" w:color="auto" w:fill="auto"/>
          <w:lang w:val="en-US" w:eastAsia="zh-CN"/>
        </w:rPr>
        <w:t>24.06</w:t>
      </w:r>
      <w:r>
        <w:rPr>
          <w:rFonts w:hint="eastAsia" w:ascii="仿宋" w:hAnsi="仿宋" w:eastAsia="仿宋"/>
          <w:sz w:val="24"/>
          <w:szCs w:val="24"/>
          <w:highlight w:val="none"/>
          <w:shd w:val="clear" w:color="auto" w:fill="auto"/>
        </w:rPr>
        <w:t>万元，用于开展农民培训、农药执法监管培训</w:t>
      </w:r>
      <w:r>
        <w:rPr>
          <w:rFonts w:hint="eastAsia" w:ascii="仿宋" w:hAnsi="仿宋" w:eastAsia="仿宋"/>
          <w:sz w:val="24"/>
          <w:szCs w:val="24"/>
          <w:highlight w:val="none"/>
          <w:shd w:val="clear" w:color="auto" w:fill="auto"/>
          <w:lang w:eastAsia="zh-CN"/>
        </w:rPr>
        <w:t>、专业技术人员培训等</w:t>
      </w:r>
      <w:r>
        <w:rPr>
          <w:rFonts w:hint="eastAsia" w:ascii="仿宋" w:hAnsi="仿宋" w:eastAsia="仿宋"/>
          <w:sz w:val="24"/>
          <w:szCs w:val="24"/>
          <w:highlight w:val="none"/>
          <w:shd w:val="clear" w:color="auto" w:fill="auto"/>
        </w:rPr>
        <w:t>，人数9986人次，内容为农民素质教育培训、农技人员培训、</w:t>
      </w:r>
      <w:r>
        <w:rPr>
          <w:rFonts w:hint="eastAsia" w:ascii="仿宋" w:hAnsi="仿宋" w:eastAsia="仿宋"/>
          <w:sz w:val="24"/>
          <w:szCs w:val="24"/>
          <w:highlight w:val="none"/>
          <w:shd w:val="clear" w:color="auto" w:fill="auto"/>
          <w:lang w:eastAsia="zh-CN"/>
        </w:rPr>
        <w:t>事业人员继续教育、支部培训</w:t>
      </w:r>
      <w:r>
        <w:rPr>
          <w:rFonts w:hint="eastAsia" w:ascii="仿宋" w:hAnsi="仿宋" w:eastAsia="仿宋"/>
          <w:sz w:val="24"/>
          <w:szCs w:val="24"/>
          <w:highlight w:val="none"/>
          <w:shd w:val="clear" w:color="auto" w:fill="auto"/>
        </w:rPr>
        <w:t>等；举办日常工作活动等节庆、晚会、论坛、赛事活动，开支0万元。</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十一、关于政府采购支出说明</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本部门2021年度政府采购支出总额1334.69万元，其中：政府采购货物支出501.75万元、政府采购工程支出0万元、政府采购服务支出832.94万元。授予中小企业合同金额0万元，占政府采购支出总额的0%，其中：授予小微企业合同金额0万元，占政府采购支出总额的0%。</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十二、关于国有资产占用情况说明</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截至2021年12月31日，本单位共有车辆4辆，其中，主要领导干部用车0辆，机要通信用车0辆、应急保障用车0辆、执法执勤用车4辆、特种专业技术用车0辆、其他用车0辆；单位价值50万元以上通用设备0台（套）；单位价值100万元以上专用设备0台（套）。</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十三、关于2021年度预算绩效情况的说明</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根据《湘潭县财政局关于做好2021年度本级预算支出绩效自评工作的通知》的工作要求，我局继续加强了对项目资金的绩效管理工作，认真对照财政支出绩效评价指标体系进行了自评，围绕项目产出、项目效益等指标进行了评价，按要求开展预算绩效管理工作。</w:t>
      </w:r>
    </w:p>
    <w:p>
      <w:pPr>
        <w:spacing w:line="320" w:lineRule="exact"/>
        <w:ind w:firstLine="602"/>
        <w:rPr>
          <w:rFonts w:hint="eastAsia" w:ascii="仿宋" w:hAnsi="仿宋" w:eastAsia="仿宋"/>
          <w:b/>
          <w:bCs/>
          <w:sz w:val="24"/>
          <w:szCs w:val="24"/>
          <w:highlight w:val="none"/>
          <w:shd w:val="clear" w:color="auto" w:fill="auto"/>
        </w:rPr>
      </w:pPr>
      <w:r>
        <w:rPr>
          <w:rFonts w:hint="eastAsia" w:ascii="仿宋" w:hAnsi="仿宋" w:eastAsia="仿宋"/>
          <w:b/>
          <w:bCs/>
          <w:sz w:val="24"/>
          <w:szCs w:val="24"/>
          <w:highlight w:val="none"/>
          <w:shd w:val="clear" w:color="auto" w:fill="auto"/>
        </w:rPr>
        <w:t>第四部分 名词解释</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一、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二、“三公”经费：纳入财政预算管理的“三公”经费是指因公出国(境)、公务用车购置及运行、公务接待所产生的费用，其中，因公出国(境)经费包括公务出国(境)的住宿费、旅费、伙食补助费、杂费、培训费等支出;公务用车购置及运行费包括单位公务用车购置费、燃料费、维修费、过路过桥费、保险费等支出;公务接待费是指单位为执行公务和开展业务需要合理开支的接待费用，包括在接待中发生的交通费、用餐费和住宿费等支。</w:t>
      </w:r>
    </w:p>
    <w:p>
      <w:pPr>
        <w:spacing w:line="320" w:lineRule="exact"/>
        <w:ind w:firstLine="602"/>
        <w:rPr>
          <w:rFonts w:hint="eastAsia" w:ascii="仿宋" w:hAnsi="仿宋" w:eastAsia="仿宋"/>
          <w:sz w:val="24"/>
          <w:szCs w:val="24"/>
          <w:highlight w:val="none"/>
          <w:shd w:val="clear" w:color="auto" w:fill="auto"/>
        </w:rPr>
      </w:pPr>
      <w:r>
        <w:rPr>
          <w:rFonts w:hint="eastAsia" w:ascii="仿宋" w:hAnsi="仿宋" w:eastAsia="仿宋"/>
          <w:sz w:val="24"/>
          <w:szCs w:val="24"/>
          <w:highlight w:val="none"/>
          <w:shd w:val="clear" w:color="auto" w:fill="auto"/>
        </w:rPr>
        <w:t>第五部分 附件 2021年度部门整体支出绩效评价报告</w:t>
      </w:r>
    </w:p>
    <w:p>
      <w:pPr>
        <w:widowControl/>
        <w:shd w:val="clear" w:color="auto" w:fill="FFFFFF"/>
        <w:spacing w:line="480" w:lineRule="auto"/>
        <w:ind w:firstLine="480"/>
        <w:rPr>
          <w:rFonts w:ascii="宋体" w:hAnsi="宋体" w:eastAsia="宋体" w:cs="宋体"/>
          <w:color w:val="333333"/>
          <w:kern w:val="0"/>
          <w:sz w:val="19"/>
          <w:szCs w:val="19"/>
          <w:highlight w:val="none"/>
          <w:shd w:val="clear" w:color="auto" w:fill="auto"/>
        </w:rPr>
      </w:pPr>
    </w:p>
    <w:p>
      <w:pPr>
        <w:spacing w:line="560" w:lineRule="exact"/>
        <w:rPr>
          <w:rFonts w:ascii="黑体" w:hAnsi="黑体" w:eastAsia="黑体"/>
          <w:color w:val="000000"/>
          <w:sz w:val="32"/>
          <w:szCs w:val="32"/>
          <w:highlight w:val="none"/>
          <w:shd w:val="clear" w:color="auto" w:fill="auto"/>
        </w:rPr>
      </w:pPr>
      <w:r>
        <w:rPr>
          <w:rFonts w:hint="eastAsia" w:ascii="黑体" w:hAnsi="黑体" w:eastAsia="黑体"/>
          <w:color w:val="000000"/>
          <w:sz w:val="32"/>
          <w:szCs w:val="32"/>
          <w:highlight w:val="none"/>
          <w:shd w:val="clear" w:color="auto" w:fill="auto"/>
        </w:rPr>
        <w:t>附件1</w:t>
      </w:r>
    </w:p>
    <w:p>
      <w:pPr>
        <w:widowControl/>
        <w:jc w:val="left"/>
        <w:rPr>
          <w:rFonts w:hint="eastAsia" w:ascii="黑体" w:hAnsi="Calibri" w:eastAsia="黑体" w:cs="Times New Roman"/>
          <w:color w:val="000000"/>
          <w:kern w:val="0"/>
          <w:sz w:val="70"/>
          <w:szCs w:val="70"/>
          <w:highlight w:val="none"/>
          <w:shd w:val="clear" w:color="auto" w:fill="auto"/>
        </w:rPr>
      </w:pPr>
      <w:r>
        <w:rPr>
          <w:rFonts w:hint="eastAsia" w:ascii="宋体" w:hAnsi="宋体"/>
          <w:b/>
          <w:bCs/>
          <w:color w:val="000000"/>
          <w:kern w:val="0"/>
          <w:sz w:val="32"/>
          <w:szCs w:val="32"/>
          <w:highlight w:val="none"/>
          <w:shd w:val="clear" w:color="auto" w:fill="auto"/>
        </w:rPr>
        <w:t>2021年度部门整体支出绩效评价报告</w:t>
      </w:r>
    </w:p>
    <w:p>
      <w:pPr>
        <w:spacing w:line="520" w:lineRule="exact"/>
        <w:jc w:val="center"/>
        <w:rPr>
          <w:rFonts w:hint="eastAsia" w:ascii="宋体" w:hAnsi="宋体" w:eastAsia="宋体" w:cs="仿宋"/>
          <w:b/>
          <w:bCs/>
          <w:color w:val="000000"/>
          <w:kern w:val="0"/>
          <w:sz w:val="36"/>
          <w:szCs w:val="36"/>
          <w:highlight w:val="none"/>
          <w:shd w:val="clear" w:color="auto" w:fill="auto"/>
        </w:rPr>
      </w:pPr>
      <w:r>
        <w:rPr>
          <w:rFonts w:hint="eastAsia" w:ascii="宋体" w:hAnsi="宋体" w:cs="仿宋"/>
          <w:b/>
          <w:bCs/>
          <w:color w:val="000000"/>
          <w:kern w:val="0"/>
          <w:sz w:val="36"/>
          <w:szCs w:val="36"/>
          <w:highlight w:val="none"/>
          <w:shd w:val="clear" w:color="auto" w:fill="auto"/>
        </w:rPr>
        <w:t>2021年部门整体支出绩效评价自评报告公开</w:t>
      </w:r>
    </w:p>
    <w:tbl>
      <w:tblPr>
        <w:tblStyle w:val="7"/>
        <w:tblW w:w="90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384"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cs="宋体"/>
                <w:szCs w:val="21"/>
                <w:highlight w:val="none"/>
                <w:shd w:val="clear" w:color="auto" w:fill="auto"/>
              </w:rPr>
            </w:pPr>
            <w:r>
              <w:rPr>
                <w:rFonts w:hint="eastAsia" w:ascii="仿宋_GB2312" w:hAnsi="宋体" w:eastAsia="仿宋_GB2312"/>
                <w:highlight w:val="none"/>
                <w:shd w:val="clear" w:color="auto" w:fill="auto"/>
              </w:rPr>
              <w:t>部门概况</w:t>
            </w:r>
          </w:p>
        </w:tc>
        <w:tc>
          <w:tcPr>
            <w:tcW w:w="1985"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hAnsi="宋体" w:eastAsia="仿宋_GB2312" w:cs="宋体"/>
                <w:szCs w:val="21"/>
                <w:highlight w:val="none"/>
                <w:shd w:val="clear" w:color="auto" w:fill="auto"/>
              </w:rPr>
            </w:pPr>
            <w:r>
              <w:rPr>
                <w:rFonts w:hint="eastAsia" w:ascii="仿宋_GB2312" w:hAnsi="宋体" w:eastAsia="仿宋_GB2312"/>
                <w:highlight w:val="none"/>
                <w:shd w:val="clear" w:color="auto" w:fill="auto"/>
              </w:rPr>
              <w:t>单位名称</w:t>
            </w:r>
          </w:p>
        </w:tc>
        <w:tc>
          <w:tcPr>
            <w:tcW w:w="5670" w:type="dxa"/>
            <w:tcBorders>
              <w:top w:val="single" w:color="auto" w:sz="4" w:space="0"/>
              <w:left w:val="nil"/>
              <w:bottom w:val="single" w:color="auto" w:sz="4" w:space="0"/>
              <w:right w:val="single" w:color="auto" w:sz="4" w:space="0"/>
            </w:tcBorders>
            <w:vAlign w:val="center"/>
          </w:tcPr>
          <w:p>
            <w:pPr>
              <w:spacing w:line="300" w:lineRule="exact"/>
              <w:ind w:right="880" w:rightChars="419"/>
              <w:jc w:val="center"/>
              <w:rPr>
                <w:rFonts w:ascii="仿宋_GB2312" w:hAnsi="宋体" w:eastAsia="仿宋_GB2312" w:cs="宋体"/>
                <w:szCs w:val="21"/>
                <w:highlight w:val="none"/>
                <w:shd w:val="clear" w:color="auto" w:fill="auto"/>
              </w:rPr>
            </w:pPr>
            <w:r>
              <w:rPr>
                <w:rFonts w:hint="eastAsia" w:ascii="仿宋_GB2312" w:hAnsi="宋体" w:eastAsia="仿宋_GB2312"/>
                <w:highlight w:val="none"/>
                <w:shd w:val="clear" w:color="auto" w:fill="auto"/>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szCs w:val="21"/>
                <w:highlight w:val="none"/>
                <w:shd w:val="clear" w:color="auto" w:fill="auto"/>
              </w:rPr>
            </w:pPr>
          </w:p>
        </w:tc>
        <w:tc>
          <w:tcPr>
            <w:tcW w:w="1985"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hAnsi="宋体" w:eastAsia="仿宋_GB2312" w:cs="宋体"/>
                <w:szCs w:val="21"/>
                <w:highlight w:val="none"/>
                <w:shd w:val="clear" w:color="auto" w:fill="auto"/>
              </w:rPr>
            </w:pPr>
            <w:r>
              <w:rPr>
                <w:rFonts w:hint="eastAsia" w:ascii="仿宋_GB2312" w:hAnsi="宋体" w:eastAsia="仿宋_GB2312"/>
                <w:highlight w:val="none"/>
                <w:shd w:val="clear" w:color="auto" w:fill="auto"/>
              </w:rPr>
              <w:t>年度预算金额</w:t>
            </w:r>
          </w:p>
        </w:tc>
        <w:tc>
          <w:tcPr>
            <w:tcW w:w="5670" w:type="dxa"/>
            <w:tcBorders>
              <w:top w:val="single" w:color="auto" w:sz="4" w:space="0"/>
              <w:left w:val="nil"/>
              <w:bottom w:val="single" w:color="auto" w:sz="4" w:space="0"/>
              <w:right w:val="single" w:color="auto" w:sz="4" w:space="0"/>
            </w:tcBorders>
            <w:vAlign w:val="center"/>
          </w:tcPr>
          <w:p>
            <w:pPr>
              <w:spacing w:line="300" w:lineRule="exact"/>
              <w:ind w:right="880" w:rightChars="419"/>
              <w:jc w:val="center"/>
              <w:rPr>
                <w:rFonts w:ascii="仿宋_GB2312" w:hAnsi="宋体" w:eastAsia="仿宋_GB2312" w:cs="宋体"/>
                <w:szCs w:val="21"/>
                <w:highlight w:val="none"/>
                <w:shd w:val="clear" w:color="auto" w:fill="auto"/>
              </w:rPr>
            </w:pPr>
            <w:r>
              <w:rPr>
                <w:rFonts w:hint="eastAsia" w:ascii="仿宋_GB2312" w:hAnsi="宋体" w:eastAsia="仿宋_GB2312"/>
                <w:highlight w:val="none"/>
                <w:shd w:val="clear" w:color="auto" w:fill="auto"/>
              </w:rPr>
              <w:t>6379.33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szCs w:val="21"/>
                <w:highlight w:val="none"/>
                <w:shd w:val="clear" w:color="auto" w:fill="auto"/>
              </w:rPr>
            </w:pPr>
          </w:p>
        </w:tc>
        <w:tc>
          <w:tcPr>
            <w:tcW w:w="1985"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hAnsi="宋体" w:eastAsia="仿宋_GB2312" w:cs="宋体"/>
                <w:szCs w:val="21"/>
                <w:highlight w:val="none"/>
                <w:shd w:val="clear" w:color="auto" w:fill="auto"/>
              </w:rPr>
            </w:pPr>
            <w:r>
              <w:rPr>
                <w:rFonts w:hint="eastAsia" w:ascii="仿宋_GB2312" w:hAnsi="宋体" w:eastAsia="仿宋_GB2312"/>
                <w:highlight w:val="none"/>
                <w:shd w:val="clear" w:color="auto" w:fill="auto"/>
              </w:rPr>
              <w:t>单位基本职能</w:t>
            </w:r>
          </w:p>
        </w:tc>
        <w:tc>
          <w:tcPr>
            <w:tcW w:w="5670" w:type="dxa"/>
            <w:tcBorders>
              <w:top w:val="single" w:color="auto" w:sz="4" w:space="0"/>
              <w:left w:val="nil"/>
              <w:bottom w:val="single" w:color="auto" w:sz="4" w:space="0"/>
              <w:right w:val="single" w:color="auto" w:sz="4" w:space="0"/>
            </w:tcBorders>
            <w:vAlign w:val="center"/>
          </w:tcPr>
          <w:p>
            <w:pPr>
              <w:widowControl/>
              <w:shd w:val="clear" w:color="auto" w:fill="FFFFFF"/>
              <w:spacing w:line="300" w:lineRule="exact"/>
              <w:ind w:firstLine="482"/>
              <w:rPr>
                <w:rFonts w:ascii="仿宋" w:hAnsi="仿宋" w:eastAsia="仿宋" w:cs="宋体"/>
                <w:color w:val="333333"/>
                <w:kern w:val="0"/>
                <w:szCs w:val="21"/>
                <w:highlight w:val="none"/>
                <w:shd w:val="clear" w:color="auto" w:fill="auto"/>
              </w:rPr>
            </w:pPr>
            <w:r>
              <w:rPr>
                <w:rFonts w:hint="eastAsia" w:ascii="仿宋" w:hAnsi="仿宋" w:eastAsia="仿宋"/>
                <w:color w:val="333333"/>
                <w:kern w:val="0"/>
                <w:highlight w:val="none"/>
                <w:shd w:val="clear" w:color="auto" w:fill="auto"/>
              </w:rPr>
              <w:t>1、拟订全县农业农村工作的发展中长期规划并指导实施。负责全县农业综合执法，推进农业依法行政。提出有关农产品，农业财政补贴及农业产业保护的政策建议，参与制定相关政策。</w:t>
            </w:r>
          </w:p>
          <w:p>
            <w:pPr>
              <w:widowControl/>
              <w:shd w:val="clear" w:color="auto" w:fill="FFFFFF"/>
              <w:spacing w:line="300" w:lineRule="exact"/>
              <w:ind w:firstLine="482"/>
              <w:rPr>
                <w:rFonts w:hint="eastAsia" w:ascii="仿宋" w:hAnsi="仿宋" w:eastAsia="仿宋"/>
                <w:color w:val="333333"/>
                <w:kern w:val="0"/>
                <w:highlight w:val="none"/>
                <w:shd w:val="clear" w:color="auto" w:fill="auto"/>
              </w:rPr>
            </w:pPr>
            <w:r>
              <w:rPr>
                <w:rFonts w:hint="eastAsia" w:ascii="仿宋" w:hAnsi="仿宋" w:eastAsia="仿宋"/>
                <w:color w:val="333333"/>
                <w:kern w:val="0"/>
                <w:highlight w:val="none"/>
                <w:shd w:val="clear" w:color="auto" w:fill="auto"/>
              </w:rPr>
              <w:t>2、统筹推动发展农村社会事业、农村公共服务、农村文化、农村基础设施和乡村治理。牵头组织改善农村人居环境。指导农村精神文明和优秀农耕文化建设。</w:t>
            </w:r>
          </w:p>
          <w:p>
            <w:pPr>
              <w:widowControl/>
              <w:shd w:val="clear" w:color="auto" w:fill="FFFFFF"/>
              <w:spacing w:line="300" w:lineRule="exact"/>
              <w:ind w:firstLine="482"/>
              <w:rPr>
                <w:rFonts w:hint="eastAsia" w:ascii="仿宋" w:hAnsi="仿宋" w:eastAsia="仿宋"/>
                <w:color w:val="333333"/>
                <w:kern w:val="0"/>
                <w:highlight w:val="none"/>
                <w:shd w:val="clear" w:color="auto" w:fill="auto"/>
              </w:rPr>
            </w:pPr>
            <w:r>
              <w:rPr>
                <w:rFonts w:hint="eastAsia" w:ascii="仿宋" w:hAnsi="仿宋" w:eastAsia="仿宋"/>
                <w:color w:val="333333"/>
                <w:kern w:val="0"/>
                <w:highlight w:val="none"/>
                <w:shd w:val="clear" w:color="auto" w:fill="auto"/>
              </w:rPr>
              <w:t>3、贯彻执行党和国家扶贫开发工作方针、政策，负责拟定全县扶贫开发工作的政策和发展规划；负责组织、协调、指导全县精准扶贫工作，协调安排扶贫资金，并检查、监督使用情况。</w:t>
            </w:r>
          </w:p>
          <w:p>
            <w:pPr>
              <w:widowControl/>
              <w:shd w:val="clear" w:color="auto" w:fill="FFFFFF"/>
              <w:spacing w:line="300" w:lineRule="exact"/>
              <w:ind w:firstLine="482"/>
              <w:rPr>
                <w:rFonts w:hint="eastAsia" w:ascii="仿宋" w:hAnsi="仿宋" w:eastAsia="仿宋"/>
                <w:color w:val="333333"/>
                <w:kern w:val="0"/>
                <w:highlight w:val="none"/>
                <w:shd w:val="clear" w:color="auto" w:fill="auto"/>
              </w:rPr>
            </w:pPr>
            <w:r>
              <w:rPr>
                <w:rFonts w:hint="eastAsia" w:ascii="仿宋" w:hAnsi="仿宋" w:eastAsia="仿宋"/>
                <w:color w:val="333333"/>
                <w:kern w:val="0"/>
                <w:highlight w:val="none"/>
                <w:shd w:val="clear" w:color="auto" w:fill="auto"/>
              </w:rPr>
              <w:t>4、研究提出深化农村经济体制改革和巩固完善农村基本经营制度的建议。负责农村宅基地改革和管理有关工作。指导农民合作经济组织、农业社会化服务体系、新型农业经营主体建设与发展。</w:t>
            </w:r>
          </w:p>
          <w:p>
            <w:pPr>
              <w:widowControl/>
              <w:shd w:val="clear" w:color="auto" w:fill="FFFFFF"/>
              <w:spacing w:line="300" w:lineRule="exact"/>
              <w:ind w:firstLine="482"/>
              <w:rPr>
                <w:rFonts w:hint="eastAsia" w:ascii="仿宋" w:hAnsi="仿宋" w:eastAsia="仿宋"/>
                <w:color w:val="333333"/>
                <w:kern w:val="0"/>
                <w:highlight w:val="none"/>
                <w:shd w:val="clear" w:color="auto" w:fill="auto"/>
              </w:rPr>
            </w:pPr>
            <w:r>
              <w:rPr>
                <w:rFonts w:hint="eastAsia" w:ascii="仿宋" w:hAnsi="仿宋" w:eastAsia="仿宋"/>
                <w:color w:val="333333"/>
                <w:kern w:val="0"/>
                <w:highlight w:val="none"/>
                <w:shd w:val="clear" w:color="auto" w:fill="auto"/>
              </w:rPr>
              <w:t>5、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pPr>
              <w:widowControl/>
              <w:shd w:val="clear" w:color="auto" w:fill="FFFFFF"/>
              <w:spacing w:line="300" w:lineRule="exact"/>
              <w:ind w:firstLine="482"/>
              <w:rPr>
                <w:rFonts w:hint="eastAsia" w:ascii="仿宋" w:hAnsi="仿宋" w:eastAsia="仿宋"/>
                <w:color w:val="333333"/>
                <w:kern w:val="0"/>
                <w:highlight w:val="none"/>
                <w:shd w:val="clear" w:color="auto" w:fill="auto"/>
              </w:rPr>
            </w:pPr>
            <w:r>
              <w:rPr>
                <w:rFonts w:hint="eastAsia" w:ascii="仿宋" w:hAnsi="仿宋" w:eastAsia="仿宋"/>
                <w:color w:val="333333"/>
                <w:kern w:val="0"/>
                <w:highlight w:val="none"/>
                <w:shd w:val="clear" w:color="auto" w:fill="auto"/>
              </w:rPr>
              <w:t>6、负责全县种植业、畜牧业、渔业、农业机械化等农业各产业的监督管理。指导粮食等农产品生产。组织构建现代农业产业体系、生产体系、经营体系，指导农业标准化生产。负责渔政渔港监督管理。</w:t>
            </w:r>
          </w:p>
          <w:p>
            <w:pPr>
              <w:widowControl/>
              <w:shd w:val="clear" w:color="auto" w:fill="FFFFFF"/>
              <w:spacing w:line="300" w:lineRule="exact"/>
              <w:ind w:firstLine="482"/>
              <w:rPr>
                <w:rFonts w:hint="eastAsia" w:ascii="仿宋" w:hAnsi="仿宋" w:eastAsia="仿宋"/>
                <w:color w:val="333333"/>
                <w:kern w:val="0"/>
                <w:highlight w:val="none"/>
                <w:shd w:val="clear" w:color="auto" w:fill="auto"/>
              </w:rPr>
            </w:pPr>
            <w:r>
              <w:rPr>
                <w:rFonts w:hint="eastAsia" w:ascii="仿宋" w:hAnsi="仿宋" w:eastAsia="仿宋"/>
                <w:color w:val="333333"/>
                <w:kern w:val="0"/>
                <w:highlight w:val="none"/>
                <w:shd w:val="clear" w:color="auto" w:fill="auto"/>
              </w:rPr>
              <w:t>7、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pPr>
              <w:widowControl/>
              <w:shd w:val="clear" w:color="auto" w:fill="FFFFFF"/>
              <w:spacing w:line="300" w:lineRule="exact"/>
              <w:ind w:firstLine="482"/>
              <w:rPr>
                <w:rFonts w:hint="eastAsia" w:ascii="仿宋" w:hAnsi="仿宋" w:eastAsia="仿宋"/>
                <w:color w:val="333333"/>
                <w:kern w:val="0"/>
                <w:highlight w:val="none"/>
                <w:shd w:val="clear" w:color="auto" w:fill="auto"/>
              </w:rPr>
            </w:pPr>
            <w:r>
              <w:rPr>
                <w:rFonts w:hint="eastAsia" w:ascii="仿宋" w:hAnsi="仿宋" w:eastAsia="仿宋"/>
                <w:color w:val="333333"/>
                <w:kern w:val="0"/>
                <w:highlight w:val="none"/>
                <w:shd w:val="clear" w:color="auto" w:fill="auto"/>
              </w:rPr>
              <w:t>8、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pPr>
              <w:widowControl/>
              <w:shd w:val="clear" w:color="auto" w:fill="FFFFFF"/>
              <w:spacing w:line="300" w:lineRule="exact"/>
              <w:ind w:firstLine="482"/>
              <w:rPr>
                <w:rFonts w:hint="eastAsia" w:ascii="仿宋" w:hAnsi="仿宋" w:eastAsia="仿宋"/>
                <w:color w:val="333333"/>
                <w:kern w:val="0"/>
                <w:highlight w:val="none"/>
                <w:shd w:val="clear" w:color="auto" w:fill="auto"/>
              </w:rPr>
            </w:pPr>
            <w:r>
              <w:rPr>
                <w:rFonts w:hint="eastAsia" w:ascii="仿宋" w:hAnsi="仿宋" w:eastAsia="仿宋"/>
                <w:color w:val="333333"/>
                <w:kern w:val="0"/>
                <w:highlight w:val="none"/>
                <w:shd w:val="clear" w:color="auto" w:fill="auto"/>
              </w:rPr>
              <w:t>9、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pPr>
              <w:widowControl/>
              <w:shd w:val="clear" w:color="auto" w:fill="FFFFFF"/>
              <w:spacing w:line="300" w:lineRule="exact"/>
              <w:ind w:firstLine="482"/>
              <w:rPr>
                <w:rFonts w:hint="eastAsia" w:ascii="仿宋" w:hAnsi="仿宋" w:eastAsia="仿宋"/>
                <w:color w:val="333333"/>
                <w:kern w:val="0"/>
                <w:highlight w:val="none"/>
                <w:shd w:val="clear" w:color="auto" w:fill="auto"/>
              </w:rPr>
            </w:pPr>
            <w:r>
              <w:rPr>
                <w:rFonts w:hint="eastAsia" w:ascii="仿宋" w:hAnsi="仿宋" w:eastAsia="仿宋"/>
                <w:color w:val="333333"/>
                <w:kern w:val="0"/>
                <w:highlight w:val="none"/>
                <w:shd w:val="clear" w:color="auto" w:fill="auto"/>
              </w:rPr>
              <w:t>10、负责农业防灾减灾、农作物重大病虫害防治工作。指导动植物防疫检疫体系建设，组织、监督县内动植物防疫检疫工作，并组织疫情扑灭。</w:t>
            </w:r>
          </w:p>
          <w:p>
            <w:pPr>
              <w:widowControl/>
              <w:shd w:val="clear" w:color="auto" w:fill="FFFFFF"/>
              <w:spacing w:line="300" w:lineRule="exact"/>
              <w:ind w:firstLine="482"/>
              <w:rPr>
                <w:rFonts w:hint="eastAsia" w:ascii="仿宋" w:hAnsi="仿宋" w:eastAsia="仿宋"/>
                <w:color w:val="333333"/>
                <w:kern w:val="0"/>
                <w:highlight w:val="none"/>
                <w:shd w:val="clear" w:color="auto" w:fill="auto"/>
              </w:rPr>
            </w:pPr>
            <w:r>
              <w:rPr>
                <w:rFonts w:hint="eastAsia" w:ascii="仿宋" w:hAnsi="仿宋" w:eastAsia="仿宋"/>
                <w:color w:val="333333"/>
                <w:kern w:val="0"/>
                <w:highlight w:val="none"/>
                <w:shd w:val="clear" w:color="auto" w:fill="auto"/>
              </w:rPr>
              <w:t>11、负责农业投资管理。拟订农业开发规划，组织实施有关农业项目，提出农业固定资产投资规模、投资项目和县级财政资金安排的建议，负责协调安排及监督检查有关涉农、惠农项目资金，编报部门预算并组织执行。</w:t>
            </w:r>
          </w:p>
          <w:p>
            <w:pPr>
              <w:widowControl/>
              <w:shd w:val="clear" w:color="auto" w:fill="FFFFFF"/>
              <w:spacing w:line="300" w:lineRule="exact"/>
              <w:ind w:firstLine="482"/>
              <w:rPr>
                <w:rFonts w:hint="eastAsia" w:ascii="仿宋" w:hAnsi="仿宋" w:eastAsia="仿宋"/>
                <w:color w:val="333333"/>
                <w:kern w:val="0"/>
                <w:highlight w:val="none"/>
                <w:shd w:val="clear" w:color="auto" w:fill="auto"/>
              </w:rPr>
            </w:pPr>
            <w:r>
              <w:rPr>
                <w:rFonts w:hint="eastAsia" w:ascii="仿宋" w:hAnsi="仿宋" w:eastAsia="仿宋"/>
                <w:color w:val="333333"/>
                <w:kern w:val="0"/>
                <w:highlight w:val="none"/>
                <w:shd w:val="clear" w:color="auto" w:fill="auto"/>
              </w:rPr>
              <w:t>12、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pPr>
              <w:widowControl/>
              <w:shd w:val="clear" w:color="auto" w:fill="FFFFFF"/>
              <w:spacing w:line="300" w:lineRule="exact"/>
              <w:ind w:firstLine="482"/>
              <w:rPr>
                <w:rFonts w:hint="eastAsia" w:ascii="仿宋" w:hAnsi="仿宋" w:eastAsia="仿宋"/>
                <w:color w:val="333333"/>
                <w:kern w:val="0"/>
                <w:highlight w:val="none"/>
                <w:shd w:val="clear" w:color="auto" w:fill="auto"/>
              </w:rPr>
            </w:pPr>
            <w:r>
              <w:rPr>
                <w:rFonts w:hint="eastAsia" w:ascii="仿宋" w:hAnsi="仿宋" w:eastAsia="仿宋"/>
                <w:color w:val="333333"/>
                <w:kern w:val="0"/>
                <w:highlight w:val="none"/>
                <w:shd w:val="clear" w:color="auto" w:fill="auto"/>
              </w:rPr>
              <w:t>13、统一领导和管理所属的湘潭县贫困帮扶中心、湘潭县农业发展服务中心。</w:t>
            </w:r>
          </w:p>
          <w:p>
            <w:pPr>
              <w:widowControl/>
              <w:shd w:val="clear" w:color="auto" w:fill="FFFFFF"/>
              <w:spacing w:line="300" w:lineRule="exact"/>
              <w:ind w:firstLine="482"/>
              <w:rPr>
                <w:rFonts w:hint="eastAsia" w:ascii="仿宋" w:hAnsi="仿宋" w:eastAsia="仿宋"/>
                <w:color w:val="333333"/>
                <w:kern w:val="0"/>
                <w:highlight w:val="none"/>
                <w:shd w:val="clear" w:color="auto" w:fill="auto"/>
              </w:rPr>
            </w:pPr>
            <w:r>
              <w:rPr>
                <w:rFonts w:hint="eastAsia" w:ascii="仿宋" w:hAnsi="仿宋" w:eastAsia="仿宋"/>
                <w:color w:val="333333"/>
                <w:kern w:val="0"/>
                <w:highlight w:val="none"/>
                <w:shd w:val="clear" w:color="auto" w:fill="auto"/>
              </w:rPr>
              <w:t>14、完成县委、县政府交办的其他任务。</w:t>
            </w:r>
          </w:p>
          <w:p>
            <w:pPr>
              <w:widowControl/>
              <w:shd w:val="clear" w:color="auto" w:fill="FFFFFF"/>
              <w:spacing w:line="300" w:lineRule="exact"/>
              <w:ind w:firstLine="482"/>
              <w:rPr>
                <w:rFonts w:hint="eastAsia" w:ascii="仿宋" w:hAnsi="仿宋" w:eastAsia="仿宋"/>
                <w:color w:val="333333"/>
                <w:kern w:val="0"/>
                <w:highlight w:val="none"/>
                <w:shd w:val="clear" w:color="auto" w:fill="auto"/>
              </w:rPr>
            </w:pPr>
            <w:r>
              <w:rPr>
                <w:rFonts w:hint="eastAsia" w:ascii="仿宋" w:hAnsi="仿宋" w:eastAsia="仿宋"/>
                <w:color w:val="333333"/>
                <w:kern w:val="0"/>
                <w:highlight w:val="none"/>
                <w:shd w:val="clear" w:color="auto" w:fill="auto"/>
              </w:rPr>
              <w:t>15、职能转变。</w:t>
            </w:r>
          </w:p>
          <w:p>
            <w:pPr>
              <w:widowControl/>
              <w:shd w:val="clear" w:color="auto" w:fill="FFFFFF"/>
              <w:spacing w:line="300" w:lineRule="exact"/>
              <w:ind w:firstLine="315" w:firstLineChars="150"/>
              <w:rPr>
                <w:rFonts w:ascii="仿宋_GB2312" w:hAnsi="宋体" w:eastAsia="仿宋_GB2312" w:cs="宋体"/>
                <w:szCs w:val="21"/>
                <w:highlight w:val="none"/>
                <w:shd w:val="clear" w:color="auto" w:fill="auto"/>
              </w:rPr>
            </w:pPr>
            <w:r>
              <w:rPr>
                <w:rFonts w:hint="eastAsia" w:ascii="仿宋" w:hAnsi="仿宋" w:eastAsia="仿宋"/>
                <w:color w:val="333333"/>
                <w:kern w:val="0"/>
                <w:highlight w:val="none"/>
                <w:shd w:val="clear" w:color="auto" w:fill="auto"/>
              </w:rPr>
              <w:t>（1）统筹实施乡村振兴战略，深化农业供给侧结构性改革，提升农业发展质量，扎实推进美丽乡村建设，推动农业全面升级、农村全面进步、农民全面发展，加快实现农业农村现代化。（2）加强农产品质量安全和相关农业生产资料、农业投入品的监督管理，严防、严管、严控质量安全风险，让人民群众吃得放心、安心。（3）加强对行业内交叉重复以及性质相同、用途相近的农业投资项目的统筹整合，加强事中事后监管，切实提升支农政策效果和资金使用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jc w:val="center"/>
        </w:trPr>
        <w:tc>
          <w:tcPr>
            <w:tcW w:w="1384" w:type="dxa"/>
            <w:vMerge w:val="restart"/>
            <w:tcBorders>
              <w:top w:val="nil"/>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cs="宋体"/>
                <w:szCs w:val="21"/>
                <w:highlight w:val="none"/>
                <w:shd w:val="clear" w:color="auto" w:fill="auto"/>
              </w:rPr>
            </w:pPr>
            <w:r>
              <w:rPr>
                <w:rFonts w:hint="eastAsia" w:ascii="仿宋_GB2312" w:hAnsi="宋体" w:eastAsia="仿宋_GB2312"/>
                <w:highlight w:val="none"/>
                <w:shd w:val="clear" w:color="auto" w:fill="auto"/>
              </w:rPr>
              <w:t>绩效完成情况</w:t>
            </w:r>
          </w:p>
        </w:tc>
        <w:tc>
          <w:tcPr>
            <w:tcW w:w="1985"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hAnsi="宋体" w:eastAsia="仿宋_GB2312" w:cs="宋体"/>
                <w:szCs w:val="21"/>
                <w:highlight w:val="none"/>
                <w:shd w:val="clear" w:color="auto" w:fill="auto"/>
              </w:rPr>
            </w:pPr>
            <w:r>
              <w:rPr>
                <w:rFonts w:hint="eastAsia" w:ascii="仿宋_GB2312" w:hAnsi="宋体" w:eastAsia="仿宋_GB2312"/>
                <w:highlight w:val="none"/>
                <w:shd w:val="clear" w:color="auto" w:fill="auto"/>
              </w:rPr>
              <w:t>部门整体支出管理和使用基本情况</w:t>
            </w:r>
          </w:p>
        </w:tc>
        <w:tc>
          <w:tcPr>
            <w:tcW w:w="5670" w:type="dxa"/>
            <w:tcBorders>
              <w:top w:val="single" w:color="auto" w:sz="4" w:space="0"/>
              <w:left w:val="nil"/>
              <w:bottom w:val="single" w:color="auto" w:sz="4" w:space="0"/>
              <w:right w:val="single" w:color="auto" w:sz="4" w:space="0"/>
            </w:tcBorders>
            <w:vAlign w:val="center"/>
          </w:tcPr>
          <w:p>
            <w:pPr>
              <w:widowControl/>
              <w:ind w:firstLine="422" w:firstLineChars="200"/>
              <w:jc w:val="left"/>
              <w:rPr>
                <w:rFonts w:ascii="仿宋_GB2312" w:hAnsi="宋体" w:eastAsia="仿宋_GB2312" w:cs="宋体"/>
                <w:color w:val="000000"/>
                <w:kern w:val="0"/>
                <w:szCs w:val="21"/>
                <w:highlight w:val="none"/>
                <w:shd w:val="clear" w:color="auto" w:fill="auto"/>
              </w:rPr>
            </w:pPr>
            <w:r>
              <w:rPr>
                <w:rFonts w:hint="eastAsia" w:ascii="仿宋_GB2312" w:hAnsi="宋体" w:eastAsia="仿宋_GB2312"/>
                <w:b/>
                <w:bCs/>
                <w:color w:val="000000"/>
                <w:kern w:val="0"/>
                <w:highlight w:val="none"/>
                <w:shd w:val="clear" w:color="auto" w:fill="auto"/>
              </w:rPr>
              <w:t>一、收入情况 。</w:t>
            </w:r>
            <w:r>
              <w:rPr>
                <w:rFonts w:hint="eastAsia" w:ascii="仿宋_GB2312" w:hAnsi="宋体" w:eastAsia="仿宋_GB2312"/>
                <w:color w:val="000000"/>
                <w:kern w:val="0"/>
                <w:highlight w:val="none"/>
                <w:shd w:val="clear" w:color="auto" w:fill="auto"/>
              </w:rPr>
              <w:t>2021年我局县级年初部门预算资金6379.33万元，其中基本支出预算2674.0343万元，项目支出预算3705.291万元。年中追加1496.4776万元，其中基本支出追加1236.4776万元，项目支出追加260万元。</w:t>
            </w:r>
          </w:p>
          <w:p>
            <w:pPr>
              <w:spacing w:line="300" w:lineRule="exact"/>
              <w:ind w:firstLine="422" w:firstLineChars="200"/>
              <w:outlineLvl w:val="0"/>
              <w:rPr>
                <w:rFonts w:ascii="仿宋_GB2312" w:hAnsi="Calibri" w:eastAsia="仿宋_GB2312" w:cs="Calibri"/>
                <w:szCs w:val="21"/>
                <w:highlight w:val="none"/>
                <w:shd w:val="clear" w:color="auto" w:fill="auto"/>
              </w:rPr>
            </w:pPr>
            <w:r>
              <w:rPr>
                <w:rFonts w:hint="eastAsia" w:ascii="仿宋_GB2312" w:hAnsi="宋体" w:eastAsia="仿宋_GB2312"/>
                <w:b/>
                <w:bCs/>
                <w:color w:val="000000"/>
                <w:kern w:val="0"/>
                <w:highlight w:val="none"/>
                <w:shd w:val="clear" w:color="auto" w:fill="auto"/>
              </w:rPr>
              <w:t>二、支出情况。</w:t>
            </w:r>
            <w:r>
              <w:rPr>
                <w:rFonts w:hint="eastAsia" w:ascii="仿宋_GB2312" w:hAnsi="宋体" w:eastAsia="仿宋_GB2312"/>
                <w:color w:val="000000"/>
                <w:kern w:val="0"/>
                <w:highlight w:val="none"/>
                <w:shd w:val="clear" w:color="auto" w:fill="auto"/>
              </w:rPr>
              <w:t>2021年基本支出预算可用指标金额3697万元，本年决算金额4478.08万元，基本支出差额-781.08万元，预算执行率121%。县级项目预算支出3705.291万元（不含县设专项），年中追加260万元，可用指标共计3965.291万元，其中30万元以上县级项目性专项3个，项目资金共计1460万元；业务性专项20个，项目资金共计2505.291万元。到2021年12月31日止，县级预算项目资金共计已支出2061.43万元，县级项目资金预算执行率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2" w:hRule="atLeast"/>
          <w:jc w:val="center"/>
        </w:trPr>
        <w:tc>
          <w:tcPr>
            <w:tcW w:w="138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szCs w:val="21"/>
                <w:highlight w:val="none"/>
                <w:shd w:val="clear" w:color="auto" w:fill="auto"/>
              </w:rPr>
            </w:pPr>
          </w:p>
        </w:tc>
        <w:tc>
          <w:tcPr>
            <w:tcW w:w="1985"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hAnsi="宋体" w:eastAsia="仿宋_GB2312" w:cs="宋体"/>
                <w:szCs w:val="21"/>
                <w:highlight w:val="none"/>
                <w:shd w:val="clear" w:color="auto" w:fill="auto"/>
              </w:rPr>
            </w:pPr>
            <w:r>
              <w:rPr>
                <w:rFonts w:hint="eastAsia" w:ascii="仿宋_GB2312" w:hAnsi="宋体" w:eastAsia="仿宋_GB2312"/>
                <w:highlight w:val="none"/>
                <w:shd w:val="clear" w:color="auto" w:fill="auto"/>
              </w:rPr>
              <w:t>绩效目标完成情况</w:t>
            </w:r>
          </w:p>
        </w:tc>
        <w:tc>
          <w:tcPr>
            <w:tcW w:w="5670" w:type="dxa"/>
            <w:tcBorders>
              <w:top w:val="single" w:color="auto" w:sz="4" w:space="0"/>
              <w:left w:val="nil"/>
              <w:bottom w:val="single" w:color="auto" w:sz="4" w:space="0"/>
              <w:right w:val="single" w:color="auto" w:sz="4" w:space="0"/>
            </w:tcBorders>
            <w:vAlign w:val="center"/>
          </w:tcPr>
          <w:p>
            <w:pPr>
              <w:spacing w:line="320" w:lineRule="exact"/>
              <w:ind w:firstLine="420" w:firstLineChars="200"/>
              <w:jc w:val="left"/>
              <w:outlineLvl w:val="0"/>
              <w:rPr>
                <w:rFonts w:ascii="仿宋_GB2312" w:hAnsi="宋体" w:eastAsia="仿宋_GB2312" w:cs="宋体"/>
                <w:szCs w:val="21"/>
                <w:highlight w:val="none"/>
                <w:shd w:val="clear" w:color="auto" w:fill="auto"/>
              </w:rPr>
            </w:pPr>
            <w:r>
              <w:rPr>
                <w:rFonts w:hint="eastAsia" w:ascii="仿宋_GB2312" w:eastAsia="仿宋_GB2312" w:cs="Calibri"/>
                <w:highlight w:val="none"/>
                <w:shd w:val="clear" w:color="auto" w:fill="auto"/>
              </w:rPr>
              <w:t>2021年各项目标任务全面完成，做到了点上出彩，线上结果，面上开花。1.全年完成粮食种植面积130.31万亩，超额完成1.9万亩，总产量69.18万吨，获得国字号荣誉</w:t>
            </w:r>
            <w:r>
              <w:rPr>
                <w:rFonts w:hint="eastAsia" w:eastAsia="仿宋_GB2312" w:cs="Calibri"/>
                <w:highlight w:val="none"/>
                <w:shd w:val="clear" w:color="auto" w:fill="auto"/>
              </w:rPr>
              <w:t>“</w:t>
            </w:r>
            <w:r>
              <w:rPr>
                <w:rFonts w:hint="eastAsia" w:ascii="仿宋_GB2312" w:eastAsia="仿宋_GB2312" w:cs="Calibri"/>
                <w:highlight w:val="none"/>
                <w:shd w:val="clear" w:color="auto" w:fill="auto"/>
              </w:rPr>
              <w:t>全国粮食生产先进单位</w:t>
            </w:r>
            <w:r>
              <w:rPr>
                <w:rFonts w:hint="eastAsia" w:eastAsia="仿宋_GB2312" w:cs="Calibri"/>
                <w:highlight w:val="none"/>
                <w:shd w:val="clear" w:color="auto" w:fill="auto"/>
              </w:rPr>
              <w:t xml:space="preserve">” </w:t>
            </w:r>
            <w:r>
              <w:rPr>
                <w:rFonts w:hint="eastAsia" w:ascii="仿宋_GB2312" w:eastAsia="仿宋_GB2312" w:cs="Calibri"/>
                <w:highlight w:val="none"/>
                <w:shd w:val="clear" w:color="auto" w:fill="auto"/>
              </w:rPr>
              <w:t>，获省政府粮食安全真抓实干督查激励奖。2.农村居民人均可支配收入预计达到2.3万余元，增速9%以上，全市排名第一。3.全县320个村全面实行农村生活垃圾处理付费制度，收缴资金近1552.36万元，先进经验在《人民日报》报道，被国家发改委作为典型经验在全国推广；完成改（新）建农村户厕11071户，超额完成年度任务20.65%；圆满完成了</w:t>
            </w:r>
            <w:r>
              <w:rPr>
                <w:rFonts w:hint="eastAsia" w:eastAsia="仿宋_GB2312" w:cs="Calibri"/>
                <w:highlight w:val="none"/>
                <w:shd w:val="clear" w:color="auto" w:fill="auto"/>
              </w:rPr>
              <w:t>“</w:t>
            </w:r>
            <w:r>
              <w:rPr>
                <w:rFonts w:hint="eastAsia" w:ascii="仿宋_GB2312" w:eastAsia="仿宋_GB2312" w:cs="Calibri"/>
                <w:highlight w:val="none"/>
                <w:shd w:val="clear" w:color="auto" w:fill="auto"/>
              </w:rPr>
              <w:t>多规合一</w:t>
            </w:r>
            <w:r>
              <w:rPr>
                <w:rFonts w:hint="eastAsia" w:eastAsia="仿宋_GB2312" w:cs="Calibri"/>
                <w:highlight w:val="none"/>
                <w:shd w:val="clear" w:color="auto" w:fill="auto"/>
              </w:rPr>
              <w:t>”</w:t>
            </w:r>
            <w:r>
              <w:rPr>
                <w:rFonts w:hint="eastAsia" w:ascii="仿宋_GB2312" w:eastAsia="仿宋_GB2312" w:cs="Calibri"/>
                <w:highlight w:val="none"/>
                <w:shd w:val="clear" w:color="auto" w:fill="auto"/>
              </w:rPr>
              <w:t>规划编制、村庄清洁等其他工作，有望荣获全省农村人居环境整治提升先进县。4.成功争取项目资金43515.97万元，其中，1000万元以上项目6个、500万元以上项目1个。成功申报省级乡村振兴重点帮扶村20个、省级乡村振兴示范创建村34个；中路铺镇柳桥村荣获全国乡村治理示范村，乌石镇荣获全省乡村治理示范镇。5.2021年农产品加工完成产值454.5亿元，增长9%；乡村产业全产业链产值完成598.07亿元，增长15%；完成蔬菜种植面积30万亩；存栏生猪82.1万头，出栏生猪125.6万头，同比增长16.5%和30%，超额完成生猪存栏年度任务；农机总动力达144.67万千瓦，农机生产总值10多亿元，农作物综合机械化率69.75%。2020年6.69万亩高标准农田项目完成扫尾验收工作；2021年7.32万亩高标准农田项目已开工，预计2022年3月完工。全县市级以上龙头企业53家，三星以上休闲农庄10家，农民合作社1824家、家庭农场1126家；全年新增农产品规模加工企业8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5" w:hRule="atLeast"/>
          <w:jc w:val="center"/>
        </w:trPr>
        <w:tc>
          <w:tcPr>
            <w:tcW w:w="1384" w:type="dxa"/>
            <w:vMerge w:val="restart"/>
            <w:tcBorders>
              <w:top w:val="nil"/>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cs="宋体"/>
                <w:szCs w:val="21"/>
                <w:highlight w:val="none"/>
                <w:shd w:val="clear" w:color="auto" w:fill="auto"/>
              </w:rPr>
            </w:pPr>
            <w:r>
              <w:rPr>
                <w:rFonts w:hint="eastAsia" w:ascii="仿宋_GB2312" w:hAnsi="宋体" w:eastAsia="仿宋_GB2312"/>
                <w:highlight w:val="none"/>
                <w:shd w:val="clear" w:color="auto" w:fill="auto"/>
              </w:rPr>
              <w:t>存在的问题分析及改进措施</w:t>
            </w:r>
          </w:p>
        </w:tc>
        <w:tc>
          <w:tcPr>
            <w:tcW w:w="1985"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hAnsi="宋体" w:eastAsia="仿宋_GB2312" w:cs="宋体"/>
                <w:szCs w:val="21"/>
                <w:highlight w:val="none"/>
                <w:shd w:val="clear" w:color="auto" w:fill="auto"/>
              </w:rPr>
            </w:pPr>
            <w:r>
              <w:rPr>
                <w:rFonts w:hint="eastAsia" w:ascii="仿宋_GB2312" w:hAnsi="宋体" w:eastAsia="仿宋_GB2312"/>
                <w:highlight w:val="none"/>
                <w:shd w:val="clear" w:color="auto" w:fill="auto"/>
              </w:rPr>
              <w:t>存在的问题</w:t>
            </w:r>
          </w:p>
        </w:tc>
        <w:tc>
          <w:tcPr>
            <w:tcW w:w="56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szCs w:val="21"/>
                <w:highlight w:val="none"/>
                <w:shd w:val="clear" w:color="auto" w:fill="auto"/>
              </w:rPr>
            </w:pPr>
            <w:r>
              <w:rPr>
                <w:rFonts w:hint="eastAsia" w:ascii="仿宋_GB2312" w:hAnsi="宋体" w:eastAsia="仿宋_GB2312"/>
                <w:color w:val="000000"/>
                <w:kern w:val="0"/>
                <w:highlight w:val="none"/>
                <w:shd w:val="clear" w:color="auto" w:fill="auto"/>
              </w:rPr>
              <w:t>1、因单位职能职责的增加，刚性支出和重点项目的投入也不断增加，基本支出资金预算缺口越来越大。2、财政资金调度紧张，造成上级项目资金结转金额较大。3、项目资金拨付一般在下年1-2月份，因此实际拨付金额与报表数据存在一定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138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szCs w:val="21"/>
                <w:highlight w:val="none"/>
                <w:shd w:val="clear" w:color="auto" w:fill="auto"/>
              </w:rPr>
            </w:pPr>
          </w:p>
        </w:tc>
        <w:tc>
          <w:tcPr>
            <w:tcW w:w="1985"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hAnsi="宋体" w:eastAsia="仿宋_GB2312" w:cs="宋体"/>
                <w:szCs w:val="21"/>
                <w:highlight w:val="none"/>
                <w:shd w:val="clear" w:color="auto" w:fill="auto"/>
              </w:rPr>
            </w:pPr>
            <w:r>
              <w:rPr>
                <w:rFonts w:hint="eastAsia" w:ascii="仿宋_GB2312" w:hAnsi="宋体" w:eastAsia="仿宋_GB2312"/>
                <w:highlight w:val="none"/>
                <w:shd w:val="clear" w:color="auto" w:fill="auto"/>
              </w:rPr>
              <w:t>改进措施</w:t>
            </w:r>
          </w:p>
        </w:tc>
        <w:tc>
          <w:tcPr>
            <w:tcW w:w="56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szCs w:val="21"/>
                <w:highlight w:val="none"/>
                <w:shd w:val="clear" w:color="auto" w:fill="auto"/>
              </w:rPr>
            </w:pPr>
            <w:r>
              <w:rPr>
                <w:rFonts w:hint="eastAsia" w:ascii="仿宋_GB2312" w:hAnsi="宋体" w:eastAsia="仿宋_GB2312"/>
                <w:color w:val="000000"/>
                <w:kern w:val="0"/>
                <w:highlight w:val="none"/>
                <w:shd w:val="clear" w:color="auto" w:fill="auto"/>
              </w:rPr>
              <w:t>1、建议增收节支，尽量减少非生产性开支。2、加强对项目的日常管理和监督，做到专款专用，专项管理。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38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szCs w:val="21"/>
                <w:highlight w:val="none"/>
                <w:shd w:val="clear" w:color="auto" w:fill="auto"/>
              </w:rPr>
            </w:pPr>
          </w:p>
        </w:tc>
        <w:tc>
          <w:tcPr>
            <w:tcW w:w="1985"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hAnsi="宋体" w:eastAsia="仿宋_GB2312" w:cs="宋体"/>
                <w:szCs w:val="21"/>
                <w:highlight w:val="none"/>
                <w:shd w:val="clear" w:color="auto" w:fill="auto"/>
              </w:rPr>
            </w:pPr>
            <w:r>
              <w:rPr>
                <w:rFonts w:hint="eastAsia" w:ascii="仿宋_GB2312" w:hAnsi="宋体" w:eastAsia="仿宋_GB2312"/>
                <w:highlight w:val="none"/>
                <w:shd w:val="clear" w:color="auto" w:fill="auto"/>
              </w:rPr>
              <w:t>其他需要说明问题</w:t>
            </w:r>
          </w:p>
        </w:tc>
        <w:tc>
          <w:tcPr>
            <w:tcW w:w="5670"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szCs w:val="21"/>
                <w:highlight w:val="none"/>
                <w:shd w:val="clear" w:color="auto" w:fill="auto"/>
              </w:rPr>
            </w:pPr>
            <w:r>
              <w:rPr>
                <w:rFonts w:hint="eastAsia" w:ascii="仿宋_GB2312" w:hAnsi="宋体" w:eastAsia="仿宋_GB2312"/>
                <w:color w:val="000000"/>
                <w:kern w:val="0"/>
                <w:highlight w:val="none"/>
                <w:shd w:val="clear" w:color="auto" w:fill="auto"/>
              </w:rPr>
              <w:t>无</w:t>
            </w:r>
          </w:p>
        </w:tc>
      </w:tr>
    </w:tbl>
    <w:p>
      <w:pPr>
        <w:widowControl/>
        <w:jc w:val="left"/>
        <w:rPr>
          <w:rFonts w:hint="eastAsia" w:ascii="黑体" w:hAnsi="黑体" w:eastAsia="黑体" w:cs="宋体"/>
          <w:color w:val="000000"/>
          <w:sz w:val="32"/>
          <w:szCs w:val="32"/>
          <w:highlight w:val="none"/>
          <w:shd w:val="clear" w:color="auto" w:fill="auto"/>
        </w:rPr>
      </w:pPr>
      <w:r>
        <w:rPr>
          <w:rFonts w:hint="eastAsia" w:ascii="黑体" w:hAnsi="黑体" w:eastAsia="黑体"/>
          <w:color w:val="000000"/>
          <w:sz w:val="32"/>
          <w:szCs w:val="32"/>
          <w:highlight w:val="none"/>
          <w:shd w:val="clear" w:color="auto" w:fill="auto"/>
        </w:rPr>
        <w:t xml:space="preserve"> </w:t>
      </w:r>
    </w:p>
    <w:p>
      <w:pPr>
        <w:widowControl/>
        <w:jc w:val="left"/>
        <w:rPr>
          <w:rFonts w:hint="eastAsia" w:ascii="黑体" w:hAnsi="黑体" w:eastAsia="黑体"/>
          <w:color w:val="000000"/>
          <w:sz w:val="32"/>
          <w:szCs w:val="32"/>
          <w:highlight w:val="none"/>
          <w:shd w:val="clear" w:color="auto" w:fill="auto"/>
        </w:rPr>
      </w:pPr>
      <w:r>
        <w:rPr>
          <w:rFonts w:hint="eastAsia" w:ascii="黑体" w:hAnsi="黑体" w:eastAsia="黑体"/>
          <w:color w:val="000000"/>
          <w:sz w:val="32"/>
          <w:szCs w:val="32"/>
          <w:highlight w:val="none"/>
          <w:shd w:val="clear" w:color="auto" w:fill="auto"/>
        </w:rPr>
        <w:t xml:space="preserve"> </w:t>
      </w:r>
    </w:p>
    <w:p>
      <w:pPr>
        <w:widowControl/>
        <w:jc w:val="left"/>
        <w:rPr>
          <w:rFonts w:hint="eastAsia" w:ascii="黑体" w:hAnsi="黑体" w:eastAsia="黑体"/>
          <w:color w:val="000000"/>
          <w:sz w:val="32"/>
          <w:szCs w:val="32"/>
          <w:highlight w:val="none"/>
          <w:shd w:val="clear" w:color="auto" w:fill="auto"/>
        </w:rPr>
      </w:pPr>
      <w:r>
        <w:rPr>
          <w:rFonts w:hint="eastAsia" w:ascii="黑体" w:hAnsi="黑体" w:eastAsia="黑体"/>
          <w:color w:val="000000"/>
          <w:sz w:val="32"/>
          <w:szCs w:val="32"/>
          <w:highlight w:val="none"/>
          <w:shd w:val="clear" w:color="auto" w:fill="auto"/>
        </w:rPr>
        <w:t xml:space="preserve"> </w:t>
      </w:r>
    </w:p>
    <w:p>
      <w:pPr>
        <w:widowControl/>
        <w:jc w:val="left"/>
        <w:rPr>
          <w:rFonts w:hint="eastAsia" w:ascii="黑体" w:hAnsi="黑体" w:eastAsia="黑体"/>
          <w:color w:val="000000"/>
          <w:sz w:val="32"/>
          <w:szCs w:val="32"/>
          <w:highlight w:val="none"/>
          <w:shd w:val="clear" w:color="auto" w:fill="auto"/>
        </w:rPr>
      </w:pPr>
      <w:r>
        <w:rPr>
          <w:rFonts w:hint="eastAsia" w:ascii="黑体" w:hAnsi="黑体" w:eastAsia="黑体"/>
          <w:color w:val="000000"/>
          <w:sz w:val="32"/>
          <w:szCs w:val="32"/>
          <w:highlight w:val="none"/>
          <w:shd w:val="clear" w:color="auto" w:fill="auto"/>
        </w:rPr>
        <w:t xml:space="preserve"> </w:t>
      </w:r>
    </w:p>
    <w:p>
      <w:pPr>
        <w:spacing w:line="360" w:lineRule="exact"/>
        <w:jc w:val="left"/>
        <w:rPr>
          <w:rFonts w:hint="eastAsia" w:ascii="仿宋_GB2312" w:hAnsi="仿宋" w:eastAsia="仿宋_GB2312" w:cs="Calibri"/>
          <w:szCs w:val="21"/>
          <w:highlight w:val="none"/>
          <w:shd w:val="clear" w:color="auto" w:fill="auto"/>
        </w:rPr>
      </w:pPr>
      <w:r>
        <w:rPr>
          <w:rFonts w:hint="eastAsia" w:ascii="仿宋_GB2312" w:hAnsi="仿宋" w:eastAsia="仿宋_GB2312" w:cs="Calibri"/>
          <w:highlight w:val="none"/>
          <w:shd w:val="clear" w:color="auto" w:fill="auto"/>
        </w:rPr>
        <w:t xml:space="preserve"> </w:t>
      </w:r>
    </w:p>
    <w:p>
      <w:pPr>
        <w:widowControl/>
        <w:jc w:val="left"/>
        <w:rPr>
          <w:rFonts w:hint="eastAsia" w:ascii="宋体" w:hAnsi="宋体" w:eastAsia="宋体" w:cs="宋体"/>
          <w:kern w:val="0"/>
          <w:sz w:val="32"/>
          <w:szCs w:val="32"/>
          <w:highlight w:val="none"/>
          <w:shd w:val="clear" w:color="auto" w:fill="auto"/>
        </w:rPr>
      </w:pPr>
      <w:r>
        <w:rPr>
          <w:rFonts w:hint="eastAsia" w:ascii="黑体" w:hAnsi="黑体" w:eastAsia="黑体"/>
          <w:color w:val="000000"/>
          <w:sz w:val="32"/>
          <w:szCs w:val="32"/>
          <w:highlight w:val="none"/>
          <w:shd w:val="clear" w:color="auto" w:fill="auto"/>
        </w:rPr>
        <w:t>附件2：</w:t>
      </w:r>
    </w:p>
    <w:p>
      <w:pPr>
        <w:snapToGrid w:val="0"/>
        <w:spacing w:line="540" w:lineRule="exact"/>
        <w:jc w:val="center"/>
        <w:rPr>
          <w:rFonts w:hint="eastAsia" w:ascii="宋体" w:hAnsi="宋体" w:cs="仿宋_GB2312"/>
          <w:b/>
          <w:bCs/>
          <w:color w:val="000000"/>
          <w:kern w:val="0"/>
          <w:sz w:val="36"/>
          <w:szCs w:val="36"/>
          <w:highlight w:val="none"/>
          <w:shd w:val="clear" w:color="auto" w:fill="auto"/>
        </w:rPr>
      </w:pPr>
      <w:r>
        <w:rPr>
          <w:rFonts w:hint="eastAsia" w:ascii="宋体" w:hAnsi="宋体" w:cs="仿宋_GB2312"/>
          <w:b/>
          <w:bCs/>
          <w:color w:val="000000"/>
          <w:kern w:val="0"/>
          <w:sz w:val="36"/>
          <w:szCs w:val="36"/>
          <w:highlight w:val="none"/>
          <w:shd w:val="clear" w:color="auto" w:fill="auto"/>
        </w:rPr>
        <w:t>专项支出绩效评价自评报告公开</w:t>
      </w:r>
    </w:p>
    <w:p>
      <w:pPr>
        <w:jc w:val="left"/>
        <w:rPr>
          <w:rFonts w:hint="eastAsia" w:ascii="宋体" w:hAnsi="Calibri" w:cs="Times New Roman"/>
          <w:color w:val="000000"/>
          <w:kern w:val="0"/>
          <w:sz w:val="32"/>
          <w:szCs w:val="32"/>
          <w:highlight w:val="none"/>
          <w:shd w:val="clear" w:color="auto" w:fill="auto"/>
        </w:rPr>
      </w:pPr>
      <w:r>
        <w:rPr>
          <w:rFonts w:hint="eastAsia" w:ascii="宋体" w:cs="Times New Roman"/>
          <w:color w:val="000000"/>
          <w:kern w:val="0"/>
          <w:sz w:val="32"/>
          <w:szCs w:val="32"/>
          <w:highlight w:val="none"/>
          <w:shd w:val="clear" w:color="auto" w:fill="auto"/>
        </w:rPr>
        <w:t xml:space="preserve"> </w:t>
      </w:r>
    </w:p>
    <w:tbl>
      <w:tblPr>
        <w:tblStyle w:val="7"/>
        <w:tblW w:w="93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7"/>
        <w:gridCol w:w="1125"/>
        <w:gridCol w:w="7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167"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宋体"/>
                <w:szCs w:val="21"/>
                <w:highlight w:val="none"/>
                <w:shd w:val="clear" w:color="auto" w:fill="auto"/>
              </w:rPr>
            </w:pPr>
            <w:r>
              <w:rPr>
                <w:rFonts w:hint="eastAsia" w:ascii="仿宋" w:hAnsi="仿宋" w:eastAsia="仿宋"/>
                <w:highlight w:val="none"/>
                <w:shd w:val="clear" w:color="auto" w:fill="auto"/>
              </w:rPr>
              <w:t>项目概况</w:t>
            </w:r>
          </w:p>
        </w:tc>
        <w:tc>
          <w:tcPr>
            <w:tcW w:w="1125" w:type="dxa"/>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cs="宋体"/>
                <w:szCs w:val="21"/>
                <w:highlight w:val="none"/>
                <w:shd w:val="clear" w:color="auto" w:fill="auto"/>
              </w:rPr>
            </w:pPr>
            <w:r>
              <w:rPr>
                <w:rFonts w:hint="eastAsia" w:ascii="仿宋" w:hAnsi="仿宋" w:eastAsia="仿宋"/>
                <w:highlight w:val="none"/>
                <w:shd w:val="clear" w:color="auto" w:fill="auto"/>
              </w:rPr>
              <w:t>专项名称</w:t>
            </w:r>
          </w:p>
        </w:tc>
        <w:tc>
          <w:tcPr>
            <w:tcW w:w="702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szCs w:val="21"/>
                <w:highlight w:val="none"/>
                <w:shd w:val="clear" w:color="auto" w:fill="auto"/>
              </w:rPr>
            </w:pPr>
            <w:r>
              <w:rPr>
                <w:rFonts w:hint="eastAsia" w:ascii="仿宋" w:hAnsi="仿宋" w:eastAsia="仿宋"/>
                <w:color w:val="000000"/>
                <w:kern w:val="0"/>
                <w:highlight w:val="none"/>
                <w:shd w:val="clear" w:color="auto" w:fill="auto"/>
              </w:rPr>
              <w:t>2021年秋冬种生产项目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1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szCs w:val="21"/>
                <w:highlight w:val="none"/>
                <w:shd w:val="clear" w:color="auto" w:fill="auto"/>
              </w:rPr>
            </w:pPr>
          </w:p>
        </w:tc>
        <w:tc>
          <w:tcPr>
            <w:tcW w:w="1125" w:type="dxa"/>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cs="宋体"/>
                <w:szCs w:val="21"/>
                <w:highlight w:val="none"/>
                <w:shd w:val="clear" w:color="auto" w:fill="auto"/>
              </w:rPr>
            </w:pPr>
            <w:r>
              <w:rPr>
                <w:rFonts w:hint="eastAsia" w:ascii="仿宋" w:hAnsi="仿宋" w:eastAsia="仿宋"/>
                <w:highlight w:val="none"/>
                <w:shd w:val="clear" w:color="auto" w:fill="auto"/>
              </w:rPr>
              <w:t>年度预算金额</w:t>
            </w:r>
          </w:p>
        </w:tc>
        <w:tc>
          <w:tcPr>
            <w:tcW w:w="702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szCs w:val="21"/>
                <w:highlight w:val="none"/>
                <w:shd w:val="clear" w:color="auto" w:fill="auto"/>
              </w:rPr>
            </w:pPr>
            <w:r>
              <w:rPr>
                <w:rFonts w:hint="eastAsia" w:ascii="仿宋" w:hAnsi="仿宋" w:eastAsia="仿宋"/>
                <w:color w:val="000000"/>
                <w:kern w:val="0"/>
                <w:highlight w:val="none"/>
                <w:shd w:val="clear" w:color="auto" w:fill="auto"/>
              </w:rPr>
              <w:t>100万元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1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szCs w:val="21"/>
                <w:highlight w:val="none"/>
                <w:shd w:val="clear" w:color="auto" w:fill="auto"/>
              </w:rPr>
            </w:pPr>
          </w:p>
        </w:tc>
        <w:tc>
          <w:tcPr>
            <w:tcW w:w="1125" w:type="dxa"/>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cs="宋体"/>
                <w:szCs w:val="21"/>
                <w:highlight w:val="none"/>
                <w:shd w:val="clear" w:color="auto" w:fill="auto"/>
              </w:rPr>
            </w:pPr>
            <w:r>
              <w:rPr>
                <w:rFonts w:hint="eastAsia" w:ascii="仿宋" w:hAnsi="仿宋" w:eastAsia="仿宋"/>
                <w:highlight w:val="none"/>
                <w:shd w:val="clear" w:color="auto" w:fill="auto"/>
              </w:rPr>
              <w:t>项目主管部门</w:t>
            </w:r>
          </w:p>
        </w:tc>
        <w:tc>
          <w:tcPr>
            <w:tcW w:w="702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szCs w:val="21"/>
                <w:highlight w:val="none"/>
                <w:shd w:val="clear" w:color="auto" w:fill="auto"/>
              </w:rPr>
            </w:pPr>
            <w:r>
              <w:rPr>
                <w:rFonts w:hint="eastAsia" w:ascii="仿宋" w:hAnsi="仿宋" w:eastAsia="仿宋"/>
                <w:color w:val="000000"/>
                <w:kern w:val="0"/>
                <w:highlight w:val="none"/>
                <w:shd w:val="clear" w:color="auto" w:fill="auto"/>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1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szCs w:val="21"/>
                <w:highlight w:val="none"/>
                <w:shd w:val="clear" w:color="auto" w:fill="auto"/>
              </w:rPr>
            </w:pPr>
          </w:p>
        </w:tc>
        <w:tc>
          <w:tcPr>
            <w:tcW w:w="1125" w:type="dxa"/>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cs="宋体"/>
                <w:szCs w:val="21"/>
                <w:highlight w:val="none"/>
                <w:shd w:val="clear" w:color="auto" w:fill="auto"/>
              </w:rPr>
            </w:pPr>
            <w:r>
              <w:rPr>
                <w:rFonts w:hint="eastAsia" w:ascii="仿宋" w:hAnsi="仿宋" w:eastAsia="仿宋"/>
                <w:highlight w:val="none"/>
                <w:shd w:val="clear" w:color="auto" w:fill="auto"/>
              </w:rPr>
              <w:t>项目立项目的</w:t>
            </w:r>
          </w:p>
        </w:tc>
        <w:tc>
          <w:tcPr>
            <w:tcW w:w="7026"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color w:val="1F1F1F"/>
                <w:kern w:val="0"/>
                <w:szCs w:val="21"/>
                <w:highlight w:val="none"/>
                <w:shd w:val="clear" w:color="auto" w:fill="auto"/>
              </w:rPr>
            </w:pPr>
            <w:r>
              <w:rPr>
                <w:rFonts w:hint="eastAsia" w:ascii="仿宋" w:hAnsi="仿宋" w:eastAsia="仿宋"/>
                <w:color w:val="000000"/>
                <w:kern w:val="0"/>
                <w:highlight w:val="none"/>
                <w:shd w:val="clear" w:color="auto" w:fill="auto"/>
              </w:rPr>
              <w:t xml:space="preserve">   </w:t>
            </w:r>
            <w:r>
              <w:rPr>
                <w:rFonts w:hint="eastAsia" w:ascii="仿宋" w:hAnsi="仿宋" w:eastAsia="仿宋" w:cs="Calibri"/>
                <w:kern w:val="0"/>
                <w:highlight w:val="none"/>
                <w:shd w:val="clear" w:color="auto" w:fill="auto"/>
              </w:rPr>
              <w:t>秋冬种生产的总体要求是以农民增收为主线，以特色、质量、效益和绿色为方向，通过市场调动、政策驱动、主体带动，多渠道调动农民生产积极性。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jc w:val="center"/>
        </w:trPr>
        <w:tc>
          <w:tcPr>
            <w:tcW w:w="1167" w:type="dxa"/>
            <w:vMerge w:val="restart"/>
            <w:tcBorders>
              <w:top w:val="nil"/>
              <w:left w:val="single" w:color="auto" w:sz="4" w:space="0"/>
              <w:bottom w:val="single" w:color="auto" w:sz="4" w:space="0"/>
              <w:right w:val="single" w:color="auto" w:sz="4" w:space="0"/>
            </w:tcBorders>
            <w:vAlign w:val="center"/>
          </w:tcPr>
          <w:p>
            <w:pPr>
              <w:spacing w:line="300" w:lineRule="exact"/>
              <w:jc w:val="center"/>
              <w:rPr>
                <w:rFonts w:ascii="仿宋" w:hAnsi="仿宋" w:eastAsia="仿宋" w:cs="宋体"/>
                <w:szCs w:val="21"/>
                <w:highlight w:val="none"/>
                <w:shd w:val="clear" w:color="auto" w:fill="auto"/>
              </w:rPr>
            </w:pPr>
            <w:r>
              <w:rPr>
                <w:rFonts w:hint="eastAsia" w:ascii="仿宋" w:hAnsi="仿宋" w:eastAsia="仿宋"/>
                <w:highlight w:val="none"/>
                <w:shd w:val="clear" w:color="auto" w:fill="auto"/>
              </w:rPr>
              <w:t>绩效情况</w:t>
            </w:r>
          </w:p>
        </w:tc>
        <w:tc>
          <w:tcPr>
            <w:tcW w:w="1125" w:type="dxa"/>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cs="宋体"/>
                <w:szCs w:val="21"/>
                <w:highlight w:val="none"/>
                <w:shd w:val="clear" w:color="auto" w:fill="auto"/>
              </w:rPr>
            </w:pPr>
            <w:r>
              <w:rPr>
                <w:rFonts w:hint="eastAsia" w:ascii="仿宋" w:hAnsi="仿宋" w:eastAsia="仿宋"/>
                <w:highlight w:val="none"/>
                <w:shd w:val="clear" w:color="auto" w:fill="auto"/>
              </w:rPr>
              <w:t>项目支出管理和使用基本情况</w:t>
            </w:r>
          </w:p>
        </w:tc>
        <w:tc>
          <w:tcPr>
            <w:tcW w:w="7026"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szCs w:val="21"/>
                <w:highlight w:val="none"/>
                <w:shd w:val="clear" w:color="auto" w:fill="auto"/>
              </w:rPr>
            </w:pPr>
            <w:r>
              <w:rPr>
                <w:rFonts w:hint="eastAsia" w:ascii="仿宋" w:hAnsi="仿宋" w:eastAsia="仿宋"/>
                <w:color w:val="000000"/>
                <w:kern w:val="0"/>
                <w:highlight w:val="none"/>
                <w:shd w:val="clear" w:color="auto" w:fill="auto"/>
              </w:rPr>
              <w:t xml:space="preserve">     </w:t>
            </w:r>
            <w:r>
              <w:rPr>
                <w:rFonts w:hint="eastAsia" w:ascii="仿宋" w:hAnsi="仿宋" w:eastAsia="仿宋" w:cs="Calibri"/>
                <w:color w:val="000000"/>
                <w:kern w:val="0"/>
                <w:highlight w:val="none"/>
                <w:shd w:val="clear" w:color="auto" w:fill="auto"/>
              </w:rPr>
              <w:t>县财政预算资金100万元，主要用于6个油菜示范片补贴50万元，3个蔬菜基地补贴25万元，日常督察、验收等经费25万元（从非税经费中列支），目前项目资金暂未拨付。</w:t>
            </w:r>
            <w:r>
              <w:rPr>
                <w:rFonts w:hint="eastAsia" w:ascii="仿宋" w:hAnsi="仿宋" w:eastAsia="仿宋" w:cs="Calibri"/>
                <w:kern w:val="0"/>
                <w:highlight w:val="none"/>
                <w:shd w:val="clear" w:color="auto" w:fill="auto"/>
              </w:rPr>
              <w:t>我局严格按照《湘潭县2021年秋冬种生产工作方案》和《秋冬种生产专项资金管理办法》的要求进行使用和管理，不存在支出依据不合规、虚列项目支出、超标准开支的情况，无截留、挤占、挪用项目资金情况，无超预算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0" w:hRule="atLeast"/>
          <w:jc w:val="center"/>
        </w:trPr>
        <w:tc>
          <w:tcPr>
            <w:tcW w:w="116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szCs w:val="21"/>
                <w:highlight w:val="none"/>
                <w:shd w:val="clear" w:color="auto" w:fill="auto"/>
              </w:rPr>
            </w:pPr>
          </w:p>
        </w:tc>
        <w:tc>
          <w:tcPr>
            <w:tcW w:w="1125" w:type="dxa"/>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cs="宋体"/>
                <w:szCs w:val="21"/>
                <w:highlight w:val="none"/>
                <w:shd w:val="clear" w:color="auto" w:fill="auto"/>
              </w:rPr>
            </w:pPr>
            <w:r>
              <w:rPr>
                <w:rFonts w:hint="eastAsia" w:ascii="仿宋" w:hAnsi="仿宋" w:eastAsia="仿宋"/>
                <w:highlight w:val="none"/>
                <w:shd w:val="clear" w:color="auto" w:fill="auto"/>
              </w:rPr>
              <w:t>项目绩效目标完成情况</w:t>
            </w:r>
          </w:p>
        </w:tc>
        <w:tc>
          <w:tcPr>
            <w:tcW w:w="7026" w:type="dxa"/>
            <w:tcBorders>
              <w:top w:val="single" w:color="auto" w:sz="4" w:space="0"/>
              <w:left w:val="nil"/>
              <w:bottom w:val="single" w:color="auto" w:sz="4" w:space="0"/>
              <w:right w:val="single" w:color="auto" w:sz="4" w:space="0"/>
            </w:tcBorders>
            <w:vAlign w:val="center"/>
          </w:tcPr>
          <w:p>
            <w:pPr>
              <w:widowControl/>
              <w:ind w:firstLine="420" w:firstLineChars="200"/>
              <w:jc w:val="left"/>
              <w:rPr>
                <w:rFonts w:ascii="仿宋" w:hAnsi="仿宋" w:eastAsia="仿宋" w:cs="宋体"/>
                <w:szCs w:val="21"/>
                <w:highlight w:val="none"/>
                <w:shd w:val="clear" w:color="auto" w:fill="auto"/>
              </w:rPr>
            </w:pPr>
            <w:r>
              <w:rPr>
                <w:rFonts w:hint="eastAsia" w:ascii="仿宋" w:hAnsi="仿宋" w:eastAsia="仿宋" w:cs="Calibri"/>
                <w:kern w:val="0"/>
                <w:highlight w:val="none"/>
                <w:shd w:val="clear" w:color="auto" w:fill="auto"/>
              </w:rPr>
              <w:t>2021年全县落实秋冬种生产面积58.89万亩，其中油菜24.5亩、蔬菜14.59万亩、绿肥19万亩、其他作物0.8万亩</w:t>
            </w:r>
            <w:r>
              <w:rPr>
                <w:rFonts w:hint="eastAsia" w:ascii="仿宋" w:hAnsi="仿宋" w:eastAsia="仿宋" w:cs="Calibri"/>
                <w:color w:val="000000"/>
                <w:kern w:val="0"/>
                <w:highlight w:val="none"/>
                <w:shd w:val="clear" w:color="auto" w:fill="auto"/>
              </w:rPr>
              <w:t>。全力办好了青石桥、分水、花石、排头、锦石、云湖桥、易俗河、中路铺、9个乡镇的油菜高产示范片和蔬菜基地的建设</w:t>
            </w:r>
            <w:r>
              <w:rPr>
                <w:rFonts w:hint="eastAsia" w:ascii="仿宋" w:hAnsi="仿宋" w:eastAsia="仿宋" w:cs="Calibri"/>
                <w:kern w:val="0"/>
                <w:highlight w:val="none"/>
                <w:shd w:val="clear" w:color="auto" w:fill="auto"/>
              </w:rPr>
              <w:t>，油菜平均亩产达120公斤，亩平纯收入达500元，油菜亩产值要达到1000元，蔬菜亩产值达到2000元，经济效益明显，特色产业带动增加脱贫户就业110人以上，务工收入19万元以上，脱贫户土地流转增收5万元以上，受益脱贫户170人以上，同时调动干群秋冬种生产积极性，促进农民收入增加，农村经济持续发展，取得了很好的社会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1167" w:type="dxa"/>
            <w:vMerge w:val="restart"/>
            <w:tcBorders>
              <w:top w:val="nil"/>
              <w:left w:val="single" w:color="auto" w:sz="4" w:space="0"/>
              <w:bottom w:val="single" w:color="auto" w:sz="4" w:space="0"/>
              <w:right w:val="single" w:color="auto" w:sz="4" w:space="0"/>
            </w:tcBorders>
            <w:vAlign w:val="center"/>
          </w:tcPr>
          <w:p>
            <w:pPr>
              <w:spacing w:line="300" w:lineRule="exact"/>
              <w:jc w:val="center"/>
              <w:rPr>
                <w:rFonts w:ascii="仿宋" w:hAnsi="仿宋" w:eastAsia="仿宋" w:cs="宋体"/>
                <w:szCs w:val="21"/>
                <w:highlight w:val="none"/>
                <w:shd w:val="clear" w:color="auto" w:fill="auto"/>
              </w:rPr>
            </w:pPr>
            <w:r>
              <w:rPr>
                <w:rFonts w:hint="eastAsia" w:ascii="仿宋" w:hAnsi="仿宋" w:eastAsia="仿宋"/>
                <w:highlight w:val="none"/>
                <w:shd w:val="clear" w:color="auto" w:fill="auto"/>
              </w:rPr>
              <w:t>存在的问题分析及改进措施</w:t>
            </w:r>
          </w:p>
        </w:tc>
        <w:tc>
          <w:tcPr>
            <w:tcW w:w="1125" w:type="dxa"/>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cs="宋体"/>
                <w:szCs w:val="21"/>
                <w:highlight w:val="none"/>
                <w:shd w:val="clear" w:color="auto" w:fill="auto"/>
              </w:rPr>
            </w:pPr>
            <w:r>
              <w:rPr>
                <w:rFonts w:hint="eastAsia" w:ascii="仿宋" w:hAnsi="仿宋" w:eastAsia="仿宋"/>
                <w:highlight w:val="none"/>
                <w:shd w:val="clear" w:color="auto" w:fill="auto"/>
              </w:rPr>
              <w:t>存在的问题</w:t>
            </w:r>
          </w:p>
        </w:tc>
        <w:tc>
          <w:tcPr>
            <w:tcW w:w="7026" w:type="dxa"/>
            <w:tcBorders>
              <w:top w:val="single" w:color="auto" w:sz="4" w:space="0"/>
              <w:left w:val="nil"/>
              <w:bottom w:val="single" w:color="auto" w:sz="4" w:space="0"/>
              <w:right w:val="single" w:color="auto" w:sz="4" w:space="0"/>
            </w:tcBorders>
            <w:vAlign w:val="center"/>
          </w:tcPr>
          <w:p>
            <w:pPr>
              <w:widowControl/>
              <w:ind w:firstLine="420" w:firstLineChars="200"/>
              <w:jc w:val="center"/>
              <w:rPr>
                <w:rFonts w:ascii="仿宋" w:hAnsi="仿宋" w:eastAsia="仿宋" w:cs="宋体"/>
                <w:szCs w:val="21"/>
                <w:highlight w:val="none"/>
                <w:shd w:val="clear" w:color="auto" w:fill="auto"/>
              </w:rPr>
            </w:pPr>
            <w:r>
              <w:rPr>
                <w:rFonts w:hint="eastAsia" w:ascii="仿宋" w:hAnsi="仿宋" w:eastAsia="仿宋"/>
                <w:highlight w:val="none"/>
                <w:shd w:val="clear" w:color="auto" w:fill="auto"/>
              </w:rPr>
              <w:t>资金拨付进度较慢，影响实施主体的积极性。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jc w:val="center"/>
        </w:trPr>
        <w:tc>
          <w:tcPr>
            <w:tcW w:w="116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szCs w:val="21"/>
                <w:highlight w:val="none"/>
                <w:shd w:val="clear" w:color="auto" w:fill="auto"/>
              </w:rPr>
            </w:pPr>
          </w:p>
        </w:tc>
        <w:tc>
          <w:tcPr>
            <w:tcW w:w="1125" w:type="dxa"/>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cs="宋体"/>
                <w:szCs w:val="21"/>
                <w:highlight w:val="none"/>
                <w:shd w:val="clear" w:color="auto" w:fill="auto"/>
              </w:rPr>
            </w:pPr>
            <w:r>
              <w:rPr>
                <w:rFonts w:hint="eastAsia" w:ascii="仿宋" w:hAnsi="仿宋" w:eastAsia="仿宋"/>
                <w:highlight w:val="none"/>
                <w:shd w:val="clear" w:color="auto" w:fill="auto"/>
              </w:rPr>
              <w:t>改进措施</w:t>
            </w:r>
          </w:p>
        </w:tc>
        <w:tc>
          <w:tcPr>
            <w:tcW w:w="702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szCs w:val="21"/>
                <w:highlight w:val="none"/>
                <w:shd w:val="clear" w:color="auto" w:fill="auto"/>
              </w:rPr>
            </w:pPr>
            <w:r>
              <w:rPr>
                <w:rFonts w:hint="eastAsia" w:ascii="仿宋" w:hAnsi="仿宋" w:eastAsia="仿宋"/>
                <w:color w:val="000000"/>
                <w:kern w:val="0"/>
                <w:highlight w:val="none"/>
                <w:shd w:val="clear" w:color="auto" w:fill="auto"/>
              </w:rPr>
              <w:t>建议能加快项目资金拨付进度。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6" w:hRule="atLeast"/>
          <w:jc w:val="center"/>
        </w:trPr>
        <w:tc>
          <w:tcPr>
            <w:tcW w:w="116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szCs w:val="21"/>
                <w:highlight w:val="none"/>
                <w:shd w:val="clear" w:color="auto" w:fill="auto"/>
              </w:rPr>
            </w:pPr>
          </w:p>
        </w:tc>
        <w:tc>
          <w:tcPr>
            <w:tcW w:w="1125" w:type="dxa"/>
            <w:tcBorders>
              <w:top w:val="single" w:color="auto" w:sz="4" w:space="0"/>
              <w:left w:val="nil"/>
              <w:bottom w:val="single" w:color="auto" w:sz="4" w:space="0"/>
              <w:right w:val="single" w:color="auto" w:sz="4" w:space="0"/>
            </w:tcBorders>
            <w:vAlign w:val="center"/>
          </w:tcPr>
          <w:p>
            <w:pPr>
              <w:spacing w:line="300" w:lineRule="exact"/>
              <w:jc w:val="center"/>
              <w:rPr>
                <w:rFonts w:ascii="仿宋" w:hAnsi="仿宋" w:eastAsia="仿宋" w:cs="宋体"/>
                <w:szCs w:val="21"/>
                <w:highlight w:val="none"/>
                <w:shd w:val="clear" w:color="auto" w:fill="auto"/>
              </w:rPr>
            </w:pPr>
            <w:r>
              <w:rPr>
                <w:rFonts w:hint="eastAsia" w:ascii="仿宋" w:hAnsi="仿宋" w:eastAsia="仿宋"/>
                <w:highlight w:val="none"/>
                <w:shd w:val="clear" w:color="auto" w:fill="auto"/>
              </w:rPr>
              <w:t>其他需要说明问题</w:t>
            </w:r>
          </w:p>
        </w:tc>
        <w:tc>
          <w:tcPr>
            <w:tcW w:w="7026" w:type="dxa"/>
            <w:tcBorders>
              <w:top w:val="single" w:color="auto" w:sz="4" w:space="0"/>
              <w:left w:val="nil"/>
              <w:bottom w:val="single" w:color="auto" w:sz="4" w:space="0"/>
              <w:right w:val="single" w:color="auto" w:sz="4" w:space="0"/>
            </w:tcBorders>
            <w:vAlign w:val="center"/>
          </w:tcPr>
          <w:p>
            <w:pPr>
              <w:spacing w:line="300" w:lineRule="exact"/>
              <w:ind w:firstLine="420" w:firstLineChars="200"/>
              <w:jc w:val="center"/>
              <w:rPr>
                <w:rFonts w:ascii="仿宋" w:hAnsi="仿宋" w:eastAsia="仿宋" w:cs="宋体"/>
                <w:szCs w:val="21"/>
                <w:highlight w:val="none"/>
                <w:shd w:val="clear" w:color="auto" w:fill="auto"/>
              </w:rPr>
            </w:pPr>
            <w:r>
              <w:rPr>
                <w:rFonts w:hint="eastAsia" w:ascii="仿宋" w:hAnsi="仿宋" w:eastAsia="仿宋"/>
                <w:highlight w:val="none"/>
                <w:shd w:val="clear" w:color="auto" w:fill="auto"/>
              </w:rPr>
              <w:t>无</w:t>
            </w:r>
          </w:p>
        </w:tc>
      </w:tr>
    </w:tbl>
    <w:p>
      <w:pPr>
        <w:jc w:val="left"/>
        <w:rPr>
          <w:rFonts w:hint="eastAsia" w:ascii="宋体" w:hAnsi="Calibri" w:cs="Times New Roman"/>
          <w:color w:val="000000"/>
          <w:kern w:val="0"/>
          <w:sz w:val="32"/>
          <w:szCs w:val="32"/>
          <w:highlight w:val="none"/>
          <w:shd w:val="clear" w:color="auto" w:fill="auto"/>
        </w:rPr>
      </w:pPr>
      <w:r>
        <w:rPr>
          <w:rFonts w:hint="eastAsia" w:ascii="宋体" w:cs="Times New Roman"/>
          <w:color w:val="000000"/>
          <w:kern w:val="0"/>
          <w:sz w:val="32"/>
          <w:szCs w:val="32"/>
          <w:highlight w:val="none"/>
          <w:shd w:val="clear" w:color="auto" w:fill="auto"/>
        </w:rPr>
        <w:t xml:space="preserve"> </w:t>
      </w:r>
    </w:p>
    <w:p>
      <w:pPr>
        <w:jc w:val="left"/>
        <w:rPr>
          <w:rFonts w:hint="eastAsia" w:ascii="宋体" w:cs="Times New Roman"/>
          <w:color w:val="000000"/>
          <w:kern w:val="0"/>
          <w:sz w:val="32"/>
          <w:szCs w:val="32"/>
          <w:highlight w:val="none"/>
          <w:shd w:val="clear" w:color="auto" w:fill="auto"/>
        </w:rPr>
      </w:pPr>
      <w:r>
        <w:rPr>
          <w:rFonts w:hint="eastAsia" w:ascii="宋体" w:cs="Times New Roman"/>
          <w:color w:val="000000"/>
          <w:kern w:val="0"/>
          <w:sz w:val="32"/>
          <w:szCs w:val="32"/>
          <w:highlight w:val="none"/>
          <w:shd w:val="clear" w:color="auto" w:fill="auto"/>
        </w:rPr>
        <w:t xml:space="preserve"> </w:t>
      </w:r>
    </w:p>
    <w:p>
      <w:pPr>
        <w:jc w:val="left"/>
        <w:rPr>
          <w:rFonts w:hint="eastAsia" w:ascii="宋体" w:cs="Times New Roman"/>
          <w:color w:val="000000"/>
          <w:kern w:val="0"/>
          <w:sz w:val="32"/>
          <w:szCs w:val="32"/>
          <w:highlight w:val="none"/>
          <w:shd w:val="clear" w:color="auto" w:fill="auto"/>
        </w:rPr>
      </w:pPr>
      <w:r>
        <w:rPr>
          <w:rFonts w:hint="eastAsia" w:ascii="宋体" w:cs="Times New Roman"/>
          <w:color w:val="000000"/>
          <w:kern w:val="0"/>
          <w:sz w:val="32"/>
          <w:szCs w:val="32"/>
          <w:highlight w:val="none"/>
          <w:shd w:val="clear" w:color="auto" w:fill="auto"/>
        </w:rPr>
        <w:t xml:space="preserve"> </w:t>
      </w:r>
    </w:p>
    <w:p>
      <w:pPr>
        <w:jc w:val="left"/>
        <w:rPr>
          <w:rFonts w:hint="eastAsia" w:ascii="宋体" w:cs="Times New Roman"/>
          <w:color w:val="000000"/>
          <w:kern w:val="0"/>
          <w:sz w:val="32"/>
          <w:szCs w:val="32"/>
          <w:highlight w:val="none"/>
          <w:shd w:val="clear" w:color="auto" w:fill="auto"/>
        </w:rPr>
      </w:pPr>
      <w:r>
        <w:rPr>
          <w:rFonts w:hint="eastAsia" w:ascii="宋体" w:cs="Times New Roman"/>
          <w:color w:val="000000"/>
          <w:kern w:val="0"/>
          <w:sz w:val="32"/>
          <w:szCs w:val="32"/>
          <w:highlight w:val="none"/>
          <w:shd w:val="clear" w:color="auto" w:fill="auto"/>
        </w:rPr>
        <w:t xml:space="preserve"> </w:t>
      </w:r>
    </w:p>
    <w:p>
      <w:pPr>
        <w:snapToGrid w:val="0"/>
        <w:spacing w:line="540" w:lineRule="exact"/>
        <w:jc w:val="center"/>
        <w:rPr>
          <w:rFonts w:hint="eastAsia" w:ascii="宋体" w:hAnsi="宋体" w:cs="仿宋_GB2312"/>
          <w:b/>
          <w:bCs/>
          <w:color w:val="000000"/>
          <w:kern w:val="0"/>
          <w:sz w:val="36"/>
          <w:szCs w:val="36"/>
          <w:highlight w:val="none"/>
          <w:shd w:val="clear" w:color="auto" w:fill="auto"/>
        </w:rPr>
      </w:pPr>
      <w:r>
        <w:rPr>
          <w:rFonts w:hint="eastAsia" w:ascii="宋体" w:hAnsi="宋体" w:cs="仿宋_GB2312"/>
          <w:b/>
          <w:bCs/>
          <w:color w:val="000000"/>
          <w:kern w:val="0"/>
          <w:sz w:val="36"/>
          <w:szCs w:val="36"/>
          <w:highlight w:val="none"/>
          <w:shd w:val="clear" w:color="auto" w:fill="auto"/>
        </w:rPr>
        <w:t>专项支出绩效评价自评报告公开</w:t>
      </w:r>
    </w:p>
    <w:p>
      <w:pPr>
        <w:snapToGrid w:val="0"/>
        <w:spacing w:line="300" w:lineRule="exact"/>
        <w:jc w:val="center"/>
        <w:rPr>
          <w:rFonts w:hint="eastAsia" w:ascii="宋体" w:hAnsi="宋体" w:cs="仿宋_GB2312"/>
          <w:b/>
          <w:bCs/>
          <w:color w:val="000000"/>
          <w:kern w:val="0"/>
          <w:sz w:val="36"/>
          <w:szCs w:val="36"/>
          <w:highlight w:val="none"/>
          <w:shd w:val="clear" w:color="auto" w:fill="auto"/>
        </w:rPr>
      </w:pPr>
      <w:r>
        <w:rPr>
          <w:rFonts w:hint="eastAsia" w:ascii="宋体" w:hAnsi="宋体" w:cs="仿宋_GB2312"/>
          <w:b/>
          <w:bCs/>
          <w:color w:val="000000"/>
          <w:kern w:val="0"/>
          <w:sz w:val="36"/>
          <w:szCs w:val="36"/>
          <w:highlight w:val="none"/>
          <w:shd w:val="clear" w:color="auto" w:fill="auto"/>
        </w:rPr>
        <w:t xml:space="preserve"> </w:t>
      </w:r>
    </w:p>
    <w:tbl>
      <w:tblPr>
        <w:tblStyle w:val="7"/>
        <w:tblW w:w="8100" w:type="dxa"/>
        <w:jc w:val="center"/>
        <w:tblInd w:w="0" w:type="dxa"/>
        <w:tblLayout w:type="fixed"/>
        <w:tblCellMar>
          <w:top w:w="0" w:type="dxa"/>
          <w:left w:w="108" w:type="dxa"/>
          <w:bottom w:w="0" w:type="dxa"/>
          <w:right w:w="108" w:type="dxa"/>
        </w:tblCellMar>
      </w:tblPr>
      <w:tblGrid>
        <w:gridCol w:w="1080"/>
        <w:gridCol w:w="1487"/>
        <w:gridCol w:w="5533"/>
      </w:tblGrid>
      <w:tr>
        <w:tblPrEx>
          <w:tblLayout w:type="fixed"/>
          <w:tblCellMar>
            <w:top w:w="0" w:type="dxa"/>
            <w:left w:w="108" w:type="dxa"/>
            <w:bottom w:w="0" w:type="dxa"/>
            <w:right w:w="108" w:type="dxa"/>
          </w:tblCellMar>
        </w:tblPrEx>
        <w:trPr>
          <w:trHeight w:val="531" w:hRule="atLeast"/>
          <w:jc w:val="center"/>
        </w:trPr>
        <w:tc>
          <w:tcPr>
            <w:tcW w:w="10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部门概况</w:t>
            </w:r>
          </w:p>
        </w:tc>
        <w:tc>
          <w:tcPr>
            <w:tcW w:w="148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专项名称</w:t>
            </w:r>
          </w:p>
        </w:tc>
        <w:tc>
          <w:tcPr>
            <w:tcW w:w="5533"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2021年县级现代农业特色产业园项目</w:t>
            </w:r>
          </w:p>
        </w:tc>
      </w:tr>
      <w:tr>
        <w:tblPrEx>
          <w:tblLayout w:type="fixed"/>
          <w:tblCellMar>
            <w:top w:w="0" w:type="dxa"/>
            <w:left w:w="108" w:type="dxa"/>
            <w:bottom w:w="0" w:type="dxa"/>
            <w:right w:w="108" w:type="dxa"/>
          </w:tblCellMar>
        </w:tblPrEx>
        <w:trPr>
          <w:trHeight w:val="510" w:hRule="atLeast"/>
          <w:jc w:val="center"/>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年度预算金额</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50万元</w:t>
            </w:r>
          </w:p>
        </w:tc>
      </w:tr>
      <w:tr>
        <w:tblPrEx>
          <w:tblLayout w:type="fixed"/>
          <w:tblCellMar>
            <w:top w:w="0" w:type="dxa"/>
            <w:left w:w="108" w:type="dxa"/>
            <w:bottom w:w="0" w:type="dxa"/>
            <w:right w:w="108" w:type="dxa"/>
          </w:tblCellMar>
        </w:tblPrEx>
        <w:trPr>
          <w:trHeight w:val="510" w:hRule="atLeast"/>
          <w:jc w:val="center"/>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项目主管部门</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湘潭县农业农村局</w:t>
            </w:r>
          </w:p>
        </w:tc>
      </w:tr>
      <w:tr>
        <w:tblPrEx>
          <w:tblLayout w:type="fixed"/>
          <w:tblCellMar>
            <w:top w:w="0" w:type="dxa"/>
            <w:left w:w="108" w:type="dxa"/>
            <w:bottom w:w="0" w:type="dxa"/>
            <w:right w:w="108" w:type="dxa"/>
          </w:tblCellMar>
        </w:tblPrEx>
        <w:trPr>
          <w:trHeight w:val="1020" w:hRule="atLeast"/>
          <w:jc w:val="center"/>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项目立项目的</w:t>
            </w:r>
          </w:p>
        </w:tc>
        <w:tc>
          <w:tcPr>
            <w:tcW w:w="5533" w:type="dxa"/>
            <w:tcBorders>
              <w:top w:val="nil"/>
              <w:left w:val="nil"/>
              <w:bottom w:val="single" w:color="auto" w:sz="4" w:space="0"/>
              <w:right w:val="single" w:color="auto" w:sz="4" w:space="0"/>
            </w:tcBorders>
            <w:vAlign w:val="center"/>
          </w:tcPr>
          <w:p>
            <w:pPr>
              <w:widowControl/>
              <w:spacing w:line="360" w:lineRule="exact"/>
              <w:ind w:firstLine="404" w:firstLineChars="200"/>
              <w:jc w:val="left"/>
              <w:rPr>
                <w:rFonts w:ascii="仿宋_GB2312" w:hAnsi="宋体" w:eastAsia="仿宋" w:cs="宋体"/>
                <w:color w:val="000000"/>
                <w:kern w:val="0"/>
                <w:szCs w:val="21"/>
                <w:highlight w:val="none"/>
                <w:shd w:val="clear" w:color="auto" w:fill="auto"/>
              </w:rPr>
            </w:pPr>
            <w:r>
              <w:rPr>
                <w:rFonts w:hint="eastAsia" w:ascii="仿宋" w:hAnsi="仿宋" w:eastAsia="仿宋" w:cs="Calibri"/>
                <w:spacing w:val="-4"/>
                <w:highlight w:val="none"/>
                <w:shd w:val="clear" w:color="auto" w:fill="auto"/>
              </w:rPr>
              <w:t>根据《湖南省人民政府关于深入推进农业“百千万”工</w:t>
            </w:r>
            <w:r>
              <w:rPr>
                <w:rFonts w:hint="eastAsia" w:ascii="仿宋" w:hAnsi="仿宋" w:eastAsia="仿宋" w:cs="Calibri"/>
                <w:highlight w:val="none"/>
                <w:shd w:val="clear" w:color="auto" w:fill="auto"/>
              </w:rPr>
              <w:t>程促进产业兴旺的意见》（湘政发〔2018〕3号）、《湘潭县现代农业产业园建设行动方案》（潭农联〔2019〕4号）等文件精神，我县积极创建了以湘莲、油茶、蔬菜、藏香猪等生产经营为主的10个主导产业突出、产品特色明显、品牌效应突出、市场竞争力强、经济效益好的现代农业特色产业园。</w:t>
            </w:r>
          </w:p>
        </w:tc>
      </w:tr>
      <w:tr>
        <w:tblPrEx>
          <w:tblLayout w:type="fixed"/>
          <w:tblCellMar>
            <w:top w:w="0" w:type="dxa"/>
            <w:left w:w="108" w:type="dxa"/>
            <w:bottom w:w="0" w:type="dxa"/>
            <w:right w:w="108" w:type="dxa"/>
          </w:tblCellMar>
        </w:tblPrEx>
        <w:trPr>
          <w:trHeight w:val="1680" w:hRule="atLeast"/>
          <w:jc w:val="center"/>
        </w:trPr>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绩效情况</w:t>
            </w: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项目支出管理和使用基本情况</w:t>
            </w:r>
          </w:p>
        </w:tc>
        <w:tc>
          <w:tcPr>
            <w:tcW w:w="5533" w:type="dxa"/>
            <w:tcBorders>
              <w:top w:val="nil"/>
              <w:left w:val="nil"/>
              <w:bottom w:val="single" w:color="auto" w:sz="4" w:space="0"/>
              <w:right w:val="single" w:color="auto" w:sz="4" w:space="0"/>
            </w:tcBorders>
            <w:vAlign w:val="center"/>
          </w:tcPr>
          <w:p>
            <w:pPr>
              <w:widowControl/>
              <w:spacing w:line="360" w:lineRule="exact"/>
              <w:ind w:firstLine="420" w:firstLineChars="200"/>
              <w:rPr>
                <w:rFonts w:ascii="仿宋_GB2312" w:hAnsi="宋体" w:eastAsia="仿宋_GB2312" w:cs="宋体"/>
                <w:color w:val="000000"/>
                <w:kern w:val="0"/>
                <w:szCs w:val="21"/>
                <w:highlight w:val="none"/>
                <w:shd w:val="clear" w:color="auto" w:fill="auto"/>
              </w:rPr>
            </w:pPr>
            <w:r>
              <w:rPr>
                <w:rFonts w:hint="eastAsia" w:ascii="仿宋" w:hAnsi="仿宋" w:eastAsia="仿宋" w:cs="Calibri"/>
                <w:highlight w:val="none"/>
                <w:shd w:val="clear" w:color="auto" w:fill="auto"/>
              </w:rPr>
              <w:t>县级财政预算资金50万元，被认定的10家县级特色产业园主体每个奖补5万元。县农业农村局牵头对特色产业园进行绩效评价，至2021年12月31日止，项目资金暂未拨付，计划在2022年初通过绩效评价验收合格后拨付奖补资金。奖补资金主要用于特色品牌培育、农产品质量提升、产业融合发展、科技成果转化、基础设施提升，不得开支生产、管理等费用及楼堂馆所建设费用。</w:t>
            </w:r>
          </w:p>
        </w:tc>
      </w:tr>
      <w:tr>
        <w:tblPrEx>
          <w:tblLayout w:type="fixed"/>
          <w:tblCellMar>
            <w:top w:w="0" w:type="dxa"/>
            <w:left w:w="108" w:type="dxa"/>
            <w:bottom w:w="0" w:type="dxa"/>
            <w:right w:w="108" w:type="dxa"/>
          </w:tblCellMar>
        </w:tblPrEx>
        <w:trPr>
          <w:trHeight w:val="123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项目绩效目标完成情况</w:t>
            </w:r>
          </w:p>
        </w:tc>
        <w:tc>
          <w:tcPr>
            <w:tcW w:w="5533" w:type="dxa"/>
            <w:tcBorders>
              <w:top w:val="nil"/>
              <w:left w:val="nil"/>
              <w:bottom w:val="single" w:color="auto" w:sz="4" w:space="0"/>
              <w:right w:val="single" w:color="auto" w:sz="4" w:space="0"/>
            </w:tcBorders>
            <w:vAlign w:val="center"/>
          </w:tcPr>
          <w:p>
            <w:pPr>
              <w:spacing w:line="320" w:lineRule="exact"/>
              <w:ind w:firstLine="420" w:firstLineChars="200"/>
              <w:rPr>
                <w:rFonts w:ascii="仿宋" w:hAnsi="仿宋" w:eastAsia="仿宋" w:cs="Calibri"/>
                <w:szCs w:val="21"/>
                <w:highlight w:val="none"/>
                <w:shd w:val="clear" w:color="auto" w:fill="auto"/>
              </w:rPr>
            </w:pPr>
            <w:r>
              <w:rPr>
                <w:rFonts w:hint="eastAsia" w:ascii="仿宋" w:hAnsi="仿宋" w:eastAsia="仿宋" w:cs="Calibri"/>
                <w:highlight w:val="none"/>
                <w:shd w:val="clear" w:color="auto" w:fill="auto"/>
              </w:rPr>
              <w:t>1.产出：通过创建2021年度湘潭县现代农业产业园，园区科技创新，产业价值和竞争力明显提高；促进了当地产业发展，带动经济增长，增加税收收入。</w:t>
            </w:r>
          </w:p>
          <w:p>
            <w:pPr>
              <w:spacing w:line="320" w:lineRule="exact"/>
              <w:ind w:firstLine="420" w:firstLineChars="200"/>
              <w:rPr>
                <w:rFonts w:hint="eastAsia" w:ascii="仿宋" w:hAnsi="仿宋" w:eastAsia="仿宋" w:cs="Calibri"/>
                <w:highlight w:val="none"/>
                <w:shd w:val="clear" w:color="auto" w:fill="auto"/>
              </w:rPr>
            </w:pPr>
            <w:r>
              <w:rPr>
                <w:rFonts w:hint="eastAsia" w:ascii="仿宋" w:hAnsi="仿宋" w:eastAsia="仿宋" w:cs="Calibri"/>
                <w:highlight w:val="none"/>
                <w:shd w:val="clear" w:color="auto" w:fill="auto"/>
              </w:rPr>
              <w:t>2.效益：经济效益、社会效益、生态效益明显，园区的建设发展有利于增加就业岗位，转移农村劳动力，有效的带动农民致富。同时园区建设可有效完善产业链，促进一二三产融合发展。园区严格按照无公害、绿色、有机等农产品标准及GAP、HACCP、ISO9001、SC等认证标准进行生产，大力推广病虫害绿色防控技术，降低化学农药的使用量。改良了长期以来超负荷生产的土壤质量，有效保护了自然环境，对农产品质量安全也起到了积极的推动作用。</w:t>
            </w:r>
          </w:p>
          <w:p>
            <w:pPr>
              <w:widowControl/>
              <w:ind w:firstLine="420" w:firstLineChars="200"/>
              <w:jc w:val="left"/>
              <w:rPr>
                <w:rFonts w:ascii="仿宋_GB2312" w:hAnsi="宋体" w:eastAsia="仿宋_GB2312" w:cs="宋体"/>
                <w:color w:val="000000"/>
                <w:kern w:val="0"/>
                <w:szCs w:val="21"/>
                <w:highlight w:val="none"/>
                <w:shd w:val="clear" w:color="auto" w:fill="auto"/>
              </w:rPr>
            </w:pPr>
          </w:p>
        </w:tc>
      </w:tr>
      <w:tr>
        <w:tblPrEx>
          <w:tblLayout w:type="fixed"/>
          <w:tblCellMar>
            <w:top w:w="0" w:type="dxa"/>
            <w:left w:w="108" w:type="dxa"/>
            <w:bottom w:w="0" w:type="dxa"/>
            <w:right w:w="108" w:type="dxa"/>
          </w:tblCellMar>
        </w:tblPrEx>
        <w:trPr>
          <w:trHeight w:val="510" w:hRule="atLeast"/>
          <w:jc w:val="center"/>
        </w:trPr>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存在的问题分析及改进措施</w:t>
            </w: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存在的问题</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项目建设资金缺口较大，财政资金拨付进度较慢。</w:t>
            </w:r>
          </w:p>
        </w:tc>
      </w:tr>
      <w:tr>
        <w:tblPrEx>
          <w:tblLayout w:type="fixed"/>
          <w:tblCellMar>
            <w:top w:w="0" w:type="dxa"/>
            <w:left w:w="108" w:type="dxa"/>
            <w:bottom w:w="0" w:type="dxa"/>
            <w:right w:w="108" w:type="dxa"/>
          </w:tblCellMar>
        </w:tblPrEx>
        <w:trPr>
          <w:trHeight w:val="58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改进措施</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建议加大资金投入，加快资金拨付。</w:t>
            </w:r>
          </w:p>
        </w:tc>
      </w:tr>
      <w:tr>
        <w:tblPrEx>
          <w:tblLayout w:type="fixed"/>
          <w:tblCellMar>
            <w:top w:w="0" w:type="dxa"/>
            <w:left w:w="108" w:type="dxa"/>
            <w:bottom w:w="0" w:type="dxa"/>
            <w:right w:w="108" w:type="dxa"/>
          </w:tblCellMar>
        </w:tblPrEx>
        <w:trPr>
          <w:trHeight w:val="51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其他需要说明问题</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无</w:t>
            </w:r>
          </w:p>
        </w:tc>
      </w:tr>
    </w:tbl>
    <w:p>
      <w:pPr>
        <w:spacing w:line="360" w:lineRule="exact"/>
        <w:ind w:firstLine="420" w:firstLineChars="200"/>
        <w:jc w:val="left"/>
        <w:rPr>
          <w:rFonts w:hint="eastAsia" w:ascii="仿宋_GB2312" w:hAnsi="仿宋" w:eastAsia="仿宋_GB2312" w:cs="Calibri"/>
          <w:szCs w:val="21"/>
          <w:highlight w:val="none"/>
          <w:shd w:val="clear" w:color="auto" w:fill="auto"/>
        </w:rPr>
      </w:pPr>
      <w:r>
        <w:rPr>
          <w:rFonts w:hint="eastAsia" w:ascii="仿宋_GB2312" w:hAnsi="仿宋" w:eastAsia="仿宋_GB2312" w:cs="Calibri"/>
          <w:highlight w:val="none"/>
          <w:shd w:val="clear" w:color="auto" w:fill="auto"/>
        </w:rPr>
        <w:t xml:space="preserve"> </w:t>
      </w:r>
    </w:p>
    <w:p>
      <w:pPr>
        <w:spacing w:line="360" w:lineRule="exact"/>
        <w:ind w:firstLine="420" w:firstLineChars="200"/>
        <w:jc w:val="left"/>
        <w:rPr>
          <w:rFonts w:hint="eastAsia" w:ascii="仿宋_GB2312" w:hAnsi="仿宋" w:eastAsia="仿宋_GB2312" w:cs="Calibri"/>
          <w:highlight w:val="none"/>
          <w:shd w:val="clear" w:color="auto" w:fill="auto"/>
        </w:rPr>
      </w:pPr>
      <w:r>
        <w:rPr>
          <w:rFonts w:hint="eastAsia" w:ascii="仿宋_GB2312" w:hAnsi="仿宋" w:eastAsia="仿宋_GB2312" w:cs="Calibri"/>
          <w:highlight w:val="none"/>
          <w:shd w:val="clear" w:color="auto" w:fill="auto"/>
        </w:rPr>
        <w:t xml:space="preserve"> </w:t>
      </w:r>
    </w:p>
    <w:p>
      <w:pPr>
        <w:spacing w:line="360" w:lineRule="exact"/>
        <w:jc w:val="center"/>
        <w:rPr>
          <w:rFonts w:hint="eastAsia" w:ascii="仿宋_GB2312" w:hAnsi="仿宋" w:eastAsia="仿宋_GB2312" w:cs="Calibri"/>
          <w:highlight w:val="none"/>
          <w:shd w:val="clear" w:color="auto" w:fill="auto"/>
        </w:rPr>
      </w:pPr>
      <w:r>
        <w:rPr>
          <w:rFonts w:hint="eastAsia" w:ascii="宋体" w:hAnsi="宋体" w:cs="仿宋_GB2312"/>
          <w:b/>
          <w:bCs/>
          <w:color w:val="000000"/>
          <w:kern w:val="0"/>
          <w:sz w:val="36"/>
          <w:szCs w:val="36"/>
          <w:highlight w:val="none"/>
          <w:shd w:val="clear" w:color="auto" w:fill="auto"/>
        </w:rPr>
        <w:t>专项支出绩效评价自评报告公开</w:t>
      </w:r>
    </w:p>
    <w:p>
      <w:pPr>
        <w:spacing w:line="360" w:lineRule="exact"/>
        <w:ind w:firstLine="420" w:firstLineChars="200"/>
        <w:jc w:val="left"/>
        <w:rPr>
          <w:rFonts w:hint="eastAsia" w:ascii="仿宋_GB2312" w:hAnsi="仿宋" w:eastAsia="仿宋_GB2312" w:cs="Calibri"/>
          <w:highlight w:val="none"/>
          <w:shd w:val="clear" w:color="auto" w:fill="auto"/>
        </w:rPr>
      </w:pPr>
      <w:r>
        <w:rPr>
          <w:rFonts w:hint="eastAsia" w:ascii="仿宋_GB2312" w:hAnsi="仿宋" w:eastAsia="仿宋_GB2312" w:cs="Calibri"/>
          <w:highlight w:val="none"/>
          <w:shd w:val="clear" w:color="auto" w:fill="auto"/>
        </w:rPr>
        <w:t xml:space="preserve"> </w:t>
      </w:r>
    </w:p>
    <w:tbl>
      <w:tblPr>
        <w:tblStyle w:val="7"/>
        <w:tblW w:w="8100" w:type="dxa"/>
        <w:jc w:val="center"/>
        <w:tblInd w:w="0" w:type="dxa"/>
        <w:tblLayout w:type="fixed"/>
        <w:tblCellMar>
          <w:top w:w="0" w:type="dxa"/>
          <w:left w:w="108" w:type="dxa"/>
          <w:bottom w:w="0" w:type="dxa"/>
          <w:right w:w="108" w:type="dxa"/>
        </w:tblCellMar>
      </w:tblPr>
      <w:tblGrid>
        <w:gridCol w:w="1080"/>
        <w:gridCol w:w="1487"/>
        <w:gridCol w:w="5533"/>
      </w:tblGrid>
      <w:tr>
        <w:tblPrEx>
          <w:tblLayout w:type="fixed"/>
          <w:tblCellMar>
            <w:top w:w="0" w:type="dxa"/>
            <w:left w:w="108" w:type="dxa"/>
            <w:bottom w:w="0" w:type="dxa"/>
            <w:right w:w="108" w:type="dxa"/>
          </w:tblCellMar>
        </w:tblPrEx>
        <w:trPr>
          <w:trHeight w:val="531" w:hRule="atLeast"/>
          <w:jc w:val="center"/>
        </w:trPr>
        <w:tc>
          <w:tcPr>
            <w:tcW w:w="1080"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宋体" w:hAnsi="宋体" w:cs="仿宋_GB2312"/>
                <w:b/>
                <w:bCs/>
                <w:color w:val="000000"/>
                <w:kern w:val="0"/>
                <w:sz w:val="36"/>
                <w:szCs w:val="36"/>
                <w:highlight w:val="none"/>
                <w:shd w:val="clear" w:color="auto" w:fill="auto"/>
              </w:rPr>
            </w:pPr>
          </w:p>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部门概况</w:t>
            </w:r>
          </w:p>
        </w:tc>
        <w:tc>
          <w:tcPr>
            <w:tcW w:w="148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专项名称</w:t>
            </w:r>
          </w:p>
        </w:tc>
        <w:tc>
          <w:tcPr>
            <w:tcW w:w="5533"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2021年厕所革命项目</w:t>
            </w:r>
          </w:p>
        </w:tc>
      </w:tr>
      <w:tr>
        <w:tblPrEx>
          <w:tblLayout w:type="fixed"/>
          <w:tblCellMar>
            <w:top w:w="0" w:type="dxa"/>
            <w:left w:w="108" w:type="dxa"/>
            <w:bottom w:w="0" w:type="dxa"/>
            <w:right w:w="108" w:type="dxa"/>
          </w:tblCellMar>
        </w:tblPrEx>
        <w:trPr>
          <w:trHeight w:val="510" w:hRule="atLeast"/>
          <w:jc w:val="center"/>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年度预算金额</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1310万元</w:t>
            </w:r>
          </w:p>
        </w:tc>
      </w:tr>
      <w:tr>
        <w:tblPrEx>
          <w:tblLayout w:type="fixed"/>
          <w:tblCellMar>
            <w:top w:w="0" w:type="dxa"/>
            <w:left w:w="108" w:type="dxa"/>
            <w:bottom w:w="0" w:type="dxa"/>
            <w:right w:w="108" w:type="dxa"/>
          </w:tblCellMar>
        </w:tblPrEx>
        <w:trPr>
          <w:trHeight w:val="510" w:hRule="atLeast"/>
          <w:jc w:val="center"/>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项目主管部门</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湘潭县农业农村局</w:t>
            </w:r>
          </w:p>
        </w:tc>
      </w:tr>
      <w:tr>
        <w:tblPrEx>
          <w:tblLayout w:type="fixed"/>
          <w:tblCellMar>
            <w:top w:w="0" w:type="dxa"/>
            <w:left w:w="108" w:type="dxa"/>
            <w:bottom w:w="0" w:type="dxa"/>
            <w:right w:w="108" w:type="dxa"/>
          </w:tblCellMar>
        </w:tblPrEx>
        <w:trPr>
          <w:trHeight w:val="1020" w:hRule="atLeast"/>
          <w:jc w:val="center"/>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项目立项目的</w:t>
            </w:r>
          </w:p>
        </w:tc>
        <w:tc>
          <w:tcPr>
            <w:tcW w:w="5533" w:type="dxa"/>
            <w:tcBorders>
              <w:top w:val="nil"/>
              <w:left w:val="nil"/>
              <w:bottom w:val="single" w:color="auto" w:sz="4" w:space="0"/>
              <w:right w:val="single" w:color="auto" w:sz="4" w:space="0"/>
            </w:tcBorders>
            <w:vAlign w:val="center"/>
          </w:tcPr>
          <w:p>
            <w:pPr>
              <w:widowControl/>
              <w:adjustRightInd w:val="0"/>
              <w:snapToGrid w:val="0"/>
              <w:ind w:firstLine="420" w:firstLineChars="200"/>
              <w:jc w:val="left"/>
              <w:rPr>
                <w:rFonts w:ascii="仿宋_GB2312" w:hAnsi="宋体" w:eastAsia="仿宋_GB2312" w:cs="宋体"/>
                <w:color w:val="000000"/>
                <w:kern w:val="0"/>
                <w:szCs w:val="21"/>
                <w:highlight w:val="none"/>
                <w:shd w:val="clear" w:color="auto" w:fill="auto"/>
              </w:rPr>
            </w:pPr>
            <w:r>
              <w:rPr>
                <w:rFonts w:hint="eastAsia" w:ascii="仿宋" w:hAnsi="仿宋" w:eastAsia="仿宋"/>
                <w:kern w:val="0"/>
                <w:highlight w:val="none"/>
                <w:shd w:val="clear" w:color="auto" w:fill="auto"/>
              </w:rPr>
              <w:t>以习近平新时代中国特色社会主义思想为指导，坚持以人民为中心的发展理念，按照“好字当头、质量优先、分类推进、注重实效”的基本思路，推动农村厕所建设标准化、管理规范化、监督社会化，引导农民群众养成良好卫生习惯，切实增强农民群众的获得感和幸福感。2021年按照省市统一部署，湘潭县始终坚持好字当头、质量优先，严格落实“首厕过关带动每厕过关”制，积极推进农村厕所革命，全面完成年度省市重点民生实事任务。</w:t>
            </w:r>
          </w:p>
        </w:tc>
      </w:tr>
      <w:tr>
        <w:tblPrEx>
          <w:tblLayout w:type="fixed"/>
          <w:tblCellMar>
            <w:top w:w="0" w:type="dxa"/>
            <w:left w:w="108" w:type="dxa"/>
            <w:bottom w:w="0" w:type="dxa"/>
            <w:right w:w="108" w:type="dxa"/>
          </w:tblCellMar>
        </w:tblPrEx>
        <w:trPr>
          <w:trHeight w:val="1297" w:hRule="atLeast"/>
          <w:jc w:val="center"/>
        </w:trPr>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绩效情况</w:t>
            </w: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项目支出管理和使用基本情况</w:t>
            </w:r>
          </w:p>
        </w:tc>
        <w:tc>
          <w:tcPr>
            <w:tcW w:w="5533" w:type="dxa"/>
            <w:tcBorders>
              <w:top w:val="nil"/>
              <w:left w:val="nil"/>
              <w:bottom w:val="single" w:color="auto" w:sz="4" w:space="0"/>
              <w:right w:val="single" w:color="auto" w:sz="4" w:space="0"/>
            </w:tcBorders>
            <w:vAlign w:val="center"/>
          </w:tcPr>
          <w:p>
            <w:pPr>
              <w:adjustRightInd w:val="0"/>
              <w:snapToGrid w:val="0"/>
              <w:ind w:firstLine="420" w:firstLineChars="200"/>
              <w:jc w:val="left"/>
              <w:rPr>
                <w:rFonts w:ascii="仿宋_GB2312" w:hAnsi="宋体" w:eastAsia="仿宋_GB2312" w:cs="宋体"/>
                <w:color w:val="000000"/>
                <w:kern w:val="0"/>
                <w:szCs w:val="21"/>
                <w:highlight w:val="none"/>
                <w:shd w:val="clear" w:color="auto" w:fill="auto"/>
              </w:rPr>
            </w:pPr>
            <w:r>
              <w:rPr>
                <w:rFonts w:hint="eastAsia" w:ascii="仿宋" w:hAnsi="仿宋" w:eastAsia="仿宋" w:cs="Times New Roman"/>
                <w:highlight w:val="none"/>
                <w:shd w:val="clear" w:color="auto" w:fill="auto"/>
              </w:rPr>
              <w:t>2021年潭县农办联【2021】3号安排县级资金1310万元（补贴标准为830元/座）。到目前为止，县级资金支出969.936万元，预算执行率74%。</w:t>
            </w:r>
          </w:p>
        </w:tc>
      </w:tr>
      <w:tr>
        <w:tblPrEx>
          <w:tblLayout w:type="fixed"/>
          <w:tblCellMar>
            <w:top w:w="0" w:type="dxa"/>
            <w:left w:w="108" w:type="dxa"/>
            <w:bottom w:w="0" w:type="dxa"/>
            <w:right w:w="108" w:type="dxa"/>
          </w:tblCellMar>
        </w:tblPrEx>
        <w:trPr>
          <w:trHeight w:val="123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项目绩效目标完成情况</w:t>
            </w:r>
          </w:p>
        </w:tc>
        <w:tc>
          <w:tcPr>
            <w:tcW w:w="5533" w:type="dxa"/>
            <w:tcBorders>
              <w:top w:val="nil"/>
              <w:left w:val="nil"/>
              <w:bottom w:val="single" w:color="auto" w:sz="4" w:space="0"/>
              <w:right w:val="single" w:color="auto" w:sz="4" w:space="0"/>
            </w:tcBorders>
            <w:vAlign w:val="center"/>
          </w:tcPr>
          <w:p>
            <w:pPr>
              <w:widowControl/>
              <w:adjustRightInd w:val="0"/>
              <w:snapToGrid w:val="0"/>
              <w:ind w:firstLine="420" w:firstLineChars="200"/>
              <w:jc w:val="left"/>
              <w:rPr>
                <w:rFonts w:ascii="仿宋_GB2312" w:hAnsi="宋体" w:eastAsia="仿宋_GB2312" w:cs="宋体"/>
                <w:color w:val="000000"/>
                <w:kern w:val="0"/>
                <w:szCs w:val="21"/>
                <w:highlight w:val="none"/>
                <w:shd w:val="clear" w:color="auto" w:fill="auto"/>
              </w:rPr>
            </w:pPr>
            <w:r>
              <w:rPr>
                <w:rFonts w:hint="eastAsia" w:ascii="仿宋" w:hAnsi="仿宋" w:eastAsia="仿宋"/>
                <w:kern w:val="0"/>
                <w:highlight w:val="none"/>
                <w:shd w:val="clear" w:color="auto" w:fill="auto"/>
              </w:rPr>
              <w:t>按照十四五期间基本普及农村无害化卫生厕所的总体目标要求，到 2025 年底，全县 85%以上的农户用上无害化卫生厕所，旱厕 100%消除。根据湖南省农业农村厅《关于调整2021年全省农村改厕重点民生实事任务及验收标准的通知》已将今年15670户任务调整为今明两年完成， 2021年10月底已完成全县改（新）建农村户厕11071户。</w:t>
            </w:r>
          </w:p>
        </w:tc>
      </w:tr>
      <w:tr>
        <w:tblPrEx>
          <w:tblLayout w:type="fixed"/>
          <w:tblCellMar>
            <w:top w:w="0" w:type="dxa"/>
            <w:left w:w="108" w:type="dxa"/>
            <w:bottom w:w="0" w:type="dxa"/>
            <w:right w:w="108" w:type="dxa"/>
          </w:tblCellMar>
        </w:tblPrEx>
        <w:trPr>
          <w:trHeight w:val="510" w:hRule="atLeast"/>
          <w:jc w:val="center"/>
        </w:trPr>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存在的问题分析及改进措施</w:t>
            </w: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存在的问题</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乡镇财政拨付项目资金进度较慢，施工成本逐年增加，影响施工方的积极性。</w:t>
            </w:r>
          </w:p>
        </w:tc>
      </w:tr>
      <w:tr>
        <w:tblPrEx>
          <w:tblLayout w:type="fixed"/>
          <w:tblCellMar>
            <w:top w:w="0" w:type="dxa"/>
            <w:left w:w="108" w:type="dxa"/>
            <w:bottom w:w="0" w:type="dxa"/>
            <w:right w:w="108" w:type="dxa"/>
          </w:tblCellMar>
        </w:tblPrEx>
        <w:trPr>
          <w:trHeight w:val="58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改进措施</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督促乡镇加快资金拨付。</w:t>
            </w:r>
          </w:p>
        </w:tc>
      </w:tr>
      <w:tr>
        <w:tblPrEx>
          <w:tblLayout w:type="fixed"/>
          <w:tblCellMar>
            <w:top w:w="0" w:type="dxa"/>
            <w:left w:w="108" w:type="dxa"/>
            <w:bottom w:w="0" w:type="dxa"/>
            <w:right w:w="108" w:type="dxa"/>
          </w:tblCellMar>
        </w:tblPrEx>
        <w:trPr>
          <w:trHeight w:val="51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其他需要说明问题</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无</w:t>
            </w:r>
          </w:p>
        </w:tc>
      </w:tr>
    </w:tbl>
    <w:p>
      <w:pPr>
        <w:spacing w:line="360" w:lineRule="exact"/>
        <w:ind w:firstLine="420" w:firstLineChars="200"/>
        <w:jc w:val="left"/>
        <w:rPr>
          <w:rFonts w:hint="eastAsia" w:ascii="仿宋_GB2312" w:hAnsi="仿宋" w:eastAsia="仿宋_GB2312" w:cs="Calibri"/>
          <w:szCs w:val="21"/>
          <w:highlight w:val="none"/>
          <w:shd w:val="clear" w:color="auto" w:fill="auto"/>
        </w:rPr>
      </w:pPr>
      <w:r>
        <w:rPr>
          <w:rFonts w:hint="eastAsia" w:ascii="仿宋_GB2312" w:hAnsi="仿宋" w:eastAsia="仿宋_GB2312" w:cs="Calibri"/>
          <w:highlight w:val="none"/>
          <w:shd w:val="clear" w:color="auto" w:fill="auto"/>
        </w:rPr>
        <w:t xml:space="preserve"> </w:t>
      </w:r>
    </w:p>
    <w:p>
      <w:pPr>
        <w:spacing w:line="360" w:lineRule="exact"/>
        <w:ind w:firstLine="420" w:firstLineChars="200"/>
        <w:jc w:val="left"/>
        <w:rPr>
          <w:rFonts w:hint="eastAsia" w:ascii="仿宋_GB2312" w:hAnsi="仿宋" w:eastAsia="仿宋_GB2312" w:cs="Calibri"/>
          <w:highlight w:val="none"/>
          <w:shd w:val="clear" w:color="auto" w:fill="auto"/>
        </w:rPr>
      </w:pPr>
      <w:r>
        <w:rPr>
          <w:rFonts w:hint="eastAsia" w:ascii="仿宋_GB2312" w:hAnsi="仿宋" w:eastAsia="仿宋_GB2312" w:cs="Calibri"/>
          <w:highlight w:val="none"/>
          <w:shd w:val="clear" w:color="auto" w:fill="auto"/>
        </w:rPr>
        <w:t xml:space="preserve"> </w:t>
      </w:r>
    </w:p>
    <w:p>
      <w:pPr>
        <w:jc w:val="left"/>
        <w:rPr>
          <w:rFonts w:hint="eastAsia" w:ascii="宋体" w:hAnsi="Calibri" w:eastAsia="宋体" w:cs="Times New Roman"/>
          <w:color w:val="000000"/>
          <w:kern w:val="0"/>
          <w:sz w:val="32"/>
          <w:szCs w:val="32"/>
          <w:highlight w:val="none"/>
          <w:shd w:val="clear" w:color="auto" w:fill="auto"/>
        </w:rPr>
      </w:pPr>
      <w:r>
        <w:rPr>
          <w:rFonts w:hint="eastAsia" w:ascii="宋体" w:cs="Times New Roman"/>
          <w:color w:val="000000"/>
          <w:kern w:val="0"/>
          <w:sz w:val="32"/>
          <w:szCs w:val="32"/>
          <w:highlight w:val="none"/>
          <w:shd w:val="clear" w:color="auto" w:fill="auto"/>
        </w:rPr>
        <w:t xml:space="preserve"> </w:t>
      </w:r>
    </w:p>
    <w:p>
      <w:pPr>
        <w:jc w:val="left"/>
        <w:rPr>
          <w:rFonts w:hint="eastAsia" w:ascii="宋体" w:cs="Times New Roman"/>
          <w:color w:val="000000"/>
          <w:kern w:val="0"/>
          <w:sz w:val="32"/>
          <w:szCs w:val="32"/>
          <w:highlight w:val="none"/>
          <w:shd w:val="clear" w:color="auto" w:fill="auto"/>
        </w:rPr>
      </w:pPr>
      <w:r>
        <w:rPr>
          <w:rFonts w:hint="eastAsia" w:ascii="宋体" w:cs="Times New Roman"/>
          <w:color w:val="000000"/>
          <w:kern w:val="0"/>
          <w:sz w:val="32"/>
          <w:szCs w:val="32"/>
          <w:highlight w:val="none"/>
          <w:shd w:val="clear" w:color="auto" w:fill="auto"/>
        </w:rPr>
        <w:t xml:space="preserve"> </w:t>
      </w:r>
    </w:p>
    <w:p>
      <w:pPr>
        <w:jc w:val="left"/>
        <w:rPr>
          <w:rFonts w:hint="eastAsia" w:ascii="宋体" w:cs="Times New Roman"/>
          <w:color w:val="000000"/>
          <w:kern w:val="0"/>
          <w:sz w:val="32"/>
          <w:szCs w:val="32"/>
          <w:highlight w:val="none"/>
          <w:shd w:val="clear" w:color="auto" w:fill="auto"/>
        </w:rPr>
      </w:pPr>
      <w:r>
        <w:rPr>
          <w:rFonts w:hint="eastAsia" w:ascii="宋体" w:cs="Times New Roman"/>
          <w:color w:val="000000"/>
          <w:kern w:val="0"/>
          <w:sz w:val="32"/>
          <w:szCs w:val="32"/>
          <w:highlight w:val="none"/>
          <w:shd w:val="clear" w:color="auto" w:fill="auto"/>
        </w:rPr>
        <w:t xml:space="preserve"> </w:t>
      </w:r>
    </w:p>
    <w:p>
      <w:pPr>
        <w:jc w:val="left"/>
        <w:rPr>
          <w:rFonts w:hint="eastAsia" w:ascii="宋体" w:cs="Times New Roman"/>
          <w:color w:val="000000"/>
          <w:kern w:val="0"/>
          <w:sz w:val="32"/>
          <w:szCs w:val="32"/>
          <w:highlight w:val="none"/>
          <w:shd w:val="clear" w:color="auto" w:fill="auto"/>
        </w:rPr>
      </w:pPr>
      <w:r>
        <w:rPr>
          <w:rFonts w:hint="eastAsia" w:ascii="宋体" w:cs="Times New Roman"/>
          <w:color w:val="000000"/>
          <w:kern w:val="0"/>
          <w:sz w:val="32"/>
          <w:szCs w:val="32"/>
          <w:highlight w:val="none"/>
          <w:shd w:val="clear" w:color="auto" w:fill="auto"/>
        </w:rPr>
        <w:t xml:space="preserve"> </w:t>
      </w:r>
    </w:p>
    <w:p>
      <w:pPr>
        <w:jc w:val="left"/>
        <w:rPr>
          <w:rFonts w:hint="eastAsia" w:ascii="宋体" w:cs="Times New Roman"/>
          <w:color w:val="000000"/>
          <w:kern w:val="0"/>
          <w:sz w:val="32"/>
          <w:szCs w:val="32"/>
          <w:highlight w:val="none"/>
          <w:shd w:val="clear" w:color="auto" w:fill="auto"/>
        </w:rPr>
      </w:pPr>
      <w:r>
        <w:rPr>
          <w:rFonts w:hint="eastAsia" w:ascii="宋体" w:cs="Times New Roman"/>
          <w:color w:val="000000"/>
          <w:kern w:val="0"/>
          <w:sz w:val="32"/>
          <w:szCs w:val="32"/>
          <w:highlight w:val="none"/>
          <w:shd w:val="clear" w:color="auto" w:fill="auto"/>
        </w:rPr>
        <w:t xml:space="preserve"> </w:t>
      </w:r>
    </w:p>
    <w:p>
      <w:pPr>
        <w:jc w:val="left"/>
        <w:rPr>
          <w:rFonts w:hint="eastAsia" w:ascii="宋体" w:cs="Times New Roman"/>
          <w:color w:val="000000"/>
          <w:kern w:val="0"/>
          <w:sz w:val="32"/>
          <w:szCs w:val="32"/>
          <w:highlight w:val="none"/>
          <w:shd w:val="clear" w:color="auto" w:fill="auto"/>
        </w:rPr>
      </w:pPr>
      <w:r>
        <w:rPr>
          <w:rFonts w:hint="eastAsia" w:ascii="宋体" w:cs="Times New Roman"/>
          <w:color w:val="000000"/>
          <w:kern w:val="0"/>
          <w:sz w:val="32"/>
          <w:szCs w:val="32"/>
          <w:highlight w:val="none"/>
          <w:shd w:val="clear" w:color="auto" w:fill="auto"/>
        </w:rPr>
        <w:t xml:space="preserve"> </w:t>
      </w:r>
    </w:p>
    <w:p>
      <w:pPr>
        <w:snapToGrid w:val="0"/>
        <w:spacing w:line="540" w:lineRule="exact"/>
        <w:jc w:val="center"/>
        <w:rPr>
          <w:rFonts w:hint="eastAsia" w:ascii="宋体" w:hAnsi="宋体" w:cs="仿宋_GB2312"/>
          <w:b/>
          <w:bCs/>
          <w:color w:val="000000"/>
          <w:kern w:val="0"/>
          <w:sz w:val="36"/>
          <w:szCs w:val="36"/>
          <w:highlight w:val="none"/>
          <w:shd w:val="clear" w:color="auto" w:fill="auto"/>
        </w:rPr>
      </w:pPr>
      <w:r>
        <w:rPr>
          <w:rFonts w:hint="eastAsia" w:ascii="宋体" w:hAnsi="宋体" w:cs="仿宋_GB2312"/>
          <w:b/>
          <w:bCs/>
          <w:color w:val="000000"/>
          <w:kern w:val="0"/>
          <w:sz w:val="36"/>
          <w:szCs w:val="36"/>
          <w:highlight w:val="none"/>
          <w:shd w:val="clear" w:color="auto" w:fill="auto"/>
        </w:rPr>
        <w:t>专项支出绩效评价自评报告公开</w:t>
      </w:r>
    </w:p>
    <w:p>
      <w:pPr>
        <w:snapToGrid w:val="0"/>
        <w:spacing w:line="300" w:lineRule="exact"/>
        <w:jc w:val="center"/>
        <w:rPr>
          <w:rFonts w:hint="eastAsia" w:ascii="宋体" w:hAnsi="宋体" w:cs="仿宋_GB2312"/>
          <w:b/>
          <w:bCs/>
          <w:color w:val="000000"/>
          <w:kern w:val="0"/>
          <w:sz w:val="36"/>
          <w:szCs w:val="36"/>
          <w:highlight w:val="none"/>
          <w:shd w:val="clear" w:color="auto" w:fill="auto"/>
        </w:rPr>
      </w:pPr>
      <w:r>
        <w:rPr>
          <w:rFonts w:hint="eastAsia" w:ascii="宋体" w:hAnsi="宋体" w:cs="仿宋_GB2312"/>
          <w:b/>
          <w:bCs/>
          <w:color w:val="000000"/>
          <w:kern w:val="0"/>
          <w:sz w:val="36"/>
          <w:szCs w:val="36"/>
          <w:highlight w:val="none"/>
          <w:shd w:val="clear" w:color="auto" w:fill="auto"/>
        </w:rPr>
        <w:t xml:space="preserve"> </w:t>
      </w:r>
    </w:p>
    <w:tbl>
      <w:tblPr>
        <w:tblStyle w:val="7"/>
        <w:tblW w:w="8100" w:type="dxa"/>
        <w:jc w:val="center"/>
        <w:tblInd w:w="0" w:type="dxa"/>
        <w:tblLayout w:type="fixed"/>
        <w:tblCellMar>
          <w:top w:w="0" w:type="dxa"/>
          <w:left w:w="108" w:type="dxa"/>
          <w:bottom w:w="0" w:type="dxa"/>
          <w:right w:w="108" w:type="dxa"/>
        </w:tblCellMar>
      </w:tblPr>
      <w:tblGrid>
        <w:gridCol w:w="1080"/>
        <w:gridCol w:w="1487"/>
        <w:gridCol w:w="5533"/>
      </w:tblGrid>
      <w:tr>
        <w:tblPrEx>
          <w:tblLayout w:type="fixed"/>
          <w:tblCellMar>
            <w:top w:w="0" w:type="dxa"/>
            <w:left w:w="108" w:type="dxa"/>
            <w:bottom w:w="0" w:type="dxa"/>
            <w:right w:w="108" w:type="dxa"/>
          </w:tblCellMar>
        </w:tblPrEx>
        <w:trPr>
          <w:trHeight w:val="531" w:hRule="atLeast"/>
          <w:jc w:val="center"/>
        </w:trPr>
        <w:tc>
          <w:tcPr>
            <w:tcW w:w="10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部门概况</w:t>
            </w:r>
          </w:p>
        </w:tc>
        <w:tc>
          <w:tcPr>
            <w:tcW w:w="148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专项名称</w:t>
            </w:r>
          </w:p>
        </w:tc>
        <w:tc>
          <w:tcPr>
            <w:tcW w:w="5533"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2021年湘潭县现代农业示范园及特色乡镇建设项目</w:t>
            </w:r>
          </w:p>
        </w:tc>
      </w:tr>
      <w:tr>
        <w:tblPrEx>
          <w:tblLayout w:type="fixed"/>
          <w:tblCellMar>
            <w:top w:w="0" w:type="dxa"/>
            <w:left w:w="108" w:type="dxa"/>
            <w:bottom w:w="0" w:type="dxa"/>
            <w:right w:w="108" w:type="dxa"/>
          </w:tblCellMar>
        </w:tblPrEx>
        <w:trPr>
          <w:trHeight w:val="510" w:hRule="atLeast"/>
          <w:jc w:val="center"/>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年度预算金额</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350万元</w:t>
            </w:r>
          </w:p>
        </w:tc>
      </w:tr>
      <w:tr>
        <w:tblPrEx>
          <w:tblLayout w:type="fixed"/>
          <w:tblCellMar>
            <w:top w:w="0" w:type="dxa"/>
            <w:left w:w="108" w:type="dxa"/>
            <w:bottom w:w="0" w:type="dxa"/>
            <w:right w:w="108" w:type="dxa"/>
          </w:tblCellMar>
        </w:tblPrEx>
        <w:trPr>
          <w:trHeight w:val="510" w:hRule="atLeast"/>
          <w:jc w:val="center"/>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项目主管部门</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湘潭县农业农村局</w:t>
            </w:r>
          </w:p>
        </w:tc>
      </w:tr>
      <w:tr>
        <w:tblPrEx>
          <w:tblLayout w:type="fixed"/>
          <w:tblCellMar>
            <w:top w:w="0" w:type="dxa"/>
            <w:left w:w="108" w:type="dxa"/>
            <w:bottom w:w="0" w:type="dxa"/>
            <w:right w:w="108" w:type="dxa"/>
          </w:tblCellMar>
        </w:tblPrEx>
        <w:trPr>
          <w:trHeight w:val="1020" w:hRule="atLeast"/>
          <w:jc w:val="center"/>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项目立项目的</w:t>
            </w:r>
          </w:p>
        </w:tc>
        <w:tc>
          <w:tcPr>
            <w:tcW w:w="5533" w:type="dxa"/>
            <w:tcBorders>
              <w:top w:val="nil"/>
              <w:left w:val="nil"/>
              <w:bottom w:val="single" w:color="auto" w:sz="4" w:space="0"/>
              <w:right w:val="single" w:color="auto" w:sz="4" w:space="0"/>
            </w:tcBorders>
            <w:vAlign w:val="center"/>
          </w:tcPr>
          <w:p>
            <w:pPr>
              <w:widowControl/>
              <w:spacing w:line="340" w:lineRule="exact"/>
              <w:ind w:firstLine="420" w:firstLineChars="200"/>
              <w:jc w:val="left"/>
              <w:rPr>
                <w:rFonts w:ascii="仿宋" w:hAnsi="仿宋" w:eastAsia="仿宋" w:cs="宋体"/>
                <w:color w:val="000000"/>
                <w:kern w:val="0"/>
                <w:szCs w:val="21"/>
                <w:highlight w:val="none"/>
                <w:shd w:val="clear" w:color="auto" w:fill="auto"/>
              </w:rPr>
            </w:pPr>
            <w:r>
              <w:rPr>
                <w:rFonts w:hint="eastAsia" w:ascii="仿宋" w:hAnsi="仿宋" w:eastAsia="仿宋"/>
                <w:kern w:val="0"/>
                <w:highlight w:val="none"/>
                <w:shd w:val="clear" w:color="auto" w:fill="auto"/>
              </w:rPr>
              <w:t>县委、县政府将现代农业示范园建设作为全县乡村振兴工作的重要抓手，为有效推进全县现代农业发展，加快“三园两镇”建设进程，力争通过三到五年建设，促进各园区率先实现农业现代化，农村社会各项事业走在省、市前列。项目安排“三园两镇”工作经费，用于各类事务支出和支持基础设施建设、产业发展；园区工作调度、宣传、会务；创建国家级现代农业示范区和特色小镇的数据搜集、统计；农民人均可支配收入数据统计、协调等工作开支。</w:t>
            </w:r>
          </w:p>
        </w:tc>
      </w:tr>
      <w:tr>
        <w:tblPrEx>
          <w:tblLayout w:type="fixed"/>
          <w:tblCellMar>
            <w:top w:w="0" w:type="dxa"/>
            <w:left w:w="108" w:type="dxa"/>
            <w:bottom w:w="0" w:type="dxa"/>
            <w:right w:w="108" w:type="dxa"/>
          </w:tblCellMar>
        </w:tblPrEx>
        <w:trPr>
          <w:trHeight w:val="1680" w:hRule="atLeast"/>
          <w:jc w:val="center"/>
        </w:trPr>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绩效情况</w:t>
            </w: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项目支出管理和使用基本情况</w:t>
            </w:r>
          </w:p>
        </w:tc>
        <w:tc>
          <w:tcPr>
            <w:tcW w:w="5533" w:type="dxa"/>
            <w:tcBorders>
              <w:top w:val="nil"/>
              <w:left w:val="nil"/>
              <w:bottom w:val="single" w:color="auto" w:sz="4" w:space="0"/>
              <w:right w:val="single" w:color="auto" w:sz="4" w:space="0"/>
            </w:tcBorders>
            <w:vAlign w:val="center"/>
          </w:tcPr>
          <w:p>
            <w:pPr>
              <w:widowControl/>
              <w:spacing w:beforeLines="50" w:line="340" w:lineRule="exact"/>
              <w:ind w:firstLine="420" w:firstLineChars="200"/>
              <w:rPr>
                <w:rFonts w:ascii="仿宋" w:hAnsi="仿宋" w:eastAsia="仿宋" w:cs="宋体"/>
                <w:color w:val="000000"/>
                <w:kern w:val="0"/>
                <w:szCs w:val="21"/>
                <w:highlight w:val="none"/>
                <w:shd w:val="clear" w:color="auto" w:fill="auto"/>
              </w:rPr>
            </w:pPr>
            <w:r>
              <w:rPr>
                <w:rFonts w:hint="eastAsia" w:ascii="仿宋" w:hAnsi="仿宋" w:eastAsia="仿宋"/>
                <w:kern w:val="0"/>
                <w:highlight w:val="none"/>
                <w:shd w:val="clear" w:color="auto" w:fill="auto"/>
              </w:rPr>
              <w:t>2021年现代农业示范园及特色乡镇建设资金共350万元，花石特色镇（含天马现代农业示范园）150万元，梅林桥现代农业示范园建设指挥部120万元，碧泉潭现代农业示范园建设指挥部30万元，县农业农村局50万元。项目资金主要用于各类事务支出和支持基础设施建设、产业发展；园区工作和特色小镇的调度、宣传、会务；创建国家级现代农业示范区和特色小镇的数据搜集、统计；农民人均可支配收入数据统计、协调等工作开支。</w:t>
            </w:r>
          </w:p>
        </w:tc>
      </w:tr>
      <w:tr>
        <w:tblPrEx>
          <w:tblLayout w:type="fixed"/>
          <w:tblCellMar>
            <w:top w:w="0" w:type="dxa"/>
            <w:left w:w="108" w:type="dxa"/>
            <w:bottom w:w="0" w:type="dxa"/>
            <w:right w:w="108" w:type="dxa"/>
          </w:tblCellMar>
        </w:tblPrEx>
        <w:trPr>
          <w:trHeight w:val="123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项目绩效目标完成情况</w:t>
            </w:r>
          </w:p>
        </w:tc>
        <w:tc>
          <w:tcPr>
            <w:tcW w:w="5533" w:type="dxa"/>
            <w:tcBorders>
              <w:top w:val="nil"/>
              <w:left w:val="nil"/>
              <w:bottom w:val="single" w:color="auto" w:sz="4" w:space="0"/>
              <w:right w:val="single" w:color="auto" w:sz="4" w:space="0"/>
            </w:tcBorders>
            <w:vAlign w:val="center"/>
          </w:tcPr>
          <w:p>
            <w:pPr>
              <w:widowControl/>
              <w:ind w:firstLine="420" w:firstLineChars="200"/>
              <w:jc w:val="left"/>
              <w:rPr>
                <w:rFonts w:ascii="仿宋_GB2312" w:hAnsi="宋体" w:eastAsia="仿宋_GB2312" w:cs="宋体"/>
                <w:color w:val="000000"/>
                <w:kern w:val="0"/>
                <w:szCs w:val="21"/>
                <w:highlight w:val="none"/>
                <w:shd w:val="clear" w:color="auto" w:fill="auto"/>
              </w:rPr>
            </w:pPr>
            <w:r>
              <w:rPr>
                <w:rFonts w:hint="eastAsia" w:ascii="仿宋" w:hAnsi="仿宋" w:eastAsia="仿宋"/>
                <w:kern w:val="0"/>
                <w:highlight w:val="none"/>
                <w:shd w:val="clear" w:color="auto" w:fill="auto"/>
              </w:rPr>
              <w:t>项目顺利完成了三个园区和一个特色乡镇2021年度的建设任务，取得了良好成效。举办了花石荷花节等节会，农民收入得到增加，园区卫生环境得到较大改观，园区及特色乡镇内新型农业经营主体负责人及群众对此都很满意。现代农业示范园及特色乡镇建设项目工作的有序开展，根据《绩效评价指标》进行自我评分，得分98分（详见附表），财政支出绩效为“优秀”。</w:t>
            </w:r>
          </w:p>
        </w:tc>
      </w:tr>
      <w:tr>
        <w:tblPrEx>
          <w:tblLayout w:type="fixed"/>
          <w:tblCellMar>
            <w:top w:w="0" w:type="dxa"/>
            <w:left w:w="108" w:type="dxa"/>
            <w:bottom w:w="0" w:type="dxa"/>
            <w:right w:w="108" w:type="dxa"/>
          </w:tblCellMar>
        </w:tblPrEx>
        <w:trPr>
          <w:trHeight w:val="510" w:hRule="atLeast"/>
          <w:jc w:val="center"/>
        </w:trPr>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存在的问题分析及改进措施</w:t>
            </w: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存在的问题</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项目建设资金缺口较大，资金拨付进度较慢。</w:t>
            </w:r>
          </w:p>
        </w:tc>
      </w:tr>
      <w:tr>
        <w:tblPrEx>
          <w:tblLayout w:type="fixed"/>
          <w:tblCellMar>
            <w:top w:w="0" w:type="dxa"/>
            <w:left w:w="108" w:type="dxa"/>
            <w:bottom w:w="0" w:type="dxa"/>
            <w:right w:w="108" w:type="dxa"/>
          </w:tblCellMar>
        </w:tblPrEx>
        <w:trPr>
          <w:trHeight w:val="58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改进措施</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建议加大资金投入，加快资金拨付。</w:t>
            </w:r>
          </w:p>
        </w:tc>
      </w:tr>
      <w:tr>
        <w:tblPrEx>
          <w:tblLayout w:type="fixed"/>
          <w:tblCellMar>
            <w:top w:w="0" w:type="dxa"/>
            <w:left w:w="108" w:type="dxa"/>
            <w:bottom w:w="0" w:type="dxa"/>
            <w:right w:w="108" w:type="dxa"/>
          </w:tblCellMar>
        </w:tblPrEx>
        <w:trPr>
          <w:trHeight w:val="51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highlight w:val="none"/>
                <w:shd w:val="clear" w:color="auto" w:fill="auto"/>
              </w:rPr>
            </w:pPr>
          </w:p>
        </w:tc>
        <w:tc>
          <w:tcPr>
            <w:tcW w:w="148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其他需要说明问题</w:t>
            </w:r>
          </w:p>
        </w:tc>
        <w:tc>
          <w:tcPr>
            <w:tcW w:w="553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highlight w:val="none"/>
                <w:shd w:val="clear" w:color="auto" w:fill="auto"/>
              </w:rPr>
            </w:pPr>
            <w:r>
              <w:rPr>
                <w:rFonts w:hint="eastAsia" w:ascii="仿宋_GB2312" w:hAnsi="宋体" w:eastAsia="仿宋_GB2312"/>
                <w:color w:val="000000"/>
                <w:kern w:val="0"/>
                <w:highlight w:val="none"/>
                <w:shd w:val="clear" w:color="auto" w:fill="auto"/>
              </w:rPr>
              <w:t>无</w:t>
            </w:r>
          </w:p>
        </w:tc>
      </w:tr>
    </w:tbl>
    <w:p>
      <w:pPr>
        <w:spacing w:line="360" w:lineRule="exact"/>
        <w:ind w:firstLine="420" w:firstLineChars="200"/>
        <w:jc w:val="left"/>
        <w:rPr>
          <w:rFonts w:hint="eastAsia" w:ascii="仿宋_GB2312" w:hAnsi="仿宋" w:eastAsia="仿宋_GB2312" w:cs="Calibri"/>
          <w:szCs w:val="21"/>
          <w:highlight w:val="none"/>
          <w:shd w:val="clear" w:color="auto" w:fill="auto"/>
        </w:rPr>
      </w:pPr>
      <w:r>
        <w:rPr>
          <w:rFonts w:hint="eastAsia" w:ascii="仿宋_GB2312" w:hAnsi="仿宋" w:eastAsia="仿宋_GB2312" w:cs="Calibri"/>
          <w:highlight w:val="none"/>
          <w:shd w:val="clear" w:color="auto" w:fill="auto"/>
        </w:rPr>
        <w:t xml:space="preserve"> </w:t>
      </w:r>
    </w:p>
    <w:p>
      <w:pPr>
        <w:jc w:val="left"/>
        <w:rPr>
          <w:rFonts w:hint="eastAsia" w:ascii="宋体" w:hAnsi="Calibri" w:eastAsia="宋体" w:cs="Times New Roman"/>
          <w:color w:val="000000"/>
          <w:kern w:val="0"/>
          <w:sz w:val="32"/>
          <w:szCs w:val="32"/>
          <w:highlight w:val="none"/>
          <w:shd w:val="clear" w:color="auto" w:fill="auto"/>
        </w:rPr>
      </w:pPr>
      <w:r>
        <w:rPr>
          <w:rFonts w:hint="eastAsia" w:ascii="宋体" w:cs="Times New Roman"/>
          <w:color w:val="000000"/>
          <w:kern w:val="0"/>
          <w:sz w:val="32"/>
          <w:szCs w:val="32"/>
          <w:highlight w:val="none"/>
          <w:shd w:val="clear" w:color="auto" w:fill="auto"/>
        </w:rPr>
        <w:t xml:space="preserve"> </w:t>
      </w:r>
    </w:p>
    <w:p>
      <w:pPr>
        <w:jc w:val="left"/>
        <w:rPr>
          <w:rFonts w:hint="eastAsia" w:ascii="宋体" w:cs="Times New Roman"/>
          <w:color w:val="000000"/>
          <w:kern w:val="0"/>
          <w:sz w:val="32"/>
          <w:szCs w:val="32"/>
          <w:highlight w:val="none"/>
          <w:shd w:val="clear" w:color="auto" w:fill="auto"/>
        </w:rPr>
      </w:pPr>
      <w:r>
        <w:rPr>
          <w:rFonts w:hint="eastAsia" w:ascii="宋体" w:cs="Times New Roman"/>
          <w:color w:val="000000"/>
          <w:kern w:val="0"/>
          <w:sz w:val="32"/>
          <w:szCs w:val="32"/>
          <w:highlight w:val="none"/>
          <w:shd w:val="clear" w:color="auto" w:fill="auto"/>
        </w:rPr>
        <w:t xml:space="preserve"> </w:t>
      </w:r>
    </w:p>
    <w:p>
      <w:pPr>
        <w:snapToGrid w:val="0"/>
        <w:spacing w:line="540" w:lineRule="exact"/>
        <w:jc w:val="center"/>
        <w:rPr>
          <w:rFonts w:hint="eastAsia" w:ascii="宋体" w:hAnsi="宋体" w:cs="仿宋_GB2312"/>
          <w:b/>
          <w:bCs/>
          <w:color w:val="000000"/>
          <w:kern w:val="0"/>
          <w:sz w:val="36"/>
          <w:szCs w:val="36"/>
          <w:highlight w:val="none"/>
          <w:shd w:val="clear" w:color="auto" w:fill="auto"/>
        </w:rPr>
      </w:pPr>
      <w:r>
        <w:rPr>
          <w:rFonts w:hint="eastAsia" w:ascii="宋体" w:hAnsi="宋体" w:cs="仿宋_GB2312"/>
          <w:b/>
          <w:bCs/>
          <w:color w:val="000000"/>
          <w:kern w:val="0"/>
          <w:sz w:val="36"/>
          <w:szCs w:val="36"/>
          <w:highlight w:val="none"/>
          <w:shd w:val="clear" w:color="auto" w:fill="auto"/>
        </w:rPr>
        <w:t>专项支出绩效评价自评报告公开</w:t>
      </w:r>
    </w:p>
    <w:tbl>
      <w:tblPr>
        <w:tblStyle w:val="7"/>
        <w:tblW w:w="93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809"/>
        <w:gridCol w:w="5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jc w:val="center"/>
        </w:trPr>
        <w:tc>
          <w:tcPr>
            <w:tcW w:w="1809"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宋体"/>
                <w:sz w:val="24"/>
                <w:szCs w:val="24"/>
                <w:highlight w:val="none"/>
                <w:shd w:val="clear" w:color="auto" w:fill="auto"/>
              </w:rPr>
            </w:pPr>
            <w:r>
              <w:rPr>
                <w:rFonts w:hint="eastAsia" w:ascii="宋体" w:hAnsi="宋体"/>
                <w:sz w:val="24"/>
                <w:szCs w:val="24"/>
                <w:highlight w:val="none"/>
                <w:shd w:val="clear" w:color="auto" w:fill="auto"/>
              </w:rPr>
              <w:t>项目概况</w:t>
            </w:r>
          </w:p>
        </w:tc>
        <w:tc>
          <w:tcPr>
            <w:tcW w:w="1809"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cs="宋体"/>
                <w:sz w:val="24"/>
                <w:szCs w:val="24"/>
                <w:highlight w:val="none"/>
                <w:shd w:val="clear" w:color="auto" w:fill="auto"/>
              </w:rPr>
            </w:pPr>
            <w:r>
              <w:rPr>
                <w:rFonts w:hint="eastAsia" w:ascii="宋体" w:hAnsi="宋体"/>
                <w:sz w:val="24"/>
                <w:szCs w:val="24"/>
                <w:highlight w:val="none"/>
                <w:shd w:val="clear" w:color="auto" w:fill="auto"/>
              </w:rPr>
              <w:t>专项名称</w:t>
            </w:r>
          </w:p>
        </w:tc>
        <w:tc>
          <w:tcPr>
            <w:tcW w:w="5700" w:type="dxa"/>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highlight w:val="none"/>
                <w:shd w:val="clear" w:color="auto" w:fill="auto"/>
              </w:rPr>
            </w:pPr>
            <w:r>
              <w:rPr>
                <w:rFonts w:hint="eastAsia" w:ascii="仿宋" w:hAnsi="仿宋" w:eastAsia="仿宋"/>
                <w:sz w:val="24"/>
                <w:szCs w:val="24"/>
                <w:highlight w:val="none"/>
                <w:shd w:val="clear" w:color="auto" w:fill="auto"/>
              </w:rPr>
              <w:t>湘潭县畜禽粪污资源化利用整县推进项目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18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 w:val="24"/>
                <w:szCs w:val="24"/>
                <w:highlight w:val="none"/>
                <w:shd w:val="clear" w:color="auto" w:fill="auto"/>
              </w:rPr>
            </w:pPr>
          </w:p>
        </w:tc>
        <w:tc>
          <w:tcPr>
            <w:tcW w:w="1809"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cs="宋体"/>
                <w:sz w:val="24"/>
                <w:szCs w:val="24"/>
                <w:highlight w:val="none"/>
                <w:shd w:val="clear" w:color="auto" w:fill="auto"/>
              </w:rPr>
            </w:pPr>
            <w:r>
              <w:rPr>
                <w:rFonts w:hint="eastAsia" w:ascii="宋体" w:hAnsi="宋体"/>
                <w:sz w:val="24"/>
                <w:szCs w:val="24"/>
                <w:highlight w:val="none"/>
                <w:shd w:val="clear" w:color="auto" w:fill="auto"/>
              </w:rPr>
              <w:t>年度预算金额</w:t>
            </w:r>
          </w:p>
        </w:tc>
        <w:tc>
          <w:tcPr>
            <w:tcW w:w="5700" w:type="dxa"/>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highlight w:val="none"/>
                <w:shd w:val="clear" w:color="auto" w:fill="auto"/>
              </w:rPr>
            </w:pPr>
            <w:r>
              <w:rPr>
                <w:rFonts w:hint="eastAsia" w:ascii="仿宋" w:hAnsi="仿宋" w:eastAsia="仿宋"/>
                <w:sz w:val="24"/>
                <w:szCs w:val="24"/>
                <w:highlight w:val="none"/>
                <w:shd w:val="clear" w:color="auto" w:fill="auto"/>
              </w:rPr>
              <w:t>7495.88万元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jc w:val="center"/>
        </w:trPr>
        <w:tc>
          <w:tcPr>
            <w:tcW w:w="18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 w:val="24"/>
                <w:szCs w:val="24"/>
                <w:highlight w:val="none"/>
                <w:shd w:val="clear" w:color="auto" w:fill="auto"/>
              </w:rPr>
            </w:pPr>
          </w:p>
        </w:tc>
        <w:tc>
          <w:tcPr>
            <w:tcW w:w="1809"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cs="宋体"/>
                <w:sz w:val="24"/>
                <w:szCs w:val="24"/>
                <w:highlight w:val="none"/>
                <w:shd w:val="clear" w:color="auto" w:fill="auto"/>
              </w:rPr>
            </w:pPr>
            <w:r>
              <w:rPr>
                <w:rFonts w:hint="eastAsia" w:ascii="宋体" w:hAnsi="宋体"/>
                <w:sz w:val="24"/>
                <w:szCs w:val="24"/>
                <w:highlight w:val="none"/>
                <w:shd w:val="clear" w:color="auto" w:fill="auto"/>
              </w:rPr>
              <w:t>项目主管部门</w:t>
            </w:r>
          </w:p>
        </w:tc>
        <w:tc>
          <w:tcPr>
            <w:tcW w:w="5700" w:type="dxa"/>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highlight w:val="none"/>
                <w:shd w:val="clear" w:color="auto" w:fill="auto"/>
              </w:rPr>
            </w:pPr>
            <w:r>
              <w:rPr>
                <w:rFonts w:hint="eastAsia" w:ascii="仿宋" w:hAnsi="仿宋" w:eastAsia="仿宋"/>
                <w:sz w:val="24"/>
                <w:szCs w:val="24"/>
                <w:highlight w:val="none"/>
                <w:shd w:val="clear" w:color="auto" w:fill="auto"/>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8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 w:val="24"/>
                <w:szCs w:val="24"/>
                <w:highlight w:val="none"/>
                <w:shd w:val="clear" w:color="auto" w:fill="auto"/>
              </w:rPr>
            </w:pPr>
          </w:p>
        </w:tc>
        <w:tc>
          <w:tcPr>
            <w:tcW w:w="1809"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cs="宋体"/>
                <w:sz w:val="24"/>
                <w:szCs w:val="24"/>
                <w:highlight w:val="none"/>
                <w:shd w:val="clear" w:color="auto" w:fill="auto"/>
              </w:rPr>
            </w:pPr>
            <w:r>
              <w:rPr>
                <w:rFonts w:hint="eastAsia" w:ascii="宋体" w:hAnsi="宋体"/>
                <w:sz w:val="24"/>
                <w:szCs w:val="24"/>
                <w:highlight w:val="none"/>
                <w:shd w:val="clear" w:color="auto" w:fill="auto"/>
              </w:rPr>
              <w:t>项目立项目的</w:t>
            </w:r>
          </w:p>
        </w:tc>
        <w:tc>
          <w:tcPr>
            <w:tcW w:w="5700" w:type="dxa"/>
            <w:tcBorders>
              <w:top w:val="single" w:color="auto" w:sz="4" w:space="0"/>
              <w:left w:val="nil"/>
              <w:bottom w:val="single" w:color="auto" w:sz="4" w:space="0"/>
              <w:right w:val="single" w:color="auto" w:sz="4" w:space="0"/>
            </w:tcBorders>
            <w:vAlign w:val="center"/>
          </w:tcPr>
          <w:p>
            <w:pPr>
              <w:adjustRightInd w:val="0"/>
              <w:snapToGrid w:val="0"/>
              <w:ind w:firstLine="600"/>
              <w:rPr>
                <w:rFonts w:ascii="仿宋" w:hAnsi="仿宋" w:eastAsia="仿宋" w:cs="宋体"/>
                <w:sz w:val="24"/>
                <w:szCs w:val="24"/>
                <w:highlight w:val="none"/>
                <w:shd w:val="clear" w:color="auto" w:fill="auto"/>
              </w:rPr>
            </w:pPr>
            <w:r>
              <w:rPr>
                <w:rFonts w:hint="eastAsia" w:ascii="仿宋" w:hAnsi="仿宋" w:eastAsia="仿宋"/>
                <w:sz w:val="24"/>
                <w:szCs w:val="24"/>
                <w:highlight w:val="none"/>
                <w:shd w:val="clear" w:color="auto" w:fill="auto"/>
              </w:rPr>
              <w:t>我县畜禽粪污资源化利用整县推进项目于2018年3月通过湖南省发改委批准同意正式开始实施，项目建设工期为2年。项目计划通过3年左右时间的努力，实现县域内生态环境明显提升，打造全国“两型农业”样板区。实现栏舍垫料、畜禽粪便基本实现资源化利用，有机肥替代化肥量逐年提升，农牧业同步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jc w:val="center"/>
        </w:trPr>
        <w:tc>
          <w:tcPr>
            <w:tcW w:w="1809" w:type="dxa"/>
            <w:vMerge w:val="restart"/>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eastAsia="宋体" w:cs="宋体"/>
                <w:sz w:val="24"/>
                <w:szCs w:val="24"/>
                <w:highlight w:val="none"/>
                <w:shd w:val="clear" w:color="auto" w:fill="auto"/>
              </w:rPr>
            </w:pPr>
            <w:r>
              <w:rPr>
                <w:rFonts w:hint="eastAsia" w:ascii="宋体" w:hAnsi="宋体"/>
                <w:sz w:val="24"/>
                <w:szCs w:val="24"/>
                <w:highlight w:val="none"/>
                <w:shd w:val="clear" w:color="auto" w:fill="auto"/>
              </w:rPr>
              <w:t>绩效情况</w:t>
            </w:r>
          </w:p>
        </w:tc>
        <w:tc>
          <w:tcPr>
            <w:tcW w:w="1809"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cs="宋体"/>
                <w:sz w:val="24"/>
                <w:szCs w:val="24"/>
                <w:highlight w:val="none"/>
                <w:shd w:val="clear" w:color="auto" w:fill="auto"/>
              </w:rPr>
            </w:pPr>
            <w:r>
              <w:rPr>
                <w:rFonts w:hint="eastAsia" w:ascii="宋体" w:hAnsi="宋体"/>
                <w:sz w:val="24"/>
                <w:szCs w:val="24"/>
                <w:highlight w:val="none"/>
                <w:shd w:val="clear" w:color="auto" w:fill="auto"/>
              </w:rPr>
              <w:t>项目支出管理和使用基本情况</w:t>
            </w:r>
          </w:p>
        </w:tc>
        <w:tc>
          <w:tcPr>
            <w:tcW w:w="5700" w:type="dxa"/>
            <w:tcBorders>
              <w:top w:val="single" w:color="auto" w:sz="4" w:space="0"/>
              <w:left w:val="nil"/>
              <w:bottom w:val="single" w:color="auto" w:sz="4" w:space="0"/>
              <w:right w:val="single" w:color="auto" w:sz="4" w:space="0"/>
            </w:tcBorders>
            <w:vAlign w:val="center"/>
          </w:tcPr>
          <w:p>
            <w:pPr>
              <w:spacing w:line="320" w:lineRule="exact"/>
              <w:ind w:firstLine="602"/>
              <w:rPr>
                <w:rFonts w:ascii="仿宋" w:hAnsi="仿宋" w:eastAsia="仿宋" w:cs="宋体"/>
                <w:sz w:val="24"/>
                <w:szCs w:val="24"/>
                <w:highlight w:val="none"/>
                <w:shd w:val="clear" w:color="auto" w:fill="auto"/>
              </w:rPr>
            </w:pPr>
            <w:r>
              <w:rPr>
                <w:rFonts w:hint="eastAsia" w:ascii="仿宋" w:hAnsi="仿宋" w:eastAsia="仿宋"/>
                <w:sz w:val="24"/>
                <w:szCs w:val="24"/>
                <w:highlight w:val="none"/>
                <w:shd w:val="clear" w:color="auto" w:fill="auto"/>
              </w:rPr>
              <w:t>整个项目计划投资总额15017.35万元，其中中央财政资金6000万元，县级财政配套资金1495.88万元，实施主体自筹资金7521.47万。财政预算资金主要用于：一是建设一个年产10万吨有机肥的区域性粪污集中处理中心，配置粪污收集、贮存、有机肥生产加工设施设备，配置粪肥专用输送车辆，集中收集处理周边养殖密集乡镇规模场户的畜禽粪污进行资源化利用，财政资金投入800万元；二是新建6个大型规模化养殖场沼气工程，财政资金投入1260.758万元；三是9个大型沼气配套设施改造升级工程，财政资金投入530.63万元；四是对280个规模场户和4个蔬菜基地分类实施粪污治理工程、粪污处理设施改造工程、粪污处理配套设施改造升级工程，财政资金投入4904.492万元。到目前为止，财政资金实际已支出共5768.22万元，结余结转资金共1727.66万元。项目资金按要求做到了专项核算，专账备查，专款专用，无截留、挪用等情况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jc w:val="center"/>
        </w:trPr>
        <w:tc>
          <w:tcPr>
            <w:tcW w:w="18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sz w:val="24"/>
                <w:szCs w:val="24"/>
                <w:highlight w:val="none"/>
                <w:shd w:val="clear" w:color="auto" w:fill="auto"/>
              </w:rPr>
            </w:pPr>
          </w:p>
        </w:tc>
        <w:tc>
          <w:tcPr>
            <w:tcW w:w="1809"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cs="宋体"/>
                <w:sz w:val="24"/>
                <w:szCs w:val="24"/>
                <w:highlight w:val="none"/>
                <w:shd w:val="clear" w:color="auto" w:fill="auto"/>
              </w:rPr>
            </w:pPr>
            <w:r>
              <w:rPr>
                <w:rFonts w:hint="eastAsia" w:ascii="宋体" w:hAnsi="宋体"/>
                <w:sz w:val="24"/>
                <w:szCs w:val="24"/>
                <w:highlight w:val="none"/>
                <w:shd w:val="clear" w:color="auto" w:fill="auto"/>
              </w:rPr>
              <w:t>项目绩效目标完成情况</w:t>
            </w:r>
          </w:p>
        </w:tc>
        <w:tc>
          <w:tcPr>
            <w:tcW w:w="5700" w:type="dxa"/>
            <w:tcBorders>
              <w:top w:val="single" w:color="auto" w:sz="4" w:space="0"/>
              <w:left w:val="nil"/>
              <w:bottom w:val="single" w:color="auto" w:sz="4" w:space="0"/>
              <w:right w:val="single" w:color="auto" w:sz="4" w:space="0"/>
            </w:tcBorders>
            <w:vAlign w:val="center"/>
          </w:tcPr>
          <w:p>
            <w:pPr>
              <w:spacing w:line="320" w:lineRule="exact"/>
              <w:ind w:firstLine="480" w:firstLineChars="200"/>
              <w:rPr>
                <w:rFonts w:ascii="仿宋" w:hAnsi="仿宋" w:eastAsia="仿宋" w:cs="宋体"/>
                <w:sz w:val="24"/>
                <w:szCs w:val="24"/>
                <w:highlight w:val="none"/>
                <w:shd w:val="clear" w:color="auto" w:fill="auto"/>
              </w:rPr>
            </w:pPr>
            <w:r>
              <w:rPr>
                <w:rFonts w:hint="eastAsia" w:ascii="仿宋" w:hAnsi="仿宋" w:eastAsia="仿宋"/>
                <w:sz w:val="24"/>
                <w:szCs w:val="24"/>
                <w:highlight w:val="none"/>
                <w:shd w:val="clear" w:color="auto" w:fill="auto"/>
              </w:rPr>
              <w:t>我县始终坚持绿色发展理念，立足生态文明建设和现代畜牧业建设的总体部署，加速推进我县畜禽粪污资源化利用工作，截至目前为止，我县畜禽粪污综合利用率达到了90%以上，规模场畜禽粪污处理设施装备配套率达到100%，有机肥替代化肥比例提升到20%，种养结合的消纳地面积达到60万亩，基本达到了最初的设计要求，为实现现代生态循环农业发展体系和建立农业可持续发展长效机制奠定了坚实的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809" w:type="dxa"/>
            <w:vMerge w:val="restart"/>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eastAsia="宋体" w:cs="宋体"/>
                <w:sz w:val="24"/>
                <w:szCs w:val="24"/>
                <w:highlight w:val="none"/>
                <w:shd w:val="clear" w:color="auto" w:fill="auto"/>
              </w:rPr>
            </w:pPr>
            <w:r>
              <w:rPr>
                <w:rFonts w:hint="eastAsia" w:ascii="宋体" w:hAnsi="宋体"/>
                <w:sz w:val="24"/>
                <w:szCs w:val="24"/>
                <w:highlight w:val="none"/>
                <w:shd w:val="clear" w:color="auto" w:fill="auto"/>
              </w:rPr>
              <w:t>存在的问题分析及改进措施</w:t>
            </w:r>
          </w:p>
        </w:tc>
        <w:tc>
          <w:tcPr>
            <w:tcW w:w="1809"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cs="宋体"/>
                <w:sz w:val="24"/>
                <w:szCs w:val="24"/>
                <w:highlight w:val="none"/>
                <w:shd w:val="clear" w:color="auto" w:fill="auto"/>
              </w:rPr>
            </w:pPr>
            <w:r>
              <w:rPr>
                <w:rFonts w:hint="eastAsia" w:ascii="宋体" w:hAnsi="宋体"/>
                <w:sz w:val="24"/>
                <w:szCs w:val="24"/>
                <w:highlight w:val="none"/>
                <w:shd w:val="clear" w:color="auto" w:fill="auto"/>
              </w:rPr>
              <w:t>存在的问题</w:t>
            </w:r>
          </w:p>
        </w:tc>
        <w:tc>
          <w:tcPr>
            <w:tcW w:w="5700" w:type="dxa"/>
            <w:tcBorders>
              <w:top w:val="single" w:color="auto" w:sz="4" w:space="0"/>
              <w:left w:val="nil"/>
              <w:bottom w:val="single" w:color="auto" w:sz="4" w:space="0"/>
              <w:right w:val="single" w:color="auto" w:sz="4" w:space="0"/>
            </w:tcBorders>
            <w:vAlign w:val="center"/>
          </w:tcPr>
          <w:p>
            <w:pPr>
              <w:spacing w:line="320" w:lineRule="exact"/>
              <w:ind w:firstLine="602"/>
              <w:rPr>
                <w:rFonts w:ascii="仿宋" w:hAnsi="仿宋" w:eastAsia="仿宋" w:cs="宋体"/>
                <w:sz w:val="24"/>
                <w:szCs w:val="24"/>
                <w:highlight w:val="none"/>
                <w:shd w:val="clear" w:color="auto" w:fill="auto"/>
              </w:rPr>
            </w:pPr>
            <w:r>
              <w:rPr>
                <w:rFonts w:hint="eastAsia" w:ascii="仿宋" w:hAnsi="仿宋" w:eastAsia="仿宋"/>
                <w:sz w:val="24"/>
                <w:szCs w:val="24"/>
                <w:highlight w:val="none"/>
                <w:shd w:val="clear" w:color="auto" w:fill="auto"/>
              </w:rPr>
              <w:t>一是降低养殖户自筹资金比例，减少投资压力；二是机构改革之后，工作人员减少，业务事项增多，因县级财政困难，部门预算减少，工作经费压力很大。三是财政资金拨付进度较慢，周期较长。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5" w:hRule="atLeast"/>
          <w:jc w:val="center"/>
        </w:trPr>
        <w:tc>
          <w:tcPr>
            <w:tcW w:w="18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sz w:val="24"/>
                <w:szCs w:val="24"/>
                <w:highlight w:val="none"/>
                <w:shd w:val="clear" w:color="auto" w:fill="auto"/>
              </w:rPr>
            </w:pPr>
          </w:p>
        </w:tc>
        <w:tc>
          <w:tcPr>
            <w:tcW w:w="1809"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cs="宋体"/>
                <w:sz w:val="24"/>
                <w:szCs w:val="24"/>
                <w:highlight w:val="none"/>
                <w:shd w:val="clear" w:color="auto" w:fill="auto"/>
              </w:rPr>
            </w:pPr>
            <w:r>
              <w:rPr>
                <w:rFonts w:hint="eastAsia" w:ascii="宋体" w:hAnsi="宋体"/>
                <w:sz w:val="24"/>
                <w:szCs w:val="24"/>
                <w:highlight w:val="none"/>
                <w:shd w:val="clear" w:color="auto" w:fill="auto"/>
              </w:rPr>
              <w:t>改进措施</w:t>
            </w:r>
          </w:p>
        </w:tc>
        <w:tc>
          <w:tcPr>
            <w:tcW w:w="5700" w:type="dxa"/>
            <w:tcBorders>
              <w:top w:val="single" w:color="auto" w:sz="4" w:space="0"/>
              <w:left w:val="nil"/>
              <w:bottom w:val="single" w:color="auto" w:sz="4" w:space="0"/>
              <w:right w:val="single" w:color="auto" w:sz="4" w:space="0"/>
            </w:tcBorders>
            <w:vAlign w:val="center"/>
          </w:tcPr>
          <w:p>
            <w:pPr>
              <w:spacing w:line="320" w:lineRule="exact"/>
              <w:ind w:firstLine="602"/>
              <w:rPr>
                <w:rFonts w:ascii="仿宋" w:hAnsi="仿宋" w:eastAsia="仿宋" w:cs="宋体"/>
                <w:sz w:val="24"/>
                <w:szCs w:val="24"/>
                <w:highlight w:val="none"/>
                <w:shd w:val="clear" w:color="auto" w:fill="auto"/>
              </w:rPr>
            </w:pPr>
            <w:r>
              <w:rPr>
                <w:rFonts w:hint="eastAsia" w:ascii="仿宋" w:hAnsi="仿宋" w:eastAsia="仿宋"/>
                <w:sz w:val="24"/>
                <w:szCs w:val="24"/>
                <w:highlight w:val="none"/>
                <w:shd w:val="clear" w:color="auto" w:fill="auto"/>
              </w:rPr>
              <w:t>一是建议设立项目专项工作经费，增加财政资金投入；二是加快资金拨付进度。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6" w:hRule="atLeast"/>
          <w:jc w:val="center"/>
        </w:trPr>
        <w:tc>
          <w:tcPr>
            <w:tcW w:w="18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sz w:val="24"/>
                <w:szCs w:val="24"/>
                <w:highlight w:val="none"/>
                <w:shd w:val="clear" w:color="auto" w:fill="auto"/>
              </w:rPr>
            </w:pPr>
          </w:p>
        </w:tc>
        <w:tc>
          <w:tcPr>
            <w:tcW w:w="1809"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cs="宋体"/>
                <w:sz w:val="24"/>
                <w:szCs w:val="24"/>
                <w:highlight w:val="none"/>
                <w:shd w:val="clear" w:color="auto" w:fill="auto"/>
              </w:rPr>
            </w:pPr>
            <w:r>
              <w:rPr>
                <w:rFonts w:hint="eastAsia" w:ascii="宋体" w:hAnsi="宋体"/>
                <w:sz w:val="24"/>
                <w:szCs w:val="24"/>
                <w:highlight w:val="none"/>
                <w:shd w:val="clear" w:color="auto" w:fill="auto"/>
              </w:rPr>
              <w:t>其他需要说明问题</w:t>
            </w:r>
          </w:p>
        </w:tc>
        <w:tc>
          <w:tcPr>
            <w:tcW w:w="5700" w:type="dxa"/>
            <w:tcBorders>
              <w:top w:val="single" w:color="auto" w:sz="4" w:space="0"/>
              <w:left w:val="nil"/>
              <w:bottom w:val="single" w:color="auto" w:sz="4" w:space="0"/>
              <w:right w:val="single" w:color="auto" w:sz="4" w:space="0"/>
            </w:tcBorders>
            <w:vAlign w:val="center"/>
          </w:tcPr>
          <w:p>
            <w:pPr>
              <w:spacing w:line="300" w:lineRule="exact"/>
              <w:ind w:firstLine="480" w:firstLineChars="200"/>
              <w:jc w:val="center"/>
              <w:rPr>
                <w:rFonts w:ascii="仿宋" w:hAnsi="仿宋" w:eastAsia="仿宋" w:cs="宋体"/>
                <w:sz w:val="24"/>
                <w:szCs w:val="24"/>
                <w:highlight w:val="none"/>
                <w:shd w:val="clear" w:color="auto" w:fill="auto"/>
              </w:rPr>
            </w:pPr>
            <w:r>
              <w:rPr>
                <w:rFonts w:hint="eastAsia" w:ascii="仿宋" w:hAnsi="仿宋" w:eastAsia="仿宋"/>
                <w:sz w:val="24"/>
                <w:szCs w:val="24"/>
                <w:highlight w:val="none"/>
                <w:shd w:val="clear" w:color="auto" w:fill="auto"/>
              </w:rPr>
              <w:t>无</w:t>
            </w:r>
          </w:p>
        </w:tc>
      </w:tr>
    </w:tbl>
    <w:p>
      <w:pPr>
        <w:spacing w:line="360" w:lineRule="exact"/>
        <w:ind w:firstLine="420" w:firstLineChars="200"/>
        <w:jc w:val="left"/>
        <w:rPr>
          <w:rFonts w:hint="eastAsia" w:ascii="仿宋_GB2312" w:hAnsi="仿宋" w:eastAsia="仿宋_GB2312" w:cs="Calibri"/>
          <w:szCs w:val="21"/>
          <w:highlight w:val="none"/>
          <w:shd w:val="clear" w:color="auto" w:fill="auto"/>
        </w:rPr>
      </w:pPr>
      <w:r>
        <w:rPr>
          <w:rFonts w:hint="eastAsia" w:ascii="仿宋_GB2312" w:hAnsi="仿宋" w:eastAsia="仿宋_GB2312" w:cs="Calibri"/>
          <w:highlight w:val="none"/>
          <w:shd w:val="clear" w:color="auto" w:fill="auto"/>
        </w:rPr>
        <w:t xml:space="preserve"> </w:t>
      </w:r>
    </w:p>
    <w:p>
      <w:pPr>
        <w:rPr>
          <w:highlight w:val="none"/>
          <w:shd w:val="clear" w:color="auto" w:fill="auto"/>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roman"/>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ËÎÌå">
    <w:altName w:val="Times New Roman"/>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Tc4YWYxMTUzOTg0NzQ5ZWY4NmNmMmU1NzNiNTEifQ=="/>
  </w:docVars>
  <w:rsids>
    <w:rsidRoot w:val="00CF633C"/>
    <w:rsid w:val="000B35E7"/>
    <w:rsid w:val="00CF633C"/>
    <w:rsid w:val="050C6A32"/>
    <w:rsid w:val="1A56240E"/>
    <w:rsid w:val="32B250A9"/>
    <w:rsid w:val="45C25499"/>
    <w:rsid w:val="4AC804A1"/>
    <w:rsid w:val="5A473F9E"/>
    <w:rsid w:val="66411DC6"/>
    <w:rsid w:val="67A335C4"/>
    <w:rsid w:val="6AEF5C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8"/>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3">
    <w:name w:val="heading 6"/>
    <w:basedOn w:val="1"/>
    <w:next w:val="1"/>
    <w:link w:val="9"/>
    <w:qFormat/>
    <w:uiPriority w:val="9"/>
    <w:pPr>
      <w:widowControl/>
      <w:spacing w:before="100" w:beforeAutospacing="1" w:after="100" w:afterAutospacing="1"/>
      <w:jc w:val="left"/>
      <w:outlineLvl w:val="5"/>
    </w:pPr>
    <w:rPr>
      <w:rFonts w:ascii="宋体" w:hAnsi="宋体" w:eastAsia="宋体" w:cs="宋体"/>
      <w:b/>
      <w:bCs/>
      <w:kern w:val="0"/>
      <w:sz w:val="15"/>
      <w:szCs w:val="15"/>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Hyperlink"/>
    <w:basedOn w:val="5"/>
    <w:semiHidden/>
    <w:unhideWhenUsed/>
    <w:qFormat/>
    <w:uiPriority w:val="99"/>
    <w:rPr>
      <w:color w:val="0000FF"/>
      <w:u w:val="single"/>
    </w:rPr>
  </w:style>
  <w:style w:type="character" w:customStyle="1" w:styleId="8">
    <w:name w:val="标题 2 Char"/>
    <w:basedOn w:val="5"/>
    <w:link w:val="2"/>
    <w:qFormat/>
    <w:uiPriority w:val="9"/>
    <w:rPr>
      <w:rFonts w:ascii="宋体" w:hAnsi="宋体" w:eastAsia="宋体" w:cs="宋体"/>
      <w:b/>
      <w:bCs/>
      <w:kern w:val="0"/>
      <w:sz w:val="36"/>
      <w:szCs w:val="36"/>
    </w:rPr>
  </w:style>
  <w:style w:type="character" w:customStyle="1" w:styleId="9">
    <w:name w:val="标题 6 Char"/>
    <w:basedOn w:val="5"/>
    <w:link w:val="3"/>
    <w:qFormat/>
    <w:uiPriority w:val="9"/>
    <w:rPr>
      <w:rFonts w:ascii="宋体" w:hAnsi="宋体" w:eastAsia="宋体" w:cs="宋体"/>
      <w:b/>
      <w:bCs/>
      <w:kern w:val="0"/>
      <w:sz w:val="15"/>
      <w:szCs w:val="15"/>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34</Pages>
  <Words>18092</Words>
  <Characters>24730</Characters>
  <Lines>107</Lines>
  <Paragraphs>30</Paragraphs>
  <TotalTime>127</TotalTime>
  <ScaleCrop>false</ScaleCrop>
  <LinksUpToDate>false</LinksUpToDate>
  <CharactersWithSpaces>25138</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2023-03-22T01:49:00Z</dcterms:created>
  <dc:creator>1D505</dc:creator>
  <cp:lastModifiedBy>超级用户</cp:lastModifiedBy>
  <dcterms:modified xsi:type="dcterms:W3CDTF">2023-07-13T08:49:43Z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ED619BE692D045F29CAAA3DDE89380D1_12</vt:lpwstr>
  </property>
</Properties>
</file>