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40"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lang w:val="en-US" w:eastAsia="zh-CN"/>
        </w:rPr>
        <w:t>2022年专项</w:t>
      </w:r>
      <w:r>
        <w:rPr>
          <w:rFonts w:hint="eastAsia" w:ascii="宋体" w:hAnsi="宋体" w:cs="仿宋_GB2312"/>
          <w:b/>
          <w:bCs/>
          <w:color w:val="000000"/>
          <w:kern w:val="0"/>
          <w:sz w:val="36"/>
          <w:szCs w:val="36"/>
        </w:rPr>
        <w:t>支出绩效自评报告</w:t>
      </w:r>
      <w:r>
        <w:rPr>
          <w:rFonts w:hint="eastAsia" w:ascii="宋体" w:hAnsi="宋体" w:cs="仿宋_GB2312"/>
          <w:b/>
          <w:bCs/>
          <w:color w:val="000000"/>
          <w:kern w:val="0"/>
          <w:sz w:val="36"/>
          <w:szCs w:val="36"/>
          <w:lang w:eastAsia="zh-CN"/>
        </w:rPr>
        <w:t>公</w:t>
      </w:r>
      <w:r>
        <w:rPr>
          <w:rFonts w:hint="eastAsia" w:ascii="宋体" w:hAnsi="宋体" w:cs="仿宋_GB2312"/>
          <w:b/>
          <w:bCs/>
          <w:color w:val="000000"/>
          <w:kern w:val="0"/>
          <w:sz w:val="36"/>
          <w:szCs w:val="36"/>
        </w:rPr>
        <w:t>开</w:t>
      </w:r>
    </w:p>
    <w:tbl>
      <w:tblPr>
        <w:tblStyle w:val="9"/>
        <w:tblpPr w:leftFromText="180" w:rightFromText="180" w:vertAnchor="text" w:horzAnchor="margin" w:tblpXSpec="center" w:tblpY="189"/>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809"/>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项目概况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专项名称</w:t>
            </w:r>
          </w:p>
        </w:tc>
        <w:tc>
          <w:tcPr>
            <w:tcW w:w="5700" w:type="dxa"/>
            <w:vAlign w:val="center"/>
          </w:tcPr>
          <w:p>
            <w:pPr>
              <w:spacing w:line="300" w:lineRule="exact"/>
              <w:ind w:right="880" w:rightChars="419"/>
              <w:jc w:val="center"/>
              <w:rPr>
                <w:rFonts w:hint="eastAsia" w:ascii="仿宋" w:hAnsi="仿宋" w:eastAsia="仿宋" w:cs="仿宋"/>
                <w:szCs w:val="21"/>
                <w:lang w:eastAsia="zh-CN"/>
              </w:rPr>
            </w:pPr>
            <w:r>
              <w:rPr>
                <w:rFonts w:hint="eastAsia" w:ascii="仿宋" w:hAnsi="仿宋" w:eastAsia="仿宋" w:cs="仿宋"/>
                <w:szCs w:val="21"/>
                <w:lang w:val="en-US" w:eastAsia="zh-CN"/>
              </w:rPr>
              <w:t>2022年</w:t>
            </w:r>
            <w:r>
              <w:rPr>
                <w:rFonts w:hint="eastAsia" w:ascii="仿宋" w:hAnsi="仿宋" w:eastAsia="仿宋" w:cs="仿宋"/>
                <w:szCs w:val="21"/>
                <w:lang w:eastAsia="zh-CN"/>
              </w:rPr>
              <w:t>动物免费防疫经费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年度预算金额</w:t>
            </w:r>
          </w:p>
        </w:tc>
        <w:tc>
          <w:tcPr>
            <w:tcW w:w="5700" w:type="dxa"/>
            <w:vAlign w:val="center"/>
          </w:tcPr>
          <w:p>
            <w:pPr>
              <w:spacing w:line="300" w:lineRule="exact"/>
              <w:ind w:right="880" w:rightChars="419"/>
              <w:jc w:val="center"/>
              <w:rPr>
                <w:rFonts w:hint="eastAsia" w:ascii="仿宋" w:hAnsi="仿宋" w:eastAsia="仿宋" w:cs="仿宋"/>
                <w:szCs w:val="21"/>
                <w:lang w:val="en-US" w:eastAsia="zh-CN"/>
              </w:rPr>
            </w:pPr>
            <w:r>
              <w:rPr>
                <w:rFonts w:hint="eastAsia" w:ascii="仿宋" w:hAnsi="仿宋" w:eastAsia="仿宋" w:cs="仿宋"/>
                <w:szCs w:val="21"/>
                <w:lang w:val="en-US" w:eastAsia="zh-CN"/>
              </w:rPr>
              <w:t>255万元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项目主管部门</w:t>
            </w:r>
          </w:p>
        </w:tc>
        <w:tc>
          <w:tcPr>
            <w:tcW w:w="5700" w:type="dxa"/>
            <w:vAlign w:val="center"/>
          </w:tcPr>
          <w:p>
            <w:pPr>
              <w:spacing w:line="300" w:lineRule="exact"/>
              <w:ind w:right="880" w:rightChars="419"/>
              <w:jc w:val="center"/>
              <w:rPr>
                <w:rFonts w:hint="eastAsia" w:ascii="仿宋" w:hAnsi="仿宋" w:eastAsia="仿宋" w:cs="仿宋"/>
                <w:szCs w:val="21"/>
                <w:lang w:eastAsia="zh-CN"/>
              </w:rPr>
            </w:pPr>
            <w:r>
              <w:rPr>
                <w:rFonts w:hint="eastAsia" w:ascii="仿宋" w:hAnsi="仿宋" w:eastAsia="仿宋" w:cs="仿宋"/>
                <w:szCs w:val="21"/>
                <w:lang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项目立项目的</w:t>
            </w:r>
          </w:p>
        </w:tc>
        <w:tc>
          <w:tcPr>
            <w:tcW w:w="5700" w:type="dxa"/>
            <w:vAlign w:val="center"/>
          </w:tcPr>
          <w:p>
            <w:pPr>
              <w:spacing w:line="300" w:lineRule="exact"/>
              <w:ind w:firstLine="420" w:firstLineChars="200"/>
              <w:jc w:val="left"/>
              <w:rPr>
                <w:rFonts w:hint="eastAsia" w:ascii="仿宋" w:hAnsi="仿宋" w:eastAsia="仿宋" w:cs="仿宋"/>
                <w:color w:val="1F1F1F"/>
                <w:kern w:val="0"/>
                <w:szCs w:val="21"/>
                <w:lang w:eastAsia="zh-CN"/>
              </w:rPr>
            </w:pPr>
            <w:r>
              <w:rPr>
                <w:rFonts w:hint="eastAsia" w:ascii="仿宋" w:hAnsi="仿宋" w:eastAsia="仿宋" w:cs="仿宋"/>
                <w:color w:val="1F1F1F"/>
                <w:kern w:val="0"/>
                <w:szCs w:val="21"/>
                <w:lang w:eastAsia="zh-CN"/>
              </w:rPr>
              <w:t>加强动物疫病防控，禽流感、口蹄疫、小反刍兽疫</w:t>
            </w:r>
            <w:r>
              <w:rPr>
                <w:rFonts w:hint="eastAsia" w:ascii="仿宋" w:hAnsi="仿宋" w:eastAsia="仿宋" w:cs="仿宋"/>
                <w:color w:val="1F1F1F"/>
                <w:kern w:val="0"/>
                <w:szCs w:val="21"/>
                <w:lang w:val="en-US" w:eastAsia="zh-CN"/>
              </w:rPr>
              <w:t>3种动物疫病实行强制免疫，畜禽群体常年免疫密度达90%，应免密度达到100%，免疫抗体合格率达到70%以上</w:t>
            </w:r>
            <w:r>
              <w:rPr>
                <w:rFonts w:hint="eastAsia" w:ascii="仿宋" w:hAnsi="仿宋" w:eastAsia="仿宋" w:cs="仿宋"/>
                <w:color w:val="1F1F1F"/>
                <w:kern w:val="0"/>
                <w:szCs w:val="21"/>
                <w:lang w:eastAsia="zh-CN"/>
              </w:rPr>
              <w:t>，动物疫情保持稳定。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绩效情况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项目支出管理和使用基本情况</w:t>
            </w:r>
          </w:p>
        </w:tc>
        <w:tc>
          <w:tcPr>
            <w:tcW w:w="5700" w:type="dxa"/>
            <w:vAlign w:val="center"/>
          </w:tcPr>
          <w:p>
            <w:pPr>
              <w:spacing w:line="300" w:lineRule="exact"/>
              <w:ind w:firstLine="315" w:firstLineChars="150"/>
              <w:jc w:val="left"/>
              <w:rPr>
                <w:rFonts w:hint="default" w:ascii="仿宋" w:hAnsi="仿宋" w:eastAsia="仿宋" w:cs="仿宋"/>
                <w:szCs w:val="21"/>
                <w:lang w:val="en-US"/>
              </w:rPr>
            </w:pPr>
            <w:r>
              <w:rPr>
                <w:rFonts w:hint="eastAsia" w:ascii="仿宋" w:hAnsi="仿宋" w:eastAsia="仿宋" w:cs="仿宋"/>
                <w:sz w:val="21"/>
                <w:szCs w:val="21"/>
                <w:lang w:val="en-US" w:eastAsia="zh-CN"/>
              </w:rPr>
              <w:t>2022县级部门预算动物免费防疫经费150万元，湖南财政厅下达我县省级强制免疫劳务补助资金48万元，下达中央强制免疫劳务补助资金57万元，项目资金共计255万元。其中，县级财政部门预算资金150万元，主要用于</w:t>
            </w:r>
            <w:r>
              <w:rPr>
                <w:rFonts w:hint="eastAsia" w:ascii="仿宋" w:hAnsi="仿宋" w:eastAsia="仿宋" w:cs="仿宋"/>
                <w:sz w:val="21"/>
                <w:szCs w:val="21"/>
                <w:lang w:eastAsia="zh-CN"/>
              </w:rPr>
              <w:t>村级动物防疫员劳务补助</w:t>
            </w:r>
            <w:r>
              <w:rPr>
                <w:rFonts w:hint="eastAsia" w:ascii="仿宋" w:hAnsi="仿宋" w:eastAsia="仿宋" w:cs="仿宋"/>
                <w:sz w:val="21"/>
                <w:szCs w:val="21"/>
                <w:lang w:val="en-US" w:eastAsia="zh-CN"/>
              </w:rPr>
              <w:t>83.7万元、</w:t>
            </w:r>
            <w:r>
              <w:rPr>
                <w:rFonts w:hint="eastAsia" w:ascii="仿宋" w:hAnsi="仿宋" w:eastAsia="仿宋" w:cs="仿宋"/>
                <w:sz w:val="21"/>
                <w:szCs w:val="21"/>
                <w:lang w:eastAsia="zh-CN"/>
              </w:rPr>
              <w:t>春秋两季乡镇防疫经费、免疫副反应经费、</w:t>
            </w:r>
            <w:r>
              <w:rPr>
                <w:rFonts w:hint="eastAsia" w:ascii="仿宋" w:hAnsi="仿宋" w:eastAsia="仿宋" w:cs="仿宋"/>
                <w:sz w:val="21"/>
                <w:szCs w:val="21"/>
                <w:lang w:val="en-US" w:eastAsia="zh-CN"/>
              </w:rPr>
              <w:t>流调经费、</w:t>
            </w:r>
            <w:r>
              <w:rPr>
                <w:rFonts w:hint="eastAsia" w:ascii="仿宋" w:hAnsi="仿宋" w:eastAsia="仿宋" w:cs="仿宋"/>
                <w:sz w:val="21"/>
                <w:szCs w:val="21"/>
                <w:lang w:eastAsia="zh-CN"/>
              </w:rPr>
              <w:t>冷链设备运转</w:t>
            </w:r>
            <w:r>
              <w:rPr>
                <w:rFonts w:hint="eastAsia" w:ascii="仿宋" w:hAnsi="仿宋" w:eastAsia="仿宋" w:cs="仿宋"/>
                <w:sz w:val="21"/>
                <w:szCs w:val="21"/>
                <w:lang w:val="en-US" w:eastAsia="zh-CN"/>
              </w:rPr>
              <w:t>49.5万元、</w:t>
            </w:r>
            <w:r>
              <w:rPr>
                <w:rFonts w:hint="eastAsia" w:ascii="仿宋" w:hAnsi="仿宋" w:eastAsia="仿宋" w:cs="仿宋"/>
                <w:sz w:val="21"/>
                <w:szCs w:val="21"/>
                <w:lang w:eastAsia="zh-CN"/>
              </w:rPr>
              <w:t>养殖场被采样动物应激补助等</w:t>
            </w:r>
            <w:r>
              <w:rPr>
                <w:rFonts w:hint="eastAsia" w:ascii="仿宋" w:hAnsi="仿宋" w:eastAsia="仿宋" w:cs="仿宋"/>
                <w:sz w:val="21"/>
                <w:szCs w:val="21"/>
                <w:lang w:val="en-US" w:eastAsia="zh-CN"/>
              </w:rPr>
              <w:t>5万元、用于县级流行病学调查、耗材采购等11.8万元，目前，该项目已支出村级防疫员劳务补助188.7万元，其余资金暂未拨付。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项目绩效目标完成情况</w:t>
            </w:r>
          </w:p>
        </w:tc>
        <w:tc>
          <w:tcPr>
            <w:tcW w:w="5700" w:type="dxa"/>
            <w:vAlign w:val="center"/>
          </w:tcPr>
          <w:p>
            <w:pPr>
              <w:snapToGrid w:val="0"/>
              <w:spacing w:line="300" w:lineRule="exact"/>
              <w:ind w:firstLine="420" w:firstLineChars="200"/>
              <w:jc w:val="left"/>
              <w:rPr>
                <w:rFonts w:cs="宋体" w:asciiTheme="minorEastAsia" w:hAnsiTheme="minorEastAsia" w:eastAsiaTheme="minorEastAsia"/>
                <w:szCs w:val="21"/>
              </w:rPr>
            </w:pPr>
            <w:r>
              <w:rPr>
                <w:rFonts w:hint="eastAsia" w:ascii="仿宋" w:hAnsi="仿宋" w:eastAsia="仿宋" w:cs="仿宋"/>
                <w:sz w:val="21"/>
                <w:szCs w:val="21"/>
              </w:rPr>
              <w:t>2022年春、秋防期间湘潭县畜禽存栏共计免疫猪口蹄疫1576660头，牛羊口蹄疫116040头，禽流感13170850羽，羊小反刍兽疫73080头，免疫率达100%</w:t>
            </w:r>
            <w:r>
              <w:rPr>
                <w:rFonts w:hint="eastAsia" w:ascii="仿宋" w:hAnsi="仿宋" w:eastAsia="仿宋" w:cs="仿宋"/>
                <w:sz w:val="21"/>
                <w:szCs w:val="21"/>
                <w:lang w:eastAsia="zh-CN"/>
              </w:rPr>
              <w:t>。</w:t>
            </w:r>
            <w:r>
              <w:rPr>
                <w:rFonts w:hint="eastAsia" w:ascii="仿宋" w:hAnsi="仿宋" w:eastAsia="仿宋" w:cs="仿宋"/>
                <w:kern w:val="2"/>
                <w:sz w:val="21"/>
                <w:szCs w:val="21"/>
                <w:lang w:val="en-US" w:eastAsia="zh-CN" w:bidi="ar-SA"/>
              </w:rPr>
              <w:t>畜禽强制免疫抗体合格率70%以上。</w:t>
            </w:r>
            <w:r>
              <w:rPr>
                <w:rFonts w:hint="eastAsia" w:ascii="仿宋" w:hAnsi="仿宋" w:eastAsia="仿宋" w:cs="仿宋"/>
                <w:sz w:val="21"/>
                <w:szCs w:val="21"/>
                <w:lang w:eastAsia="zh-CN"/>
              </w:rPr>
              <w:t>发放</w:t>
            </w:r>
            <w:r>
              <w:rPr>
                <w:rFonts w:hint="eastAsia" w:ascii="仿宋" w:hAnsi="仿宋" w:eastAsia="仿宋" w:cs="仿宋"/>
                <w:sz w:val="21"/>
                <w:szCs w:val="21"/>
              </w:rPr>
              <w:t>村级防疫员预防注射劳务补助</w:t>
            </w:r>
            <w:r>
              <w:rPr>
                <w:rFonts w:hint="eastAsia" w:ascii="仿宋" w:hAnsi="仿宋" w:eastAsia="仿宋" w:cs="仿宋"/>
                <w:sz w:val="21"/>
                <w:szCs w:val="21"/>
                <w:lang w:val="en-US" w:eastAsia="zh-CN"/>
              </w:rPr>
              <w:t>188.7</w:t>
            </w:r>
            <w:r>
              <w:rPr>
                <w:rFonts w:hint="eastAsia" w:ascii="仿宋" w:hAnsi="仿宋" w:eastAsia="仿宋" w:cs="仿宋"/>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1809" w:type="dxa"/>
            <w:vMerge w:val="restart"/>
            <w:vAlign w:val="center"/>
          </w:tcPr>
          <w:p>
            <w:pPr>
              <w:spacing w:line="300" w:lineRule="exact"/>
              <w:jc w:val="center"/>
              <w:rPr>
                <w:rFonts w:hint="eastAsia" w:ascii="宋体" w:hAnsi="宋体" w:eastAsia="宋体" w:cs="宋体"/>
                <w:szCs w:val="32"/>
              </w:rPr>
            </w:pPr>
            <w:r>
              <w:rPr>
                <w:rFonts w:hint="eastAsia" w:ascii="宋体" w:hAnsi="宋体" w:eastAsia="宋体" w:cs="宋体"/>
                <w:szCs w:val="21"/>
              </w:rPr>
              <w:t>存在的问题分析及改进措施</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存在的问题</w:t>
            </w:r>
          </w:p>
        </w:tc>
        <w:tc>
          <w:tcPr>
            <w:tcW w:w="5700" w:type="dxa"/>
            <w:vAlign w:val="center"/>
          </w:tcPr>
          <w:p>
            <w:pPr>
              <w:keepNext w:val="0"/>
              <w:keepLines w:val="0"/>
              <w:pageBreakBefore w:val="0"/>
              <w:widowControl/>
              <w:shd w:val="clear" w:color="auto" w:fill="FAFCFA"/>
              <w:kinsoku/>
              <w:wordWrap/>
              <w:overflowPunct/>
              <w:topLinePunct w:val="0"/>
              <w:autoSpaceDE/>
              <w:autoSpaceDN/>
              <w:bidi w:val="0"/>
              <w:adjustRightInd/>
              <w:snapToGrid/>
              <w:spacing w:line="320" w:lineRule="exact"/>
              <w:ind w:firstLine="420" w:firstLineChars="200"/>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rPr>
              <w:t>（一）</w:t>
            </w:r>
            <w:r>
              <w:rPr>
                <w:rFonts w:hint="eastAsia" w:ascii="仿宋" w:hAnsi="仿宋" w:eastAsia="仿宋" w:cs="仿宋"/>
                <w:kern w:val="0"/>
                <w:sz w:val="21"/>
                <w:szCs w:val="21"/>
                <w:lang w:eastAsia="zh-CN"/>
              </w:rPr>
              <w:t>村级动物防疫员队伍年龄偏大，</w:t>
            </w:r>
            <w:r>
              <w:rPr>
                <w:rFonts w:hint="eastAsia" w:ascii="仿宋" w:hAnsi="仿宋" w:eastAsia="仿宋" w:cs="仿宋"/>
                <w:kern w:val="0"/>
                <w:sz w:val="21"/>
                <w:szCs w:val="21"/>
                <w:lang w:val="en-US" w:eastAsia="zh-CN"/>
              </w:rPr>
              <w:t>50岁以上占比达60%以上，绝大部分人员不能熟练操作电脑和智能手机，</w:t>
            </w:r>
            <w:r>
              <w:rPr>
                <w:rFonts w:hint="eastAsia" w:ascii="仿宋" w:hAnsi="仿宋" w:eastAsia="仿宋" w:cs="仿宋"/>
                <w:kern w:val="0"/>
                <w:sz w:val="21"/>
                <w:szCs w:val="21"/>
                <w:lang w:eastAsia="zh-CN"/>
              </w:rPr>
              <w:t>知识结构不适应现代畜牧业发展的需要。</w:t>
            </w:r>
          </w:p>
          <w:p>
            <w:pPr>
              <w:keepNext w:val="0"/>
              <w:keepLines w:val="0"/>
              <w:pageBreakBefore w:val="0"/>
              <w:kinsoku/>
              <w:wordWrap/>
              <w:overflowPunct/>
              <w:topLinePunct w:val="0"/>
              <w:autoSpaceDE/>
              <w:autoSpaceDN/>
              <w:bidi w:val="0"/>
              <w:adjustRightInd/>
              <w:snapToGrid/>
              <w:spacing w:line="320" w:lineRule="exact"/>
              <w:ind w:firstLine="420" w:firstLineChars="200"/>
              <w:jc w:val="left"/>
              <w:textAlignment w:val="auto"/>
              <w:rPr>
                <w:rFonts w:cs="宋体" w:asciiTheme="minorEastAsia" w:hAnsiTheme="minorEastAsia" w:eastAsiaTheme="minorEastAsia"/>
                <w:szCs w:val="21"/>
              </w:rPr>
            </w:pPr>
            <w:r>
              <w:rPr>
                <w:rFonts w:hint="eastAsia" w:ascii="仿宋" w:hAnsi="仿宋" w:eastAsia="仿宋" w:cs="仿宋"/>
                <w:kern w:val="0"/>
                <w:sz w:val="21"/>
                <w:szCs w:val="21"/>
              </w:rPr>
              <w:t>（二）</w:t>
            </w:r>
            <w:r>
              <w:rPr>
                <w:rFonts w:hint="eastAsia" w:ascii="仿宋" w:hAnsi="仿宋" w:eastAsia="仿宋" w:cs="仿宋"/>
                <w:bCs/>
                <w:sz w:val="21"/>
                <w:szCs w:val="21"/>
              </w:rPr>
              <w:t>专业队伍力量不足。一是县乡两级专业技术人员短缺，难以适应当前防控工作需要。二是部分村级动物防疫员因</w:t>
            </w:r>
            <w:r>
              <w:rPr>
                <w:rFonts w:hint="eastAsia" w:ascii="仿宋" w:hAnsi="仿宋" w:eastAsia="仿宋" w:cs="仿宋"/>
                <w:bCs/>
                <w:sz w:val="21"/>
                <w:szCs w:val="21"/>
                <w:lang w:eastAsia="zh-CN"/>
              </w:rPr>
              <w:t>工作脏、累</w:t>
            </w:r>
            <w:r>
              <w:rPr>
                <w:rFonts w:hint="eastAsia" w:ascii="仿宋" w:hAnsi="仿宋" w:eastAsia="仿宋" w:cs="仿宋"/>
                <w:bCs/>
                <w:sz w:val="21"/>
                <w:szCs w:val="21"/>
              </w:rPr>
              <w:t>、待遇低不愿从事此项专业岗位。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改进措施</w:t>
            </w:r>
          </w:p>
        </w:tc>
        <w:tc>
          <w:tcPr>
            <w:tcW w:w="5700" w:type="dxa"/>
            <w:vAlign w:val="center"/>
          </w:tcPr>
          <w:p>
            <w:pPr>
              <w:keepNext w:val="0"/>
              <w:keepLines w:val="0"/>
              <w:pageBreakBefore w:val="0"/>
              <w:widowControl/>
              <w:shd w:val="clear" w:color="auto" w:fill="FAFCFA"/>
              <w:kinsoku/>
              <w:wordWrap/>
              <w:overflowPunct/>
              <w:topLinePunct w:val="0"/>
              <w:autoSpaceDE/>
              <w:autoSpaceDN/>
              <w:bidi w:val="0"/>
              <w:adjustRightInd/>
              <w:snapToGrid/>
              <w:spacing w:line="320" w:lineRule="exact"/>
              <w:jc w:val="left"/>
              <w:textAlignment w:val="auto"/>
              <w:rPr>
                <w:rFonts w:asciiTheme="minorEastAsia" w:hAnsiTheme="minorEastAsia" w:eastAsiaTheme="minorEastAsia"/>
                <w:szCs w:val="21"/>
              </w:rPr>
            </w:pPr>
            <w:r>
              <w:rPr>
                <w:rFonts w:hint="eastAsia" w:ascii="仿宋" w:hAnsi="仿宋" w:eastAsia="仿宋" w:cs="仿宋"/>
                <w:kern w:val="0"/>
                <w:sz w:val="21"/>
                <w:szCs w:val="21"/>
              </w:rPr>
              <w:t xml:space="preserve">  建议：</w:t>
            </w:r>
            <w:r>
              <w:rPr>
                <w:rFonts w:hint="eastAsia" w:ascii="仿宋" w:hAnsi="仿宋" w:eastAsia="仿宋" w:cs="仿宋"/>
                <w:kern w:val="0"/>
                <w:sz w:val="21"/>
                <w:szCs w:val="21"/>
                <w:lang w:eastAsia="zh-CN"/>
              </w:rPr>
              <w:t>一是</w:t>
            </w:r>
            <w:r>
              <w:rPr>
                <w:rFonts w:hint="eastAsia" w:ascii="仿宋" w:hAnsi="仿宋" w:eastAsia="仿宋" w:cs="仿宋"/>
                <w:kern w:val="0"/>
                <w:sz w:val="21"/>
                <w:szCs w:val="21"/>
              </w:rPr>
              <w:t>每年</w:t>
            </w:r>
            <w:r>
              <w:rPr>
                <w:rFonts w:hint="eastAsia" w:ascii="仿宋" w:hAnsi="仿宋" w:eastAsia="仿宋" w:cs="仿宋"/>
                <w:kern w:val="0"/>
                <w:sz w:val="21"/>
                <w:szCs w:val="21"/>
                <w:lang w:eastAsia="zh-CN"/>
              </w:rPr>
              <w:t>在开展</w:t>
            </w:r>
            <w:r>
              <w:rPr>
                <w:rFonts w:hint="eastAsia" w:ascii="仿宋" w:hAnsi="仿宋" w:eastAsia="仿宋" w:cs="仿宋"/>
                <w:kern w:val="0"/>
                <w:sz w:val="21"/>
                <w:szCs w:val="21"/>
              </w:rPr>
              <w:t>春秋两季</w:t>
            </w:r>
            <w:r>
              <w:rPr>
                <w:rFonts w:hint="eastAsia" w:ascii="仿宋" w:hAnsi="仿宋" w:eastAsia="仿宋" w:cs="仿宋"/>
                <w:kern w:val="0"/>
                <w:sz w:val="21"/>
                <w:szCs w:val="21"/>
                <w:lang w:eastAsia="zh-CN"/>
              </w:rPr>
              <w:t>动物</w:t>
            </w:r>
            <w:r>
              <w:rPr>
                <w:rFonts w:hint="eastAsia" w:ascii="仿宋" w:hAnsi="仿宋" w:eastAsia="仿宋" w:cs="仿宋"/>
                <w:kern w:val="0"/>
                <w:sz w:val="21"/>
                <w:szCs w:val="21"/>
              </w:rPr>
              <w:t>防疫工作</w:t>
            </w:r>
            <w:r>
              <w:rPr>
                <w:rFonts w:hint="eastAsia" w:ascii="仿宋" w:hAnsi="仿宋" w:eastAsia="仿宋" w:cs="仿宋"/>
                <w:kern w:val="0"/>
                <w:sz w:val="21"/>
                <w:szCs w:val="21"/>
                <w:lang w:eastAsia="zh-CN"/>
              </w:rPr>
              <w:t>前，</w:t>
            </w:r>
            <w:r>
              <w:rPr>
                <w:rFonts w:hint="eastAsia" w:ascii="仿宋" w:hAnsi="仿宋" w:eastAsia="仿宋" w:cs="仿宋"/>
                <w:kern w:val="0"/>
                <w:sz w:val="21"/>
                <w:szCs w:val="21"/>
              </w:rPr>
              <w:t>加大对</w:t>
            </w:r>
            <w:r>
              <w:rPr>
                <w:rFonts w:hint="eastAsia" w:ascii="仿宋" w:hAnsi="仿宋" w:eastAsia="仿宋" w:cs="仿宋"/>
                <w:kern w:val="0"/>
                <w:sz w:val="21"/>
                <w:szCs w:val="21"/>
                <w:lang w:eastAsia="zh-CN"/>
              </w:rPr>
              <w:t>畜牧兽医技术人员</w:t>
            </w:r>
            <w:r>
              <w:rPr>
                <w:rFonts w:hint="eastAsia" w:ascii="仿宋" w:hAnsi="仿宋" w:eastAsia="仿宋" w:cs="仿宋"/>
                <w:kern w:val="0"/>
                <w:sz w:val="21"/>
                <w:szCs w:val="21"/>
              </w:rPr>
              <w:t>的培训</w:t>
            </w:r>
            <w:r>
              <w:rPr>
                <w:rFonts w:hint="eastAsia" w:ascii="仿宋" w:hAnsi="仿宋" w:eastAsia="仿宋" w:cs="仿宋"/>
                <w:kern w:val="0"/>
                <w:sz w:val="21"/>
                <w:szCs w:val="21"/>
                <w:lang w:eastAsia="zh-CN"/>
              </w:rPr>
              <w:t>力度</w:t>
            </w:r>
            <w:r>
              <w:rPr>
                <w:rFonts w:hint="eastAsia" w:ascii="仿宋" w:hAnsi="仿宋" w:eastAsia="仿宋" w:cs="仿宋"/>
                <w:kern w:val="0"/>
                <w:sz w:val="21"/>
                <w:szCs w:val="21"/>
              </w:rPr>
              <w:t>。</w:t>
            </w:r>
            <w:r>
              <w:rPr>
                <w:rFonts w:hint="eastAsia" w:ascii="仿宋" w:hAnsi="仿宋" w:eastAsia="仿宋" w:cs="仿宋"/>
                <w:kern w:val="0"/>
                <w:sz w:val="21"/>
                <w:szCs w:val="21"/>
                <w:lang w:eastAsia="zh-CN"/>
              </w:rPr>
              <w:t>二是</w:t>
            </w:r>
            <w:r>
              <w:rPr>
                <w:rFonts w:hint="eastAsia" w:ascii="仿宋" w:hAnsi="仿宋" w:eastAsia="仿宋" w:cs="仿宋"/>
                <w:sz w:val="21"/>
                <w:szCs w:val="21"/>
              </w:rPr>
              <w:t>各乡镇要进一步充实</w:t>
            </w:r>
            <w:r>
              <w:rPr>
                <w:rFonts w:hint="eastAsia" w:ascii="仿宋" w:hAnsi="仿宋" w:eastAsia="仿宋" w:cs="仿宋"/>
                <w:sz w:val="21"/>
                <w:szCs w:val="21"/>
                <w:lang w:eastAsia="zh-CN"/>
              </w:rPr>
              <w:t>动物</w:t>
            </w:r>
            <w:r>
              <w:rPr>
                <w:rFonts w:hint="eastAsia" w:ascii="仿宋" w:hAnsi="仿宋" w:eastAsia="仿宋" w:cs="仿宋"/>
                <w:sz w:val="21"/>
                <w:szCs w:val="21"/>
              </w:rPr>
              <w:t>防控人员力量，</w:t>
            </w:r>
            <w:r>
              <w:rPr>
                <w:rFonts w:hint="eastAsia" w:ascii="仿宋" w:hAnsi="仿宋" w:eastAsia="仿宋" w:cs="仿宋"/>
                <w:kern w:val="0"/>
                <w:sz w:val="21"/>
                <w:szCs w:val="21"/>
              </w:rPr>
              <w:t>加强</w:t>
            </w:r>
            <w:r>
              <w:rPr>
                <w:rFonts w:hint="eastAsia" w:ascii="仿宋" w:hAnsi="仿宋" w:eastAsia="仿宋" w:cs="仿宋"/>
                <w:kern w:val="0"/>
                <w:sz w:val="21"/>
                <w:szCs w:val="21"/>
                <w:lang w:eastAsia="zh-CN"/>
              </w:rPr>
              <w:t>动物</w:t>
            </w:r>
            <w:r>
              <w:rPr>
                <w:rFonts w:hint="eastAsia" w:ascii="仿宋" w:hAnsi="仿宋" w:eastAsia="仿宋" w:cs="仿宋"/>
                <w:kern w:val="0"/>
                <w:sz w:val="21"/>
                <w:szCs w:val="21"/>
              </w:rPr>
              <w:t>防疫队伍建设，确保乡镇动物防疫队伍的稳定。</w:t>
            </w:r>
            <w:r>
              <w:rPr>
                <w:rFonts w:hint="eastAsia" w:ascii="仿宋" w:hAnsi="仿宋" w:eastAsia="仿宋" w:cs="仿宋"/>
                <w:sz w:val="21"/>
                <w:szCs w:val="21"/>
              </w:rPr>
              <w:t>同时完善村级动物防疫工作责任制，适当提高村级动物防疫员的劳务补助，落实</w:t>
            </w:r>
            <w:r>
              <w:rPr>
                <w:rFonts w:hint="eastAsia" w:ascii="仿宋" w:hAnsi="仿宋" w:eastAsia="仿宋" w:cs="仿宋"/>
                <w:bCs/>
                <w:sz w:val="21"/>
                <w:szCs w:val="21"/>
              </w:rPr>
              <w:t>县乡两级专业技术人员兽医卫生津贴，合理设置县乡两级专业技术人员岗位设置，</w:t>
            </w:r>
            <w:r>
              <w:rPr>
                <w:rFonts w:hint="eastAsia" w:ascii="仿宋" w:hAnsi="仿宋" w:eastAsia="仿宋" w:cs="仿宋"/>
                <w:sz w:val="21"/>
                <w:szCs w:val="21"/>
              </w:rPr>
              <w:t>强化保障，推动工作有序开展，为养殖业持续、健康、稳步发展保驾护航。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其他需要说明问题</w:t>
            </w:r>
          </w:p>
        </w:tc>
        <w:tc>
          <w:tcPr>
            <w:tcW w:w="5700" w:type="dxa"/>
            <w:vAlign w:val="center"/>
          </w:tcPr>
          <w:p>
            <w:pPr>
              <w:spacing w:line="300" w:lineRule="exact"/>
              <w:ind w:firstLine="420" w:firstLineChars="200"/>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无</w:t>
            </w:r>
          </w:p>
        </w:tc>
      </w:tr>
    </w:tbl>
    <w:p>
      <w:pPr>
        <w:spacing w:line="360" w:lineRule="exact"/>
        <w:ind w:firstLine="420" w:firstLineChars="200"/>
        <w:jc w:val="left"/>
        <w:rPr>
          <w:rFonts w:ascii="仿宋_GB2312" w:hAnsi="仿宋" w:eastAsia="仿宋_GB2312"/>
          <w:szCs w:val="21"/>
        </w:rPr>
      </w:pPr>
    </w:p>
    <w:p>
      <w:pPr>
        <w:snapToGrid w:val="0"/>
        <w:spacing w:line="540" w:lineRule="exact"/>
        <w:jc w:val="center"/>
        <w:rPr>
          <w:rFonts w:hint="eastAsia" w:ascii="黑体" w:hAnsi="黑体" w:eastAsia="黑体" w:cs="黑体"/>
          <w:color w:val="000000"/>
          <w:sz w:val="32"/>
          <w:szCs w:val="32"/>
          <w:lang w:val="en-US" w:eastAsia="zh-CN"/>
        </w:rPr>
      </w:pPr>
    </w:p>
    <w:p>
      <w:pPr>
        <w:snapToGrid w:val="0"/>
        <w:spacing w:line="540" w:lineRule="exact"/>
        <w:jc w:val="center"/>
        <w:rPr>
          <w:rFonts w:ascii="宋体" w:hAnsi="宋体" w:cs="仿宋_GB2312"/>
          <w:b/>
          <w:bCs/>
          <w:color w:val="000000"/>
          <w:kern w:val="0"/>
          <w:sz w:val="36"/>
          <w:szCs w:val="36"/>
        </w:rPr>
      </w:pPr>
      <w:r>
        <w:rPr>
          <w:rFonts w:hint="eastAsia" w:ascii="黑体" w:hAnsi="黑体" w:eastAsia="黑体" w:cs="黑体"/>
          <w:color w:val="000000"/>
          <w:sz w:val="32"/>
          <w:szCs w:val="32"/>
          <w:lang w:val="en-US" w:eastAsia="zh-CN"/>
        </w:rPr>
        <w:t xml:space="preserve"> </w:t>
      </w:r>
      <w:r>
        <w:rPr>
          <w:rFonts w:hint="eastAsia" w:ascii="宋体" w:hAnsi="宋体" w:cs="仿宋_GB2312"/>
          <w:b/>
          <w:bCs/>
          <w:color w:val="000000"/>
          <w:kern w:val="0"/>
          <w:sz w:val="36"/>
          <w:szCs w:val="36"/>
          <w:lang w:val="en-US" w:eastAsia="zh-CN"/>
        </w:rPr>
        <w:t>2022年</w:t>
      </w:r>
      <w:r>
        <w:rPr>
          <w:rFonts w:hint="eastAsia" w:ascii="宋体" w:hAnsi="宋体" w:cs="仿宋_GB2312"/>
          <w:b/>
          <w:bCs/>
          <w:color w:val="000000"/>
          <w:kern w:val="0"/>
          <w:sz w:val="36"/>
          <w:szCs w:val="36"/>
        </w:rPr>
        <w:t>专项支出绩效自评报告公开</w:t>
      </w:r>
    </w:p>
    <w:tbl>
      <w:tblPr>
        <w:tblStyle w:val="9"/>
        <w:tblpPr w:leftFromText="180" w:rightFromText="180" w:vertAnchor="text" w:horzAnchor="margin" w:tblpXSpec="center" w:tblpY="189"/>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809"/>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项目概况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专项名称</w:t>
            </w:r>
          </w:p>
        </w:tc>
        <w:tc>
          <w:tcPr>
            <w:tcW w:w="5700" w:type="dxa"/>
            <w:vAlign w:val="center"/>
          </w:tcPr>
          <w:p>
            <w:pPr>
              <w:spacing w:line="300" w:lineRule="exact"/>
              <w:ind w:right="880" w:rightChars="419"/>
              <w:jc w:val="center"/>
              <w:rPr>
                <w:rFonts w:hint="eastAsia" w:ascii="仿宋" w:hAnsi="仿宋" w:eastAsia="仿宋" w:cs="仿宋"/>
                <w:szCs w:val="21"/>
                <w:lang w:val="en-US" w:eastAsia="zh-CN"/>
              </w:rPr>
            </w:pPr>
            <w:r>
              <w:rPr>
                <w:rFonts w:hint="eastAsia" w:ascii="仿宋" w:hAnsi="仿宋" w:eastAsia="仿宋" w:cs="仿宋"/>
                <w:szCs w:val="21"/>
                <w:lang w:val="en-US" w:eastAsia="zh-CN"/>
              </w:rPr>
              <w:t>2022年秋冬种生产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年度预算金额</w:t>
            </w:r>
          </w:p>
        </w:tc>
        <w:tc>
          <w:tcPr>
            <w:tcW w:w="5700" w:type="dxa"/>
            <w:vAlign w:val="center"/>
          </w:tcPr>
          <w:p>
            <w:pPr>
              <w:spacing w:line="300" w:lineRule="exact"/>
              <w:ind w:right="880" w:rightChars="419"/>
              <w:jc w:val="center"/>
              <w:rPr>
                <w:rFonts w:hint="eastAsia" w:ascii="仿宋" w:hAnsi="仿宋" w:eastAsia="仿宋" w:cs="仿宋"/>
                <w:szCs w:val="21"/>
                <w:lang w:val="en-US" w:eastAsia="zh-CN"/>
              </w:rPr>
            </w:pPr>
            <w:r>
              <w:rPr>
                <w:rFonts w:hint="eastAsia" w:ascii="仿宋" w:hAnsi="仿宋" w:eastAsia="仿宋" w:cs="仿宋"/>
                <w:szCs w:val="21"/>
                <w:lang w:val="en-US" w:eastAsia="zh-CN"/>
              </w:rPr>
              <w:t xml:space="preserve"> 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项目主管部门</w:t>
            </w:r>
          </w:p>
        </w:tc>
        <w:tc>
          <w:tcPr>
            <w:tcW w:w="5700" w:type="dxa"/>
            <w:vAlign w:val="center"/>
          </w:tcPr>
          <w:p>
            <w:pPr>
              <w:spacing w:line="300" w:lineRule="exact"/>
              <w:ind w:right="880" w:rightChars="419"/>
              <w:jc w:val="center"/>
              <w:rPr>
                <w:rFonts w:hint="eastAsia" w:ascii="仿宋" w:hAnsi="仿宋" w:eastAsia="仿宋" w:cs="仿宋"/>
                <w:szCs w:val="21"/>
                <w:lang w:eastAsia="zh-CN"/>
              </w:rPr>
            </w:pPr>
            <w:r>
              <w:rPr>
                <w:rFonts w:hint="eastAsia" w:ascii="仿宋" w:hAnsi="仿宋" w:eastAsia="仿宋" w:cs="仿宋"/>
                <w:szCs w:val="21"/>
                <w:lang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项目立项目的</w:t>
            </w:r>
          </w:p>
        </w:tc>
        <w:tc>
          <w:tcPr>
            <w:tcW w:w="570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rPr>
                <w:rFonts w:hint="eastAsia" w:ascii="仿宋" w:hAnsi="仿宋" w:eastAsia="仿宋" w:cs="仿宋"/>
                <w:kern w:val="0"/>
                <w:szCs w:val="32"/>
              </w:rPr>
            </w:pPr>
            <w:r>
              <w:rPr>
                <w:rFonts w:hint="eastAsia" w:ascii="仿宋" w:hAnsi="仿宋" w:eastAsia="仿宋" w:cs="仿宋"/>
                <w:kern w:val="0"/>
                <w:szCs w:val="32"/>
              </w:rPr>
              <w:t>秋冬旱粮生产是水稻生产的有力补充，能够有效增加粮食总量，推进农业结构调整，是解决救灾补损问题、提高农民收入的有效途径。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绩效情况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项目支出管理和使用基本情况</w:t>
            </w:r>
          </w:p>
        </w:tc>
        <w:tc>
          <w:tcPr>
            <w:tcW w:w="570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rPr>
                <w:rFonts w:hint="default" w:ascii="仿宋" w:hAnsi="仿宋" w:eastAsia="仿宋" w:cs="仿宋"/>
                <w:kern w:val="0"/>
                <w:szCs w:val="32"/>
                <w:lang w:val="en-US" w:eastAsia="zh-CN"/>
              </w:rPr>
            </w:pPr>
            <w:r>
              <w:rPr>
                <w:rFonts w:hint="eastAsia" w:ascii="仿宋" w:hAnsi="仿宋" w:eastAsia="仿宋" w:cs="仿宋"/>
                <w:kern w:val="0"/>
                <w:szCs w:val="32"/>
                <w:lang w:val="en-US" w:eastAsia="zh-CN"/>
              </w:rPr>
              <w:t>2022年</w:t>
            </w:r>
            <w:r>
              <w:rPr>
                <w:rFonts w:hint="eastAsia" w:ascii="仿宋" w:hAnsi="仿宋" w:eastAsia="仿宋" w:cs="仿宋"/>
                <w:kern w:val="0"/>
                <w:szCs w:val="32"/>
              </w:rPr>
              <w:t>县财政</w:t>
            </w:r>
            <w:r>
              <w:rPr>
                <w:rFonts w:hint="eastAsia" w:ascii="仿宋" w:hAnsi="仿宋" w:eastAsia="仿宋" w:cs="仿宋"/>
                <w:kern w:val="0"/>
                <w:szCs w:val="32"/>
                <w:lang w:eastAsia="zh-CN"/>
              </w:rPr>
              <w:t>部门</w:t>
            </w:r>
            <w:r>
              <w:rPr>
                <w:rFonts w:hint="eastAsia" w:ascii="仿宋" w:hAnsi="仿宋" w:eastAsia="仿宋" w:cs="仿宋"/>
                <w:kern w:val="0"/>
                <w:szCs w:val="32"/>
              </w:rPr>
              <w:t>预算</w:t>
            </w:r>
            <w:r>
              <w:rPr>
                <w:rFonts w:hint="eastAsia" w:ascii="仿宋" w:hAnsi="仿宋" w:eastAsia="仿宋" w:cs="仿宋"/>
                <w:kern w:val="0"/>
                <w:szCs w:val="32"/>
                <w:lang w:eastAsia="zh-CN"/>
              </w:rPr>
              <w:t>项目</w:t>
            </w:r>
            <w:r>
              <w:rPr>
                <w:rFonts w:hint="eastAsia" w:ascii="仿宋" w:hAnsi="仿宋" w:eastAsia="仿宋" w:cs="仿宋"/>
                <w:kern w:val="0"/>
                <w:szCs w:val="32"/>
              </w:rPr>
              <w:t>资金</w:t>
            </w:r>
            <w:r>
              <w:rPr>
                <w:rFonts w:hint="eastAsia" w:ascii="仿宋" w:hAnsi="仿宋" w:eastAsia="仿宋" w:cs="仿宋"/>
                <w:kern w:val="0"/>
                <w:szCs w:val="32"/>
                <w:lang w:eastAsia="zh-CN"/>
              </w:rPr>
              <w:t>共</w:t>
            </w:r>
            <w:r>
              <w:rPr>
                <w:rFonts w:hint="eastAsia" w:ascii="仿宋" w:hAnsi="仿宋" w:eastAsia="仿宋" w:cs="仿宋"/>
                <w:kern w:val="0"/>
                <w:szCs w:val="32"/>
                <w:lang w:val="en-US" w:eastAsia="zh-CN"/>
              </w:rPr>
              <w:t>50</w:t>
            </w:r>
            <w:r>
              <w:rPr>
                <w:rFonts w:hint="eastAsia" w:ascii="仿宋" w:hAnsi="仿宋" w:eastAsia="仿宋" w:cs="仿宋"/>
                <w:kern w:val="0"/>
                <w:szCs w:val="32"/>
              </w:rPr>
              <w:t>万元，实际</w:t>
            </w:r>
            <w:r>
              <w:rPr>
                <w:rFonts w:hint="eastAsia" w:ascii="仿宋" w:hAnsi="仿宋" w:eastAsia="仿宋" w:cs="仿宋"/>
                <w:kern w:val="0"/>
                <w:szCs w:val="32"/>
                <w:lang w:eastAsia="zh-CN"/>
              </w:rPr>
              <w:t>应支出</w:t>
            </w:r>
            <w:r>
              <w:rPr>
                <w:rFonts w:hint="eastAsia" w:ascii="仿宋" w:hAnsi="仿宋" w:eastAsia="仿宋" w:cs="仿宋"/>
                <w:kern w:val="0"/>
                <w:szCs w:val="32"/>
                <w:lang w:val="en-US" w:eastAsia="zh-CN"/>
              </w:rPr>
              <w:t>50</w:t>
            </w:r>
            <w:r>
              <w:rPr>
                <w:rFonts w:hint="eastAsia" w:ascii="仿宋" w:hAnsi="仿宋" w:eastAsia="仿宋" w:cs="仿宋"/>
                <w:kern w:val="0"/>
                <w:szCs w:val="32"/>
              </w:rPr>
              <w:t>万元。</w:t>
            </w:r>
            <w:r>
              <w:rPr>
                <w:rFonts w:hint="eastAsia" w:ascii="仿宋" w:hAnsi="仿宋" w:eastAsia="仿宋" w:cs="仿宋"/>
                <w:kern w:val="0"/>
                <w:szCs w:val="32"/>
                <w:lang w:eastAsia="zh-CN"/>
              </w:rPr>
              <w:t>主要用于</w:t>
            </w:r>
            <w:r>
              <w:rPr>
                <w:rFonts w:hint="eastAsia" w:ascii="仿宋" w:hAnsi="仿宋" w:eastAsia="仿宋" w:cs="仿宋"/>
                <w:kern w:val="0"/>
                <w:szCs w:val="32"/>
                <w:lang w:val="en-US" w:eastAsia="zh-CN"/>
              </w:rPr>
              <w:t>补助7</w:t>
            </w:r>
            <w:r>
              <w:rPr>
                <w:rFonts w:hint="eastAsia" w:ascii="仿宋" w:hAnsi="仿宋" w:eastAsia="仿宋" w:cs="仿宋"/>
                <w:kern w:val="0"/>
                <w:szCs w:val="32"/>
              </w:rPr>
              <w:t>个</w:t>
            </w:r>
            <w:r>
              <w:rPr>
                <w:rFonts w:hint="eastAsia" w:ascii="仿宋" w:hAnsi="仿宋" w:eastAsia="仿宋" w:cs="仿宋"/>
                <w:kern w:val="0"/>
                <w:szCs w:val="32"/>
                <w:lang w:val="en-US" w:eastAsia="zh-CN"/>
              </w:rPr>
              <w:t>200</w:t>
            </w:r>
            <w:r>
              <w:rPr>
                <w:rFonts w:hint="eastAsia" w:ascii="仿宋" w:hAnsi="仿宋" w:eastAsia="仿宋" w:cs="仿宋"/>
                <w:kern w:val="0"/>
                <w:szCs w:val="32"/>
              </w:rPr>
              <w:t>亩以上油菜高产示范片</w:t>
            </w:r>
            <w:r>
              <w:rPr>
                <w:rFonts w:hint="eastAsia" w:ascii="仿宋" w:hAnsi="仿宋" w:eastAsia="仿宋" w:cs="仿宋"/>
                <w:kern w:val="0"/>
                <w:szCs w:val="32"/>
                <w:lang w:eastAsia="zh-CN"/>
              </w:rPr>
              <w:t>和</w:t>
            </w:r>
            <w:r>
              <w:rPr>
                <w:rFonts w:hint="eastAsia" w:ascii="仿宋" w:hAnsi="仿宋" w:eastAsia="仿宋" w:cs="仿宋"/>
                <w:kern w:val="0"/>
                <w:szCs w:val="32"/>
                <w:lang w:val="en-US" w:eastAsia="zh-CN"/>
              </w:rPr>
              <w:t>3个30亩蔬菜基地生产示范</w:t>
            </w:r>
            <w:r>
              <w:rPr>
                <w:rFonts w:hint="eastAsia" w:ascii="仿宋" w:hAnsi="仿宋" w:eastAsia="仿宋" w:cs="仿宋"/>
                <w:kern w:val="0"/>
                <w:szCs w:val="32"/>
                <w:lang w:eastAsia="zh-CN"/>
              </w:rPr>
              <w:t>。项目实施期限为：</w:t>
            </w:r>
            <w:r>
              <w:rPr>
                <w:rFonts w:hint="eastAsia" w:ascii="仿宋" w:hAnsi="仿宋" w:eastAsia="仿宋" w:cs="仿宋"/>
                <w:kern w:val="0"/>
                <w:szCs w:val="32"/>
                <w:lang w:val="en-US" w:eastAsia="zh-CN"/>
              </w:rPr>
              <w:t>2022年9月——2023年5月，目前，项目还未验收完毕，项目资金暂未拨付。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项目绩效目标完成情况</w:t>
            </w:r>
          </w:p>
        </w:tc>
        <w:tc>
          <w:tcPr>
            <w:tcW w:w="5700" w:type="dxa"/>
            <w:vAlign w:val="center"/>
          </w:tcPr>
          <w:p>
            <w:pPr>
              <w:pStyle w:val="13"/>
              <w:ind w:firstLine="420" w:firstLineChars="200"/>
              <w:rPr>
                <w:rFonts w:hint="eastAsia" w:ascii="仿宋" w:hAnsi="仿宋" w:eastAsia="仿宋" w:cs="仿宋"/>
                <w:kern w:val="0"/>
                <w:sz w:val="21"/>
                <w:szCs w:val="32"/>
                <w:lang w:val="en-US" w:eastAsia="zh-CN" w:bidi="ar-SA"/>
              </w:rPr>
            </w:pPr>
            <w:r>
              <w:rPr>
                <w:rFonts w:hint="eastAsia" w:ascii="仿宋" w:hAnsi="仿宋" w:eastAsia="仿宋" w:cs="仿宋"/>
                <w:kern w:val="0"/>
                <w:sz w:val="21"/>
                <w:szCs w:val="32"/>
                <w:lang w:val="en-US" w:eastAsia="zh-CN" w:bidi="ar-SA"/>
              </w:rPr>
              <w:t>我县成立了县长任组长的秋冬种生产领导小组，制定了《湘潭县2022年秋冬种生产工作方案》、《油菜高产栽培技术方案》，今年秋冬种生产的主要任务是扩种油菜，要求各乡镇统筹安排好辖区内的粮油生产，全县秋冬种总体目标是完成种植面积52.27万亩，其中油菜播种面积26.38万亩（油菜扩种面积6.3万亩），蔬菜15.59万亩，绿肥9.5万亩，其他秋冬粮食作物0.8万亩。项目主管单位是湘潭县农业农村局，具体组织实施是种植技术推广服务中心粮油分中心，实施期限2022年9月-2023年5月。申报县财政预算资金50万元，实际使用50万元。主要用于全县7个200亩以上油菜高产示范片和3个30亩蔬菜基地生产示范，油菜示范面积1400亩以上，蔬菜示范面积90亩以上，示范片要求统一品种、统一栽培管理、推广高产高效栽培技术，确保优质高产，油菜亩产值要达到1000元，蔬菜亩产值达到2000元，特色产业带动增加脱贫户就业100人以上，务工收入15万元以上，脱贫户土地流转增收5万元以上，受益脱贫户100人以上。通过大力发展秋冬种生产，加快推进冬闲田资源开发，提高秋冬作物覆盖率，改善耕地面积1400亩以上，美化环境，促进农民收入增加，亩平增收500元以上。服务实施经营主体满意度达到95%，受益脱贫户或群众满意度达到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809" w:type="dxa"/>
            <w:vMerge w:val="restart"/>
            <w:vAlign w:val="center"/>
          </w:tcPr>
          <w:p>
            <w:pPr>
              <w:spacing w:line="300" w:lineRule="exact"/>
              <w:jc w:val="center"/>
              <w:rPr>
                <w:rFonts w:hint="eastAsia" w:ascii="宋体" w:hAnsi="宋体" w:eastAsia="宋体" w:cs="宋体"/>
                <w:szCs w:val="32"/>
              </w:rPr>
            </w:pPr>
            <w:r>
              <w:rPr>
                <w:rFonts w:hint="eastAsia" w:ascii="宋体" w:hAnsi="宋体" w:eastAsia="宋体" w:cs="宋体"/>
                <w:szCs w:val="21"/>
              </w:rPr>
              <w:t>存在的问题分析及改进措施</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存在的问题</w:t>
            </w:r>
          </w:p>
        </w:tc>
        <w:tc>
          <w:tcPr>
            <w:tcW w:w="5700" w:type="dxa"/>
            <w:vAlign w:val="center"/>
          </w:tcPr>
          <w:p>
            <w:pPr>
              <w:spacing w:line="300" w:lineRule="exact"/>
              <w:ind w:firstLine="420" w:firstLineChars="200"/>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项目当年未制定相应的项目资金管理制度。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改进措施</w:t>
            </w:r>
          </w:p>
        </w:tc>
        <w:tc>
          <w:tcPr>
            <w:tcW w:w="5700" w:type="dxa"/>
            <w:vAlign w:val="center"/>
          </w:tcPr>
          <w:p>
            <w:pPr>
              <w:spacing w:line="300" w:lineRule="exact"/>
              <w:ind w:firstLine="420" w:firstLineChars="200"/>
              <w:jc w:val="left"/>
              <w:rPr>
                <w:rFonts w:hint="eastAsia" w:ascii="仿宋" w:hAnsi="仿宋" w:eastAsia="仿宋" w:cs="仿宋"/>
                <w:szCs w:val="21"/>
                <w:lang w:eastAsia="zh-CN"/>
              </w:rPr>
            </w:pPr>
            <w:r>
              <w:rPr>
                <w:rFonts w:hint="eastAsia" w:ascii="仿宋" w:hAnsi="仿宋" w:eastAsia="仿宋" w:cs="仿宋"/>
                <w:szCs w:val="21"/>
                <w:lang w:eastAsia="zh-CN"/>
              </w:rPr>
              <w:t>按《</w:t>
            </w:r>
            <w:r>
              <w:rPr>
                <w:rFonts w:hint="eastAsia" w:ascii="仿宋" w:hAnsi="仿宋" w:eastAsia="仿宋" w:cs="仿宋"/>
                <w:szCs w:val="21"/>
                <w:lang w:val="en-US" w:eastAsia="zh-CN"/>
              </w:rPr>
              <w:t>2022年</w:t>
            </w:r>
            <w:r>
              <w:rPr>
                <w:rFonts w:hint="eastAsia" w:ascii="仿宋" w:hAnsi="仿宋" w:eastAsia="仿宋" w:cs="仿宋"/>
                <w:szCs w:val="21"/>
                <w:lang w:eastAsia="zh-CN"/>
              </w:rPr>
              <w:t>秋冬种生产方案》及《湘潭县农业农村局项目资金管理制度》等文件，进行资金预算和分配，确保资金分配科学、合理。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其他需要说明问题</w:t>
            </w:r>
          </w:p>
        </w:tc>
        <w:tc>
          <w:tcPr>
            <w:tcW w:w="5700" w:type="dxa"/>
            <w:vAlign w:val="center"/>
          </w:tcPr>
          <w:p>
            <w:pPr>
              <w:spacing w:line="300" w:lineRule="exact"/>
              <w:ind w:firstLine="420" w:firstLineChars="200"/>
              <w:jc w:val="center"/>
              <w:rPr>
                <w:rFonts w:hint="eastAsia" w:asciiTheme="minorEastAsia" w:hAnsiTheme="minorEastAsia" w:eastAsiaTheme="minorEastAsia"/>
                <w:szCs w:val="21"/>
                <w:lang w:eastAsia="zh-CN"/>
              </w:rPr>
            </w:pPr>
            <w:r>
              <w:rPr>
                <w:rFonts w:hint="eastAsia" w:ascii="仿宋" w:hAnsi="仿宋" w:eastAsia="仿宋" w:cs="仿宋"/>
                <w:szCs w:val="21"/>
                <w:lang w:eastAsia="zh-CN"/>
              </w:rPr>
              <w:t>无。</w:t>
            </w:r>
          </w:p>
        </w:tc>
      </w:tr>
    </w:tbl>
    <w:p>
      <w:pPr>
        <w:spacing w:line="360" w:lineRule="exact"/>
        <w:ind w:firstLine="420" w:firstLineChars="200"/>
        <w:jc w:val="left"/>
        <w:rPr>
          <w:rFonts w:ascii="仿宋_GB2312" w:hAnsi="仿宋" w:eastAsia="仿宋_GB2312"/>
          <w:szCs w:val="21"/>
        </w:rPr>
      </w:pPr>
    </w:p>
    <w:p>
      <w:pPr>
        <w:spacing w:line="360" w:lineRule="exact"/>
        <w:ind w:firstLine="420" w:firstLineChars="200"/>
        <w:jc w:val="left"/>
        <w:rPr>
          <w:rFonts w:ascii="仿宋_GB2312" w:hAnsi="仿宋" w:eastAsia="仿宋_GB2312"/>
          <w:szCs w:val="21"/>
        </w:rPr>
      </w:pPr>
    </w:p>
    <w:p>
      <w:pPr>
        <w:snapToGrid w:val="0"/>
        <w:spacing w:line="540"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lang w:val="en-US" w:eastAsia="zh-CN"/>
        </w:rPr>
        <w:t>2022年</w:t>
      </w:r>
      <w:r>
        <w:rPr>
          <w:rFonts w:hint="eastAsia" w:ascii="宋体" w:hAnsi="宋体" w:cs="仿宋_GB2312"/>
          <w:b/>
          <w:bCs/>
          <w:color w:val="000000"/>
          <w:kern w:val="0"/>
          <w:sz w:val="36"/>
          <w:szCs w:val="36"/>
        </w:rPr>
        <w:t>专项支出绩效自评报告公开</w:t>
      </w:r>
    </w:p>
    <w:tbl>
      <w:tblPr>
        <w:tblStyle w:val="9"/>
        <w:tblpPr w:leftFromText="180" w:rightFromText="180" w:vertAnchor="text" w:horzAnchor="margin" w:tblpXSpec="center" w:tblpY="189"/>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809"/>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项目概况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专项名称</w:t>
            </w:r>
          </w:p>
        </w:tc>
        <w:tc>
          <w:tcPr>
            <w:tcW w:w="5700" w:type="dxa"/>
            <w:vAlign w:val="center"/>
          </w:tcPr>
          <w:p>
            <w:pPr>
              <w:spacing w:line="300" w:lineRule="exact"/>
              <w:ind w:right="880" w:rightChars="419"/>
              <w:jc w:val="center"/>
              <w:rPr>
                <w:rFonts w:hint="eastAsia" w:eastAsia="仿宋" w:cs="宋体" w:asciiTheme="minorEastAsia" w:hAnsiTheme="minorEastAsia"/>
                <w:szCs w:val="21"/>
                <w:lang w:val="en-US" w:eastAsia="zh-CN"/>
              </w:rPr>
            </w:pPr>
            <w:r>
              <w:rPr>
                <w:rFonts w:hint="eastAsia" w:ascii="仿宋" w:hAnsi="仿宋" w:eastAsia="仿宋" w:cs="仿宋"/>
                <w:kern w:val="0"/>
                <w:sz w:val="21"/>
                <w:szCs w:val="21"/>
                <w:lang w:val="en-US" w:eastAsia="zh-CN"/>
              </w:rPr>
              <w:t>2022年禁捕退捕经费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年度预算金额</w:t>
            </w:r>
          </w:p>
        </w:tc>
        <w:tc>
          <w:tcPr>
            <w:tcW w:w="5700" w:type="dxa"/>
            <w:vAlign w:val="center"/>
          </w:tcPr>
          <w:p>
            <w:pPr>
              <w:spacing w:line="300" w:lineRule="exact"/>
              <w:ind w:right="880" w:rightChars="419"/>
              <w:jc w:val="center"/>
              <w:rPr>
                <w:rFonts w:hint="eastAsia" w:cs="宋体" w:asciiTheme="minorEastAsia" w:hAnsiTheme="minorEastAsia" w:eastAsiaTheme="minorEastAsia"/>
                <w:szCs w:val="21"/>
                <w:lang w:val="en-US" w:eastAsia="zh-CN"/>
              </w:rPr>
            </w:pPr>
            <w:r>
              <w:rPr>
                <w:rFonts w:hint="eastAsia" w:ascii="仿宋" w:hAnsi="仿宋" w:eastAsia="仿宋" w:cs="仿宋"/>
                <w:szCs w:val="21"/>
                <w:lang w:val="en-US" w:eastAsia="zh-CN"/>
              </w:rPr>
              <w:t>50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项目主管部门</w:t>
            </w:r>
          </w:p>
        </w:tc>
        <w:tc>
          <w:tcPr>
            <w:tcW w:w="5700" w:type="dxa"/>
            <w:vAlign w:val="center"/>
          </w:tcPr>
          <w:p>
            <w:pPr>
              <w:spacing w:line="300" w:lineRule="exact"/>
              <w:ind w:right="880" w:rightChars="419"/>
              <w:jc w:val="center"/>
              <w:rPr>
                <w:rFonts w:hint="eastAsia" w:ascii="仿宋" w:hAnsi="仿宋" w:eastAsia="仿宋" w:cs="仿宋"/>
                <w:szCs w:val="21"/>
                <w:lang w:eastAsia="zh-CN"/>
              </w:rPr>
            </w:pPr>
            <w:r>
              <w:rPr>
                <w:rFonts w:hint="eastAsia" w:ascii="仿宋" w:hAnsi="仿宋" w:eastAsia="仿宋" w:cs="仿宋"/>
                <w:szCs w:val="21"/>
                <w:lang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项目立项目的</w:t>
            </w:r>
          </w:p>
        </w:tc>
        <w:tc>
          <w:tcPr>
            <w:tcW w:w="5700" w:type="dxa"/>
            <w:vAlign w:val="center"/>
          </w:tcPr>
          <w:p>
            <w:pPr>
              <w:spacing w:line="300" w:lineRule="exact"/>
              <w:ind w:firstLine="420" w:firstLineChars="200"/>
              <w:jc w:val="left"/>
              <w:rPr>
                <w:rFonts w:hint="eastAsia" w:ascii="仿宋" w:hAnsi="仿宋" w:eastAsia="仿宋" w:cs="仿宋"/>
                <w:color w:val="1F1F1F"/>
                <w:kern w:val="0"/>
                <w:szCs w:val="21"/>
              </w:rPr>
            </w:pPr>
            <w:r>
              <w:rPr>
                <w:rFonts w:hint="eastAsia" w:ascii="仿宋_GB2312" w:eastAsia="仿宋_GB2312"/>
                <w:kern w:val="0"/>
                <w:szCs w:val="21"/>
              </w:rPr>
              <w:t>为贯彻落实党的十九大“以共抓大保护，不搞大开发为导向，推动长江经济带发展”的战略布局，根据省农业农村厅、省财政厅、省人力资源和社会保障厅联合下发的《湖南省长江流域重点水域禁捕退捕工作实施方案》（湘农联[2019]86号）文件精神，我县</w:t>
            </w:r>
            <w:r>
              <w:rPr>
                <w:rFonts w:hint="eastAsia" w:ascii="仿宋_GB2312" w:eastAsia="仿宋_GB2312"/>
                <w:kern w:val="0"/>
                <w:szCs w:val="21"/>
                <w:lang w:val="en-US" w:eastAsia="zh-CN"/>
              </w:rPr>
              <w:t>湘江流域重点水域实施常年禁捕</w:t>
            </w:r>
            <w:r>
              <w:rPr>
                <w:rFonts w:hint="eastAsia" w:ascii="仿宋_GB2312" w:eastAsia="仿宋_GB2312"/>
                <w:kern w:val="0"/>
                <w:szCs w:val="21"/>
              </w:rPr>
              <w:t>。国家级野鲤</w:t>
            </w:r>
            <w:r>
              <w:rPr>
                <w:rFonts w:hint="eastAsia" w:ascii="仿宋_GB2312" w:eastAsia="仿宋_GB2312"/>
                <w:kern w:val="0"/>
                <w:szCs w:val="21"/>
                <w:lang w:val="en-US" w:eastAsia="zh-CN"/>
              </w:rPr>
              <w:t>种质资源</w:t>
            </w:r>
            <w:r>
              <w:rPr>
                <w:rFonts w:hint="eastAsia" w:ascii="仿宋_GB2312" w:eastAsia="仿宋_GB2312"/>
                <w:kern w:val="0"/>
                <w:szCs w:val="21"/>
              </w:rPr>
              <w:t>保护区</w:t>
            </w:r>
            <w:r>
              <w:rPr>
                <w:rFonts w:hint="eastAsia" w:ascii="仿宋_GB2312" w:eastAsia="仿宋_GB2312"/>
                <w:kern w:val="0"/>
                <w:szCs w:val="21"/>
                <w:lang w:val="en-US" w:eastAsia="zh-CN"/>
              </w:rPr>
              <w:t>永久性禁捕，其他禁捕水域暂定10年。</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绩效情况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项目支出管理和使用基本情况</w:t>
            </w:r>
          </w:p>
        </w:tc>
        <w:tc>
          <w:tcPr>
            <w:tcW w:w="570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rPr>
                <w:rFonts w:hint="eastAsia" w:ascii="仿宋" w:hAnsi="仿宋" w:eastAsia="仿宋" w:cs="仿宋"/>
                <w:szCs w:val="21"/>
              </w:rPr>
            </w:pPr>
            <w:r>
              <w:rPr>
                <w:rFonts w:hint="eastAsia" w:ascii="仿宋" w:hAnsi="仿宋" w:eastAsia="仿宋" w:cs="仿宋"/>
                <w:lang w:val="en-US" w:eastAsia="zh-CN"/>
              </w:rPr>
              <w:t>2022年县级部门预算禁捕退捕项目经费共50万元，主要用于我局持续</w:t>
            </w:r>
            <w:r>
              <w:rPr>
                <w:rFonts w:hint="eastAsia" w:ascii="仿宋" w:hAnsi="仿宋" w:eastAsia="仿宋" w:cs="仿宋"/>
              </w:rPr>
              <w:t>开展</w:t>
            </w:r>
            <w:r>
              <w:rPr>
                <w:rFonts w:hint="eastAsia" w:ascii="仿宋" w:hAnsi="仿宋" w:eastAsia="仿宋" w:cs="仿宋"/>
                <w:lang w:val="en-US" w:eastAsia="zh-CN"/>
              </w:rPr>
              <w:t>湘江</w:t>
            </w:r>
            <w:r>
              <w:rPr>
                <w:rFonts w:hint="eastAsia" w:ascii="仿宋" w:hAnsi="仿宋" w:eastAsia="仿宋" w:cs="仿宋"/>
              </w:rPr>
              <w:t>流域重点水域“十年禁渔”工作</w:t>
            </w:r>
            <w:r>
              <w:rPr>
                <w:rFonts w:hint="eastAsia" w:ascii="仿宋" w:hAnsi="仿宋" w:eastAsia="仿宋" w:cs="仿宋"/>
                <w:lang w:eastAsia="zh-CN"/>
              </w:rPr>
              <w:t>，</w:t>
            </w:r>
            <w:r>
              <w:rPr>
                <w:rFonts w:hint="eastAsia" w:ascii="仿宋" w:hAnsi="仿宋" w:eastAsia="仿宋" w:cs="仿宋"/>
              </w:rPr>
              <w:t>进行定期</w:t>
            </w:r>
            <w:r>
              <w:rPr>
                <w:rFonts w:hint="eastAsia" w:ascii="仿宋" w:hAnsi="仿宋" w:eastAsia="仿宋" w:cs="仿宋"/>
                <w:lang w:val="en-US" w:eastAsia="zh-CN"/>
              </w:rPr>
              <w:t>或</w:t>
            </w:r>
            <w:r>
              <w:rPr>
                <w:rFonts w:hint="eastAsia" w:ascii="仿宋" w:hAnsi="仿宋" w:eastAsia="仿宋" w:cs="仿宋"/>
              </w:rPr>
              <w:t>不定期巡查，加大执法检查力度。按时召开季度联</w:t>
            </w:r>
            <w:r>
              <w:rPr>
                <w:rFonts w:hint="eastAsia" w:ascii="仿宋" w:hAnsi="仿宋" w:eastAsia="仿宋" w:cs="仿宋"/>
                <w:lang w:val="en-US" w:eastAsia="zh-CN"/>
              </w:rPr>
              <w:t>席</w:t>
            </w:r>
            <w:r>
              <w:rPr>
                <w:rFonts w:hint="eastAsia" w:ascii="仿宋" w:hAnsi="仿宋" w:eastAsia="仿宋" w:cs="仿宋"/>
              </w:rPr>
              <w:t>会议。加强禁渔</w:t>
            </w:r>
            <w:r>
              <w:rPr>
                <w:rFonts w:hint="eastAsia" w:ascii="仿宋" w:hAnsi="仿宋" w:eastAsia="仿宋" w:cs="仿宋"/>
                <w:lang w:val="en-US" w:eastAsia="zh-CN"/>
              </w:rPr>
              <w:t>政策</w:t>
            </w:r>
            <w:r>
              <w:rPr>
                <w:rFonts w:hint="eastAsia" w:ascii="仿宋" w:hAnsi="仿宋" w:eastAsia="仿宋" w:cs="仿宋"/>
              </w:rPr>
              <w:t>宣传，开展专项检查、联合执法。打击非法捕捞</w:t>
            </w:r>
            <w:r>
              <w:rPr>
                <w:rFonts w:hint="eastAsia" w:ascii="仿宋" w:hAnsi="仿宋" w:eastAsia="仿宋" w:cs="仿宋"/>
                <w:lang w:val="en-US" w:eastAsia="zh-CN"/>
              </w:rPr>
              <w:t>和</w:t>
            </w:r>
            <w:r>
              <w:rPr>
                <w:rFonts w:hint="eastAsia" w:ascii="仿宋" w:hAnsi="仿宋" w:eastAsia="仿宋" w:cs="仿宋"/>
              </w:rPr>
              <w:t>贩卖、制作、使用</w:t>
            </w:r>
            <w:r>
              <w:rPr>
                <w:rFonts w:hint="eastAsia" w:ascii="仿宋" w:hAnsi="仿宋" w:eastAsia="仿宋" w:cs="仿宋"/>
                <w:lang w:val="en-US" w:eastAsia="zh-CN"/>
              </w:rPr>
              <w:t>野生鱼类</w:t>
            </w:r>
            <w:r>
              <w:rPr>
                <w:rFonts w:hint="eastAsia" w:ascii="仿宋" w:hAnsi="仿宋" w:eastAsia="仿宋" w:cs="仿宋"/>
              </w:rPr>
              <w:t>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项目绩效目标完成情况</w:t>
            </w:r>
          </w:p>
        </w:tc>
        <w:tc>
          <w:tcPr>
            <w:tcW w:w="570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rPr>
                <w:rFonts w:hint="eastAsia" w:ascii="仿宋" w:hAnsi="仿宋" w:eastAsia="仿宋" w:cs="仿宋"/>
                <w:kern w:val="0"/>
                <w:szCs w:val="32"/>
              </w:rPr>
            </w:pPr>
            <w:r>
              <w:rPr>
                <w:rFonts w:hint="eastAsia" w:ascii="仿宋" w:hAnsi="仿宋" w:eastAsia="仿宋" w:cs="仿宋"/>
                <w:kern w:val="0"/>
                <w:szCs w:val="32"/>
              </w:rPr>
              <w:t>2022年，我局农业综合行政执法大队共出动执法船艇400余次，执法人员1200余人次，开展联合执法行动6次，收缴地笼网3000余米，收缴违规垂钓钓竿162支，警示教育350人次。行政立案19起，行政处罚18人，移送公安部门追究刑责1起。公安部门刑事立案1起。县检察院启动生态环境损害赔偿案件2起。对钟继光等人使用电鱼的方法进行</w:t>
            </w:r>
            <w:r>
              <w:rPr>
                <w:rFonts w:hint="eastAsia" w:ascii="仿宋" w:hAnsi="仿宋" w:eastAsia="仿宋" w:cs="仿宋"/>
                <w:kern w:val="0"/>
                <w:szCs w:val="32"/>
                <w:lang w:eastAsia="zh-CN"/>
              </w:rPr>
              <w:t>违法</w:t>
            </w:r>
            <w:r>
              <w:rPr>
                <w:rFonts w:hint="eastAsia" w:ascii="仿宋" w:hAnsi="仿宋" w:eastAsia="仿宋" w:cs="仿宋"/>
                <w:kern w:val="0"/>
                <w:szCs w:val="32"/>
              </w:rPr>
              <w:t>捕捞</w:t>
            </w:r>
            <w:r>
              <w:rPr>
                <w:rFonts w:hint="eastAsia" w:ascii="仿宋" w:hAnsi="仿宋" w:eastAsia="仿宋" w:cs="仿宋"/>
                <w:kern w:val="0"/>
                <w:szCs w:val="32"/>
                <w:lang w:eastAsia="zh-CN"/>
              </w:rPr>
              <w:t>行为，采取人工增殖放流自行购买鱼苗修复渔业生态资源的方式对违法人员进行处罚，共定点</w:t>
            </w:r>
            <w:r>
              <w:rPr>
                <w:rFonts w:hint="eastAsia" w:ascii="仿宋" w:hAnsi="仿宋" w:eastAsia="仿宋" w:cs="仿宋"/>
                <w:kern w:val="0"/>
                <w:szCs w:val="32"/>
              </w:rPr>
              <w:t>购</w:t>
            </w:r>
            <w:r>
              <w:rPr>
                <w:rFonts w:hint="eastAsia" w:ascii="仿宋" w:hAnsi="仿宋" w:eastAsia="仿宋" w:cs="仿宋"/>
                <w:kern w:val="0"/>
                <w:szCs w:val="32"/>
                <w:lang w:eastAsia="zh-CN"/>
              </w:rPr>
              <w:t>买</w:t>
            </w:r>
            <w:r>
              <w:rPr>
                <w:rFonts w:hint="eastAsia" w:ascii="仿宋" w:hAnsi="仿宋" w:eastAsia="仿宋" w:cs="仿宋"/>
                <w:kern w:val="0"/>
                <w:szCs w:val="32"/>
              </w:rPr>
              <w:t>青、草、鲑、鳙鱼苗种49896元，放流湘江水域，修复渔业资源与环境。联合市场监管部门检查渔具店63家次，农贸市场179家次，超市170家次，餐饮单位285家次，收缴地笼、渔网50套，整改市场主体登记名称和招牌中含有“河鱼”字样的个体户11家。</w:t>
            </w:r>
          </w:p>
          <w:p>
            <w:pPr>
              <w:pStyle w:val="8"/>
              <w:keepNext w:val="0"/>
              <w:keepLines w:val="0"/>
              <w:pageBreakBefore w:val="0"/>
              <w:widowControl w:val="0"/>
              <w:kinsoku/>
              <w:wordWrap/>
              <w:overflowPunct/>
              <w:topLinePunct w:val="0"/>
              <w:autoSpaceDE/>
              <w:autoSpaceDN/>
              <w:bidi w:val="0"/>
              <w:adjustRightInd w:val="0"/>
              <w:snapToGrid w:val="0"/>
              <w:spacing w:line="240" w:lineRule="auto"/>
              <w:ind w:left="0" w:leftChars="0" w:firstLine="420" w:firstLineChars="200"/>
              <w:jc w:val="left"/>
              <w:textAlignment w:val="auto"/>
              <w:rPr>
                <w:rFonts w:hint="eastAsia" w:ascii="仿宋" w:hAnsi="仿宋" w:eastAsia="仿宋" w:cs="仿宋"/>
                <w:szCs w:val="21"/>
              </w:rPr>
            </w:pPr>
            <w:r>
              <w:rPr>
                <w:rFonts w:hint="eastAsia" w:ascii="仿宋" w:hAnsi="仿宋" w:eastAsia="仿宋" w:cs="仿宋"/>
                <w:lang w:eastAsia="zh-CN"/>
              </w:rPr>
              <w:t>项目资金已支出</w:t>
            </w:r>
            <w:r>
              <w:rPr>
                <w:rFonts w:hint="eastAsia" w:ascii="仿宋" w:hAnsi="仿宋" w:eastAsia="仿宋" w:cs="仿宋"/>
                <w:lang w:val="en-US" w:eastAsia="zh-CN"/>
              </w:rPr>
              <w:t>40</w:t>
            </w:r>
            <w:r>
              <w:rPr>
                <w:rFonts w:hint="eastAsia" w:ascii="仿宋" w:hAnsi="仿宋" w:eastAsia="仿宋" w:cs="仿宋"/>
                <w:lang w:eastAsia="zh-CN"/>
              </w:rPr>
              <w:t>万元，</w:t>
            </w:r>
            <w:r>
              <w:rPr>
                <w:rFonts w:hint="eastAsia" w:ascii="仿宋" w:hAnsi="仿宋" w:eastAsia="仿宋" w:cs="仿宋"/>
                <w:lang w:val="en-US" w:eastAsia="zh-CN"/>
              </w:rPr>
              <w:t>其中</w:t>
            </w:r>
            <w:r>
              <w:rPr>
                <w:rFonts w:hint="eastAsia" w:ascii="仿宋" w:hAnsi="仿宋" w:eastAsia="仿宋" w:cs="仿宋"/>
                <w:lang w:eastAsia="zh-CN"/>
              </w:rPr>
              <w:t>用于禁渔宣传</w:t>
            </w:r>
            <w:r>
              <w:rPr>
                <w:rFonts w:hint="eastAsia" w:ascii="仿宋" w:hAnsi="仿宋" w:eastAsia="仿宋" w:cs="仿宋"/>
                <w:lang w:val="en-US" w:eastAsia="zh-CN"/>
              </w:rPr>
              <w:t>8万元</w:t>
            </w:r>
            <w:r>
              <w:rPr>
                <w:rFonts w:hint="eastAsia" w:ascii="仿宋" w:hAnsi="仿宋" w:eastAsia="仿宋" w:cs="仿宋"/>
                <w:lang w:eastAsia="zh-CN"/>
              </w:rPr>
              <w:t>、渔政趸船维护费用</w:t>
            </w:r>
            <w:r>
              <w:rPr>
                <w:rFonts w:hint="eastAsia" w:ascii="仿宋" w:hAnsi="仿宋" w:eastAsia="仿宋" w:cs="仿宋"/>
                <w:lang w:val="en-US" w:eastAsia="zh-CN"/>
              </w:rPr>
              <w:t>5万元</w:t>
            </w:r>
            <w:r>
              <w:rPr>
                <w:rFonts w:hint="eastAsia" w:ascii="仿宋" w:hAnsi="仿宋" w:eastAsia="仿宋" w:cs="仿宋"/>
                <w:lang w:eastAsia="zh-CN"/>
              </w:rPr>
              <w:t>、执法船艇燃料费用</w:t>
            </w:r>
            <w:r>
              <w:rPr>
                <w:rFonts w:hint="eastAsia" w:ascii="仿宋" w:hAnsi="仿宋" w:eastAsia="仿宋" w:cs="仿宋"/>
                <w:lang w:val="en-US" w:eastAsia="zh-CN"/>
              </w:rPr>
              <w:t>10万元</w:t>
            </w:r>
            <w:r>
              <w:rPr>
                <w:rFonts w:hint="eastAsia" w:ascii="仿宋" w:hAnsi="仿宋" w:eastAsia="仿宋" w:cs="仿宋"/>
                <w:lang w:eastAsia="zh-CN"/>
              </w:rPr>
              <w:t>、执法船艇维修保养费用</w:t>
            </w:r>
            <w:r>
              <w:rPr>
                <w:rFonts w:hint="eastAsia" w:ascii="仿宋" w:hAnsi="仿宋" w:eastAsia="仿宋" w:cs="仿宋"/>
                <w:lang w:val="en-US" w:eastAsia="zh-CN"/>
              </w:rPr>
              <w:t>12万元</w:t>
            </w:r>
            <w:r>
              <w:rPr>
                <w:rFonts w:hint="eastAsia" w:ascii="仿宋" w:hAnsi="仿宋" w:eastAsia="仿宋" w:cs="仿宋"/>
                <w:lang w:eastAsia="zh-CN"/>
              </w:rPr>
              <w:t>、执法人员办公经费</w:t>
            </w:r>
            <w:r>
              <w:rPr>
                <w:rFonts w:hint="eastAsia" w:ascii="仿宋" w:hAnsi="仿宋" w:eastAsia="仿宋" w:cs="仿宋"/>
                <w:lang w:val="en-US" w:eastAsia="zh-CN"/>
              </w:rPr>
              <w:t>15万元。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809" w:type="dxa"/>
            <w:vMerge w:val="restart"/>
            <w:vAlign w:val="center"/>
          </w:tcPr>
          <w:p>
            <w:pPr>
              <w:spacing w:line="300" w:lineRule="exact"/>
              <w:jc w:val="center"/>
              <w:rPr>
                <w:rFonts w:hint="eastAsia" w:ascii="宋体" w:hAnsi="宋体" w:eastAsia="宋体" w:cs="宋体"/>
                <w:szCs w:val="32"/>
              </w:rPr>
            </w:pPr>
            <w:r>
              <w:rPr>
                <w:rFonts w:hint="eastAsia" w:ascii="宋体" w:hAnsi="宋体" w:eastAsia="宋体" w:cs="宋体"/>
                <w:szCs w:val="21"/>
              </w:rPr>
              <w:t>存在的问题分析及改进措施</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存在的问题</w:t>
            </w:r>
          </w:p>
        </w:tc>
        <w:tc>
          <w:tcPr>
            <w:tcW w:w="5700" w:type="dxa"/>
            <w:vAlign w:val="center"/>
          </w:tcPr>
          <w:p>
            <w:pPr>
              <w:spacing w:line="300" w:lineRule="exact"/>
              <w:ind w:firstLine="420" w:firstLineChars="200"/>
              <w:jc w:val="left"/>
              <w:rPr>
                <w:rFonts w:hint="eastAsia" w:ascii="仿宋" w:hAnsi="仿宋" w:eastAsia="仿宋" w:cs="仿宋"/>
                <w:szCs w:val="21"/>
              </w:rPr>
            </w:pPr>
            <w:r>
              <w:rPr>
                <w:rFonts w:hint="eastAsia" w:ascii="仿宋" w:hAnsi="仿宋" w:eastAsia="仿宋" w:cs="仿宋"/>
                <w:lang w:val="en-US" w:eastAsia="zh-CN"/>
              </w:rPr>
              <w:t>执法人员缺乏，人少事多，工作疲于应付。工作合力、统筹协调有待加强。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改进措施</w:t>
            </w:r>
          </w:p>
        </w:tc>
        <w:tc>
          <w:tcPr>
            <w:tcW w:w="5700" w:type="dxa"/>
            <w:vAlign w:val="center"/>
          </w:tcPr>
          <w:p>
            <w:pPr>
              <w:pStyle w:val="8"/>
              <w:keepNext w:val="0"/>
              <w:keepLines w:val="0"/>
              <w:pageBreakBefore w:val="0"/>
              <w:widowControl w:val="0"/>
              <w:kinsoku/>
              <w:wordWrap/>
              <w:overflowPunct/>
              <w:topLinePunct w:val="0"/>
              <w:autoSpaceDE/>
              <w:autoSpaceDN/>
              <w:bidi w:val="0"/>
              <w:adjustRightInd w:val="0"/>
              <w:snapToGrid w:val="0"/>
              <w:spacing w:line="240" w:lineRule="auto"/>
              <w:ind w:left="0" w:leftChars="0" w:firstLine="420" w:firstLineChars="200"/>
              <w:jc w:val="left"/>
              <w:textAlignment w:val="auto"/>
              <w:rPr>
                <w:rFonts w:hint="eastAsia" w:ascii="仿宋" w:hAnsi="仿宋" w:eastAsia="仿宋" w:cs="仿宋"/>
                <w:szCs w:val="21"/>
              </w:rPr>
            </w:pPr>
            <w:r>
              <w:rPr>
                <w:rFonts w:hint="eastAsia" w:ascii="仿宋" w:hAnsi="仿宋" w:eastAsia="仿宋" w:cs="仿宋"/>
                <w:lang w:val="en-US" w:eastAsia="zh-CN"/>
              </w:rPr>
              <w:t>加强人员保障，项目资金及时足额到位。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其他需要说明问题</w:t>
            </w:r>
          </w:p>
        </w:tc>
        <w:tc>
          <w:tcPr>
            <w:tcW w:w="5700" w:type="dxa"/>
            <w:vAlign w:val="center"/>
          </w:tcPr>
          <w:p>
            <w:pPr>
              <w:spacing w:line="300" w:lineRule="exact"/>
              <w:ind w:firstLine="420" w:firstLineChars="200"/>
              <w:jc w:val="center"/>
              <w:rPr>
                <w:rFonts w:hint="eastAsia" w:ascii="仿宋" w:hAnsi="仿宋" w:eastAsia="仿宋" w:cs="仿宋"/>
                <w:szCs w:val="21"/>
                <w:lang w:eastAsia="zh-CN"/>
              </w:rPr>
            </w:pPr>
            <w:r>
              <w:rPr>
                <w:rFonts w:hint="eastAsia" w:ascii="仿宋" w:hAnsi="仿宋" w:eastAsia="仿宋" w:cs="仿宋"/>
                <w:szCs w:val="21"/>
                <w:lang w:eastAsia="zh-CN"/>
              </w:rPr>
              <w:t>无</w:t>
            </w:r>
          </w:p>
        </w:tc>
      </w:tr>
    </w:tbl>
    <w:p>
      <w:pPr>
        <w:spacing w:line="360" w:lineRule="exact"/>
        <w:jc w:val="left"/>
        <w:rPr>
          <w:rFonts w:hint="eastAsia" w:ascii="仿宋_GB2312" w:hAnsi="仿宋" w:eastAsia="仿宋_GB2312"/>
          <w:szCs w:val="21"/>
          <w:lang w:val="en-US" w:eastAsia="zh-CN"/>
        </w:rPr>
      </w:pPr>
    </w:p>
    <w:p>
      <w:pPr>
        <w:spacing w:line="360" w:lineRule="exact"/>
        <w:jc w:val="left"/>
        <w:rPr>
          <w:rFonts w:hint="eastAsia" w:ascii="仿宋_GB2312" w:hAnsi="仿宋" w:eastAsia="仿宋_GB2312"/>
          <w:szCs w:val="21"/>
          <w:lang w:val="en-US" w:eastAsia="zh-CN"/>
        </w:rPr>
      </w:pPr>
    </w:p>
    <w:p>
      <w:pPr>
        <w:spacing w:line="360" w:lineRule="exact"/>
        <w:jc w:val="left"/>
        <w:rPr>
          <w:rFonts w:hint="eastAsia" w:ascii="仿宋_GB2312" w:hAnsi="仿宋" w:eastAsia="仿宋_GB2312"/>
          <w:szCs w:val="21"/>
          <w:lang w:val="en-US" w:eastAsia="zh-CN"/>
        </w:rPr>
      </w:pPr>
    </w:p>
    <w:p>
      <w:pPr>
        <w:snapToGrid w:val="0"/>
        <w:spacing w:line="540"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lang w:val="en-US" w:eastAsia="zh-CN"/>
        </w:rPr>
        <w:t>2022年</w:t>
      </w:r>
      <w:r>
        <w:rPr>
          <w:rFonts w:hint="eastAsia" w:ascii="宋体" w:hAnsi="宋体" w:cs="仿宋_GB2312"/>
          <w:b/>
          <w:bCs/>
          <w:color w:val="000000"/>
          <w:kern w:val="0"/>
          <w:sz w:val="36"/>
          <w:szCs w:val="36"/>
        </w:rPr>
        <w:t>专项支出绩效自评报告公开</w:t>
      </w:r>
    </w:p>
    <w:tbl>
      <w:tblPr>
        <w:tblStyle w:val="9"/>
        <w:tblpPr w:leftFromText="180" w:rightFromText="180" w:vertAnchor="text" w:horzAnchor="margin" w:tblpXSpec="center" w:tblpY="189"/>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2"/>
        <w:gridCol w:w="1782"/>
        <w:gridCol w:w="5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782"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项目概况</w:t>
            </w: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专项名称</w:t>
            </w:r>
          </w:p>
        </w:tc>
        <w:tc>
          <w:tcPr>
            <w:tcW w:w="5615" w:type="dxa"/>
            <w:vAlign w:val="center"/>
          </w:tcPr>
          <w:p>
            <w:pPr>
              <w:spacing w:line="300" w:lineRule="exact"/>
              <w:ind w:right="880" w:rightChars="419"/>
              <w:jc w:val="center"/>
              <w:rPr>
                <w:rFonts w:hint="eastAsia" w:eastAsia="仿宋" w:cs="宋体" w:asciiTheme="minorEastAsia" w:hAnsiTheme="minorEastAsia"/>
                <w:szCs w:val="21"/>
                <w:lang w:val="en-US" w:eastAsia="zh-CN"/>
              </w:rPr>
            </w:pPr>
            <w:r>
              <w:rPr>
                <w:rFonts w:hint="eastAsia" w:ascii="仿宋" w:hAnsi="仿宋" w:eastAsia="仿宋" w:cs="仿宋"/>
                <w:kern w:val="0"/>
                <w:sz w:val="21"/>
                <w:szCs w:val="21"/>
                <w:lang w:val="en-US" w:eastAsia="zh-CN"/>
              </w:rPr>
              <w:t>县级现代农业特色产业园建设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782" w:type="dxa"/>
            <w:vMerge w:val="continue"/>
            <w:vAlign w:val="center"/>
          </w:tcPr>
          <w:p>
            <w:pPr>
              <w:spacing w:line="300" w:lineRule="exact"/>
              <w:jc w:val="center"/>
              <w:rPr>
                <w:rFonts w:hint="eastAsia" w:ascii="宋体" w:hAnsi="宋体" w:eastAsia="宋体" w:cs="宋体"/>
                <w:szCs w:val="32"/>
              </w:rPr>
            </w:pP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年度预算金额</w:t>
            </w:r>
          </w:p>
        </w:tc>
        <w:tc>
          <w:tcPr>
            <w:tcW w:w="5615" w:type="dxa"/>
            <w:vAlign w:val="center"/>
          </w:tcPr>
          <w:p>
            <w:pPr>
              <w:spacing w:line="300" w:lineRule="exact"/>
              <w:ind w:right="880" w:rightChars="419"/>
              <w:jc w:val="center"/>
              <w:rPr>
                <w:rFonts w:hint="eastAsia" w:cs="宋体" w:asciiTheme="minorEastAsia" w:hAnsiTheme="minorEastAsia" w:eastAsiaTheme="minorEastAsia"/>
                <w:szCs w:val="21"/>
                <w:lang w:val="en-US" w:eastAsia="zh-CN"/>
              </w:rPr>
            </w:pPr>
            <w:r>
              <w:rPr>
                <w:rFonts w:hint="eastAsia" w:ascii="仿宋" w:hAnsi="仿宋" w:eastAsia="仿宋" w:cs="仿宋"/>
                <w:szCs w:val="21"/>
                <w:lang w:val="en-US" w:eastAsia="zh-CN"/>
              </w:rPr>
              <w:t>50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782" w:type="dxa"/>
            <w:vMerge w:val="continue"/>
            <w:vAlign w:val="center"/>
          </w:tcPr>
          <w:p>
            <w:pPr>
              <w:spacing w:line="300" w:lineRule="exact"/>
              <w:jc w:val="center"/>
              <w:rPr>
                <w:rFonts w:hint="eastAsia" w:ascii="宋体" w:hAnsi="宋体" w:eastAsia="宋体" w:cs="宋体"/>
                <w:szCs w:val="32"/>
              </w:rPr>
            </w:pP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项目主管部门</w:t>
            </w:r>
          </w:p>
        </w:tc>
        <w:tc>
          <w:tcPr>
            <w:tcW w:w="5615" w:type="dxa"/>
            <w:vAlign w:val="center"/>
          </w:tcPr>
          <w:p>
            <w:pPr>
              <w:spacing w:line="300" w:lineRule="exact"/>
              <w:ind w:right="880" w:rightChars="419"/>
              <w:jc w:val="center"/>
              <w:rPr>
                <w:rFonts w:hint="eastAsia" w:ascii="仿宋" w:hAnsi="仿宋" w:eastAsia="仿宋" w:cs="仿宋"/>
                <w:szCs w:val="21"/>
                <w:lang w:eastAsia="zh-CN"/>
              </w:rPr>
            </w:pPr>
            <w:r>
              <w:rPr>
                <w:rFonts w:hint="eastAsia" w:ascii="仿宋" w:hAnsi="仿宋" w:eastAsia="仿宋" w:cs="仿宋"/>
                <w:szCs w:val="21"/>
                <w:lang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9" w:hRule="atLeast"/>
          <w:jc w:val="center"/>
        </w:trPr>
        <w:tc>
          <w:tcPr>
            <w:tcW w:w="1782" w:type="dxa"/>
            <w:vMerge w:val="continue"/>
            <w:vAlign w:val="center"/>
          </w:tcPr>
          <w:p>
            <w:pPr>
              <w:spacing w:line="300" w:lineRule="exact"/>
              <w:jc w:val="center"/>
              <w:rPr>
                <w:rFonts w:hint="eastAsia" w:ascii="宋体" w:hAnsi="宋体" w:eastAsia="宋体" w:cs="宋体"/>
                <w:szCs w:val="32"/>
              </w:rPr>
            </w:pP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项目立项目的</w:t>
            </w:r>
          </w:p>
        </w:tc>
        <w:tc>
          <w:tcPr>
            <w:tcW w:w="561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04" w:firstLineChars="200"/>
              <w:jc w:val="left"/>
              <w:textAlignment w:val="auto"/>
              <w:rPr>
                <w:rFonts w:hint="eastAsia" w:ascii="仿宋_GB2312" w:eastAsia="仿宋_GB2312"/>
                <w:spacing w:val="-4"/>
                <w:sz w:val="21"/>
                <w:szCs w:val="21"/>
                <w:lang w:eastAsia="zh-CN"/>
              </w:rPr>
            </w:pPr>
            <w:r>
              <w:rPr>
                <w:rFonts w:hint="eastAsia" w:ascii="仿宋_GB2312" w:eastAsia="仿宋_GB2312"/>
                <w:spacing w:val="-4"/>
                <w:sz w:val="21"/>
                <w:szCs w:val="21"/>
                <w:lang w:eastAsia="zh-CN"/>
              </w:rPr>
              <w:t>根据《湖南省人民政府关于深入推进农业“百千万”工程促进产业兴旺的意见》（湘政发〔2018〕3号）</w:t>
            </w:r>
            <w:r>
              <w:rPr>
                <w:rFonts w:hint="eastAsia" w:ascii="仿宋_GB2312" w:eastAsia="仿宋_GB2312"/>
                <w:spacing w:val="-4"/>
                <w:sz w:val="21"/>
                <w:szCs w:val="21"/>
                <w:lang w:val="en-US" w:eastAsia="zh-CN"/>
              </w:rPr>
              <w:t>和</w:t>
            </w:r>
            <w:r>
              <w:rPr>
                <w:rFonts w:hint="eastAsia" w:ascii="仿宋_GB2312" w:eastAsia="仿宋_GB2312"/>
                <w:spacing w:val="-4"/>
                <w:sz w:val="21"/>
                <w:szCs w:val="21"/>
                <w:lang w:eastAsia="zh-CN"/>
              </w:rPr>
              <w:t>《湘潭县农业农村局</w:t>
            </w:r>
            <w:r>
              <w:rPr>
                <w:rFonts w:hint="eastAsia" w:ascii="仿宋_GB2312" w:eastAsia="仿宋_GB2312"/>
                <w:spacing w:val="-4"/>
                <w:sz w:val="21"/>
                <w:szCs w:val="21"/>
                <w:lang w:val="en-US" w:eastAsia="zh-CN"/>
              </w:rPr>
              <w:t xml:space="preserve"> </w:t>
            </w:r>
            <w:r>
              <w:rPr>
                <w:rFonts w:hint="eastAsia" w:ascii="仿宋_GB2312" w:eastAsia="仿宋_GB2312"/>
                <w:spacing w:val="-4"/>
                <w:sz w:val="21"/>
                <w:szCs w:val="21"/>
                <w:lang w:eastAsia="zh-CN"/>
              </w:rPr>
              <w:t>湘潭县财政局关于认定2022年度湘潭县现代农业特色产业园的通知》（潭县农联〔2022〕10号)等文件精神，创建一批主导产业突出、产品特色明显、品牌效应突出、市场竞争力强、经济效益好的现代农业特色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9" w:hRule="atLeast"/>
          <w:jc w:val="center"/>
        </w:trPr>
        <w:tc>
          <w:tcPr>
            <w:tcW w:w="1782"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绩效情况</w:t>
            </w: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项目支出管理和使用基本情况</w:t>
            </w:r>
          </w:p>
        </w:tc>
        <w:tc>
          <w:tcPr>
            <w:tcW w:w="561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04" w:firstLineChars="200"/>
              <w:jc w:val="left"/>
              <w:textAlignment w:val="auto"/>
              <w:rPr>
                <w:rFonts w:hint="default" w:ascii="仿宋_GB2312" w:eastAsia="仿宋_GB2312"/>
                <w:spacing w:val="-4"/>
                <w:sz w:val="21"/>
                <w:szCs w:val="21"/>
                <w:lang w:val="en-US" w:eastAsia="zh-CN"/>
              </w:rPr>
            </w:pPr>
            <w:r>
              <w:rPr>
                <w:rFonts w:hint="eastAsia" w:ascii="仿宋_GB2312" w:eastAsia="仿宋_GB2312"/>
                <w:spacing w:val="-4"/>
                <w:sz w:val="21"/>
                <w:szCs w:val="21"/>
                <w:lang w:eastAsia="zh-CN"/>
              </w:rPr>
              <w:t>申请县级财政预算资金</w:t>
            </w:r>
            <w:r>
              <w:rPr>
                <w:rFonts w:hint="eastAsia" w:ascii="仿宋_GB2312" w:eastAsia="仿宋_GB2312"/>
                <w:spacing w:val="-4"/>
                <w:sz w:val="21"/>
                <w:szCs w:val="21"/>
                <w:lang w:val="en-US" w:eastAsia="zh-CN"/>
              </w:rPr>
              <w:t>50万元，主要用于开展2022年县级特色农业产园的认定工作和对2021年认定的主体进行奖补。根据湘潭县农业农村局、县财政局《关于认定2021年度湘潭县特色农业产业园的通知》（潭农联【2021】8号），对2021年度10家县级特色产业园主体进行奖补，每家奖补5万元。目前项目资金已全部支付到位，资金支出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1782" w:type="dxa"/>
            <w:vMerge w:val="continue"/>
            <w:vAlign w:val="center"/>
          </w:tcPr>
          <w:p>
            <w:pPr>
              <w:spacing w:line="300" w:lineRule="exact"/>
              <w:jc w:val="center"/>
              <w:rPr>
                <w:rFonts w:hint="eastAsia" w:ascii="宋体" w:hAnsi="宋体" w:eastAsia="宋体" w:cs="宋体"/>
                <w:szCs w:val="32"/>
              </w:rPr>
            </w:pP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项目绩效目标完成情况</w:t>
            </w:r>
          </w:p>
        </w:tc>
        <w:tc>
          <w:tcPr>
            <w:tcW w:w="561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04" w:firstLineChars="200"/>
              <w:jc w:val="left"/>
              <w:textAlignment w:val="auto"/>
              <w:rPr>
                <w:rFonts w:hint="default" w:ascii="仿宋_GB2312" w:eastAsia="仿宋_GB2312"/>
                <w:spacing w:val="-4"/>
                <w:sz w:val="21"/>
                <w:szCs w:val="21"/>
                <w:lang w:val="en-US" w:eastAsia="zh-CN"/>
              </w:rPr>
            </w:pPr>
            <w:r>
              <w:rPr>
                <w:rFonts w:hint="eastAsia" w:ascii="仿宋_GB2312" w:eastAsia="仿宋_GB2312"/>
                <w:spacing w:val="-4"/>
                <w:sz w:val="21"/>
                <w:szCs w:val="21"/>
                <w:lang w:val="en-US" w:eastAsia="zh-CN"/>
              </w:rPr>
              <w:t>2022年新认定10家特色产业园，通过项目的实施，各园区科技创新、产业价值和竞争力明显提高；促进了当地产业发展，带动经济增长，增加税收收入。实施主体满意度达90%以上，绩效自评结果为“优秀”。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782" w:type="dxa"/>
            <w:vMerge w:val="restart"/>
            <w:vAlign w:val="center"/>
          </w:tcPr>
          <w:p>
            <w:pPr>
              <w:spacing w:line="300" w:lineRule="exact"/>
              <w:jc w:val="center"/>
              <w:rPr>
                <w:rFonts w:hint="eastAsia" w:ascii="宋体" w:hAnsi="宋体" w:eastAsia="宋体" w:cs="宋体"/>
                <w:szCs w:val="32"/>
              </w:rPr>
            </w:pPr>
            <w:r>
              <w:rPr>
                <w:rFonts w:hint="eastAsia" w:ascii="宋体" w:hAnsi="宋体" w:eastAsia="宋体" w:cs="宋体"/>
                <w:szCs w:val="21"/>
              </w:rPr>
              <w:t>存在的问题分析及改进措施</w:t>
            </w: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存在的问题</w:t>
            </w:r>
          </w:p>
        </w:tc>
        <w:tc>
          <w:tcPr>
            <w:tcW w:w="561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仿宋_GB2312" w:eastAsia="仿宋_GB2312"/>
                <w:spacing w:val="-4"/>
                <w:sz w:val="21"/>
                <w:szCs w:val="21"/>
                <w:lang w:val="en-US" w:eastAsia="zh-CN"/>
              </w:rPr>
            </w:pPr>
            <w:r>
              <w:rPr>
                <w:rFonts w:hint="eastAsia" w:ascii="仿宋_GB2312" w:eastAsia="仿宋_GB2312"/>
                <w:spacing w:val="-4"/>
                <w:sz w:val="21"/>
                <w:szCs w:val="21"/>
                <w:lang w:val="en-US" w:eastAsia="zh-CN"/>
              </w:rPr>
              <w:t>项目管理制度不健全，项目验收资料整理不及时。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782" w:type="dxa"/>
            <w:vMerge w:val="continue"/>
            <w:vAlign w:val="center"/>
          </w:tcPr>
          <w:p>
            <w:pPr>
              <w:spacing w:line="300" w:lineRule="exact"/>
              <w:jc w:val="center"/>
              <w:rPr>
                <w:rFonts w:hint="eastAsia" w:ascii="宋体" w:hAnsi="宋体" w:eastAsia="宋体" w:cs="宋体"/>
                <w:szCs w:val="32"/>
              </w:rPr>
            </w:pP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改进措施</w:t>
            </w:r>
          </w:p>
        </w:tc>
        <w:tc>
          <w:tcPr>
            <w:tcW w:w="5615" w:type="dxa"/>
            <w:vAlign w:val="center"/>
          </w:tcPr>
          <w:p>
            <w:pPr>
              <w:pStyle w:val="8"/>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404" w:firstLineChars="200"/>
              <w:jc w:val="both"/>
              <w:textAlignment w:val="auto"/>
              <w:rPr>
                <w:rFonts w:hint="eastAsia" w:ascii="仿宋_GB2312" w:hAnsi="Times New Roman" w:eastAsia="仿宋_GB2312" w:cs="Times New Roman"/>
                <w:spacing w:val="-4"/>
                <w:kern w:val="2"/>
                <w:sz w:val="21"/>
                <w:szCs w:val="21"/>
                <w:lang w:val="en-US" w:eastAsia="zh-CN" w:bidi="ar-SA"/>
              </w:rPr>
            </w:pPr>
            <w:r>
              <w:rPr>
                <w:rFonts w:hint="eastAsia" w:ascii="仿宋_GB2312" w:eastAsia="仿宋_GB2312" w:cs="Times New Roman"/>
                <w:spacing w:val="-4"/>
                <w:kern w:val="2"/>
                <w:sz w:val="21"/>
                <w:szCs w:val="21"/>
                <w:lang w:val="en-US" w:eastAsia="zh-CN" w:bidi="ar-SA"/>
              </w:rPr>
              <w:t>督促业务主管部门和项目单位完善各项管理制度，及时整理好项目验收资料。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1782" w:type="dxa"/>
            <w:vMerge w:val="continue"/>
            <w:vAlign w:val="center"/>
          </w:tcPr>
          <w:p>
            <w:pPr>
              <w:spacing w:line="300" w:lineRule="exact"/>
              <w:jc w:val="center"/>
              <w:rPr>
                <w:rFonts w:hint="eastAsia" w:ascii="宋体" w:hAnsi="宋体" w:eastAsia="宋体" w:cs="宋体"/>
                <w:szCs w:val="32"/>
              </w:rPr>
            </w:pPr>
          </w:p>
        </w:tc>
        <w:tc>
          <w:tcPr>
            <w:tcW w:w="1782"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其他需要说明问题</w:t>
            </w:r>
          </w:p>
        </w:tc>
        <w:tc>
          <w:tcPr>
            <w:tcW w:w="561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仿宋_GB2312" w:hAnsi="Times New Roman" w:eastAsia="仿宋_GB2312" w:cs="Times New Roman"/>
                <w:spacing w:val="-4"/>
                <w:kern w:val="2"/>
                <w:sz w:val="21"/>
                <w:szCs w:val="21"/>
                <w:lang w:val="en-US" w:eastAsia="zh-CN" w:bidi="ar-SA"/>
              </w:rPr>
            </w:pPr>
            <w:r>
              <w:rPr>
                <w:rFonts w:hint="eastAsia" w:ascii="仿宋_GB2312" w:hAnsi="Times New Roman" w:eastAsia="仿宋_GB2312" w:cs="Times New Roman"/>
                <w:spacing w:val="-4"/>
                <w:kern w:val="2"/>
                <w:sz w:val="21"/>
                <w:szCs w:val="21"/>
                <w:lang w:val="en-US" w:eastAsia="zh-CN" w:bidi="ar-SA"/>
              </w:rPr>
              <w:t>无</w:t>
            </w:r>
          </w:p>
        </w:tc>
      </w:tr>
    </w:tbl>
    <w:p>
      <w:pPr>
        <w:spacing w:line="360" w:lineRule="exact"/>
        <w:jc w:val="left"/>
        <w:rPr>
          <w:rFonts w:hint="eastAsia" w:ascii="仿宋_GB2312" w:hAnsi="仿宋" w:eastAsia="仿宋_GB2312"/>
          <w:szCs w:val="21"/>
          <w:lang w:val="en-US" w:eastAsia="zh-CN"/>
        </w:rPr>
      </w:pPr>
    </w:p>
    <w:p>
      <w:pPr>
        <w:pStyle w:val="2"/>
        <w:rPr>
          <w:rFonts w:hint="eastAsia" w:ascii="仿宋_GB2312" w:hAnsi="仿宋" w:eastAsia="仿宋_GB2312"/>
          <w:szCs w:val="21"/>
          <w:lang w:val="en-US" w:eastAsia="zh-CN"/>
        </w:rPr>
      </w:pPr>
    </w:p>
    <w:p>
      <w:pPr>
        <w:rPr>
          <w:rFonts w:hint="eastAsia" w:ascii="仿宋_GB2312" w:hAnsi="仿宋" w:eastAsia="仿宋_GB2312"/>
          <w:szCs w:val="21"/>
          <w:lang w:val="en-US" w:eastAsia="zh-CN"/>
        </w:rPr>
      </w:pPr>
    </w:p>
    <w:p>
      <w:pPr>
        <w:pStyle w:val="2"/>
        <w:rPr>
          <w:rFonts w:hint="eastAsia" w:ascii="仿宋_GB2312" w:hAnsi="仿宋" w:eastAsia="仿宋_GB2312"/>
          <w:szCs w:val="21"/>
          <w:lang w:val="en-US" w:eastAsia="zh-CN"/>
        </w:rPr>
      </w:pPr>
    </w:p>
    <w:p>
      <w:pPr>
        <w:snapToGrid w:val="0"/>
        <w:spacing w:line="540" w:lineRule="exact"/>
        <w:jc w:val="center"/>
        <w:rPr>
          <w:rFonts w:hint="eastAsia" w:ascii="宋体" w:hAnsi="宋体" w:cs="仿宋_GB2312"/>
          <w:b/>
          <w:bCs/>
          <w:color w:val="000000"/>
          <w:kern w:val="0"/>
          <w:sz w:val="36"/>
          <w:szCs w:val="36"/>
          <w:lang w:val="en-US" w:eastAsia="zh-CN"/>
        </w:rPr>
      </w:pPr>
    </w:p>
    <w:p>
      <w:pPr>
        <w:snapToGrid w:val="0"/>
        <w:spacing w:line="540"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lang w:val="en-US" w:eastAsia="zh-CN"/>
        </w:rPr>
        <w:t>2022年</w:t>
      </w:r>
      <w:r>
        <w:rPr>
          <w:rFonts w:hint="eastAsia" w:ascii="宋体" w:hAnsi="宋体" w:cs="仿宋_GB2312"/>
          <w:b/>
          <w:bCs/>
          <w:color w:val="000000"/>
          <w:kern w:val="0"/>
          <w:sz w:val="36"/>
          <w:szCs w:val="36"/>
        </w:rPr>
        <w:t>专项支出绩效自评报告公开</w:t>
      </w:r>
    </w:p>
    <w:tbl>
      <w:tblPr>
        <w:tblStyle w:val="9"/>
        <w:tblpPr w:leftFromText="180" w:rightFromText="180" w:vertAnchor="text" w:horzAnchor="margin" w:tblpXSpec="center" w:tblpY="189"/>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809"/>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项目概况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专项名称</w:t>
            </w:r>
          </w:p>
        </w:tc>
        <w:tc>
          <w:tcPr>
            <w:tcW w:w="5700" w:type="dxa"/>
            <w:vAlign w:val="center"/>
          </w:tcPr>
          <w:p>
            <w:pPr>
              <w:spacing w:line="240" w:lineRule="auto"/>
              <w:ind w:right="0" w:rightChars="0"/>
              <w:jc w:val="center"/>
              <w:rPr>
                <w:rFonts w:hint="eastAsia" w:ascii="仿宋" w:hAnsi="仿宋" w:eastAsia="仿宋" w:cs="仿宋"/>
                <w:sz w:val="24"/>
                <w:szCs w:val="24"/>
              </w:rPr>
            </w:pPr>
            <w:r>
              <w:rPr>
                <w:rFonts w:hint="eastAsia" w:ascii="仿宋" w:hAnsi="仿宋" w:eastAsia="仿宋" w:cs="仿宋"/>
                <w:b w:val="0"/>
                <w:bCs/>
                <w:sz w:val="24"/>
                <w:szCs w:val="24"/>
              </w:rPr>
              <w:t>湘潭县</w:t>
            </w:r>
            <w:r>
              <w:rPr>
                <w:rFonts w:hint="eastAsia" w:ascii="仿宋" w:hAnsi="仿宋" w:eastAsia="仿宋" w:cs="仿宋"/>
                <w:b w:val="0"/>
                <w:bCs/>
                <w:sz w:val="24"/>
                <w:szCs w:val="24"/>
                <w:lang w:val="en-US" w:eastAsia="zh-CN"/>
              </w:rPr>
              <w:t>2022年度现代农业示范园及特色乡镇建设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年度预算金额</w:t>
            </w:r>
          </w:p>
        </w:tc>
        <w:tc>
          <w:tcPr>
            <w:tcW w:w="5700" w:type="dxa"/>
            <w:vAlign w:val="center"/>
          </w:tcPr>
          <w:p>
            <w:pPr>
              <w:spacing w:line="300" w:lineRule="exact"/>
              <w:ind w:right="880"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200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项目主管部门</w:t>
            </w:r>
          </w:p>
        </w:tc>
        <w:tc>
          <w:tcPr>
            <w:tcW w:w="5700" w:type="dxa"/>
            <w:vAlign w:val="center"/>
          </w:tcPr>
          <w:p>
            <w:pPr>
              <w:spacing w:line="300" w:lineRule="exact"/>
              <w:ind w:right="880" w:rightChars="419"/>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项目立项目的</w:t>
            </w:r>
          </w:p>
        </w:tc>
        <w:tc>
          <w:tcPr>
            <w:tcW w:w="5700" w:type="dxa"/>
            <w:vAlign w:val="center"/>
          </w:tcPr>
          <w:p>
            <w:pPr>
              <w:spacing w:line="300" w:lineRule="exact"/>
              <w:ind w:firstLine="480" w:firstLineChars="200"/>
              <w:jc w:val="left"/>
              <w:rPr>
                <w:rFonts w:cs="宋体" w:asciiTheme="minorEastAsia" w:hAnsiTheme="minorEastAsia" w:eastAsiaTheme="minorEastAsia"/>
                <w:color w:val="1F1F1F"/>
                <w:kern w:val="0"/>
                <w:sz w:val="24"/>
                <w:szCs w:val="24"/>
              </w:rPr>
            </w:pPr>
            <w:r>
              <w:rPr>
                <w:rFonts w:hint="eastAsia" w:ascii="仿宋" w:hAnsi="仿宋" w:eastAsia="仿宋" w:cs="仿宋"/>
                <w:kern w:val="0"/>
                <w:sz w:val="24"/>
                <w:szCs w:val="24"/>
              </w:rPr>
              <w:t>县委、县政府将现代农业示范园建设作为全县乡村振兴工作的重要抓手，</w:t>
            </w:r>
            <w:r>
              <w:rPr>
                <w:rFonts w:hint="eastAsia" w:ascii="仿宋" w:hAnsi="仿宋" w:eastAsia="仿宋" w:cs="仿宋"/>
                <w:kern w:val="0"/>
                <w:sz w:val="24"/>
                <w:szCs w:val="24"/>
                <w:lang w:eastAsia="zh-CN"/>
              </w:rPr>
              <w:t>为有效推进全县现代农业发展，加快“三园两镇”建设进程，</w:t>
            </w:r>
            <w:r>
              <w:rPr>
                <w:rFonts w:hint="eastAsia" w:ascii="仿宋" w:hAnsi="仿宋" w:eastAsia="仿宋" w:cs="仿宋"/>
                <w:kern w:val="0"/>
                <w:sz w:val="24"/>
                <w:szCs w:val="24"/>
              </w:rPr>
              <w:t>力争通过三到五年建设，促进各园区率先实现农业现代化，农村社会各项事业走在省、市前列。项目安排</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三园两镇</w:t>
            </w:r>
            <w:r>
              <w:rPr>
                <w:rFonts w:hint="eastAsia" w:ascii="仿宋" w:hAnsi="仿宋" w:eastAsia="仿宋" w:cs="仿宋"/>
                <w:kern w:val="0"/>
                <w:sz w:val="24"/>
                <w:szCs w:val="24"/>
                <w:lang w:val="en-US" w:eastAsia="zh-CN"/>
              </w:rPr>
              <w:t>”</w:t>
            </w:r>
            <w:r>
              <w:rPr>
                <w:rFonts w:hint="eastAsia" w:ascii="仿宋" w:hAnsi="仿宋" w:eastAsia="仿宋" w:cs="仿宋"/>
                <w:kern w:val="0"/>
                <w:sz w:val="24"/>
                <w:szCs w:val="24"/>
                <w:lang w:eastAsia="zh-CN"/>
              </w:rPr>
              <w:t>项目</w:t>
            </w:r>
            <w:r>
              <w:rPr>
                <w:rFonts w:hint="eastAsia" w:ascii="仿宋" w:hAnsi="仿宋" w:eastAsia="仿宋" w:cs="仿宋"/>
                <w:kern w:val="0"/>
                <w:sz w:val="24"/>
                <w:szCs w:val="24"/>
              </w:rPr>
              <w:t>经费，用于</w:t>
            </w:r>
            <w:r>
              <w:rPr>
                <w:rFonts w:hint="eastAsia" w:ascii="仿宋" w:hAnsi="仿宋" w:eastAsia="仿宋" w:cs="仿宋"/>
                <w:kern w:val="0"/>
                <w:sz w:val="24"/>
                <w:szCs w:val="24"/>
                <w:lang w:eastAsia="zh-CN"/>
              </w:rPr>
              <w:t>项目</w:t>
            </w:r>
            <w:r>
              <w:rPr>
                <w:rFonts w:hint="eastAsia" w:ascii="仿宋" w:hAnsi="仿宋" w:eastAsia="仿宋" w:cs="仿宋"/>
                <w:kern w:val="0"/>
                <w:sz w:val="24"/>
                <w:szCs w:val="24"/>
              </w:rPr>
              <w:t>各类事务支出和支持基础设施建设、产业发展</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园区工作调度、宣传、会务；创建国家级现代农业示范区和特色小镇的数据搜集、统计；农民人均可支配收入数据统计、协调等工作开支。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绩效情况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项目支出管理和使用基本情况</w:t>
            </w:r>
          </w:p>
        </w:tc>
        <w:tc>
          <w:tcPr>
            <w:tcW w:w="5700" w:type="dxa"/>
            <w:vAlign w:val="center"/>
          </w:tcPr>
          <w:p>
            <w:pPr>
              <w:pStyle w:val="13"/>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kern w:val="0"/>
                <w:sz w:val="24"/>
                <w:szCs w:val="24"/>
                <w:lang w:val="en-US" w:eastAsia="zh-CN" w:bidi="ar-SA"/>
              </w:rPr>
            </w:pPr>
            <w:r>
              <w:rPr>
                <w:rFonts w:hint="default" w:ascii="仿宋" w:hAnsi="仿宋" w:eastAsia="仿宋" w:cs="仿宋"/>
                <w:kern w:val="0"/>
                <w:sz w:val="24"/>
                <w:szCs w:val="24"/>
                <w:lang w:val="en-US" w:eastAsia="zh-CN" w:bidi="ar-SA"/>
              </w:rPr>
              <w:t>2022年现代农业示范园及特色乡镇建设</w:t>
            </w:r>
            <w:r>
              <w:rPr>
                <w:rFonts w:hint="eastAsia" w:ascii="仿宋" w:hAnsi="仿宋" w:eastAsia="仿宋" w:cs="仿宋"/>
                <w:kern w:val="0"/>
                <w:sz w:val="24"/>
                <w:szCs w:val="24"/>
                <w:lang w:val="en-US" w:eastAsia="zh-CN" w:bidi="ar-SA"/>
              </w:rPr>
              <w:t>县级预算</w:t>
            </w:r>
            <w:r>
              <w:rPr>
                <w:rFonts w:hint="default" w:ascii="仿宋" w:hAnsi="仿宋" w:eastAsia="仿宋" w:cs="仿宋"/>
                <w:kern w:val="0"/>
                <w:sz w:val="24"/>
                <w:szCs w:val="24"/>
                <w:lang w:val="en-US" w:eastAsia="zh-CN" w:bidi="ar-SA"/>
              </w:rPr>
              <w:t>资金共200万元，</w:t>
            </w:r>
            <w:r>
              <w:rPr>
                <w:rFonts w:hint="eastAsia" w:ascii="仿宋" w:hAnsi="仿宋" w:eastAsia="仿宋" w:cs="仿宋"/>
                <w:kern w:val="0"/>
                <w:sz w:val="24"/>
                <w:szCs w:val="24"/>
                <w:lang w:val="en-US" w:eastAsia="zh-CN" w:bidi="ar-SA"/>
              </w:rPr>
              <w:t>主要用于</w:t>
            </w:r>
            <w:r>
              <w:rPr>
                <w:rFonts w:hint="default" w:ascii="仿宋" w:hAnsi="仿宋" w:eastAsia="仿宋" w:cs="仿宋"/>
                <w:kern w:val="0"/>
                <w:sz w:val="24"/>
                <w:szCs w:val="24"/>
                <w:lang w:val="en-US" w:eastAsia="zh-CN" w:bidi="ar-SA"/>
              </w:rPr>
              <w:t>花石特色镇（含天马现代农业示范园）</w:t>
            </w:r>
            <w:r>
              <w:rPr>
                <w:rFonts w:hint="eastAsia" w:ascii="仿宋" w:hAnsi="仿宋" w:eastAsia="仿宋" w:cs="仿宋"/>
                <w:kern w:val="0"/>
                <w:sz w:val="24"/>
                <w:szCs w:val="24"/>
                <w:lang w:val="en-US" w:eastAsia="zh-CN" w:bidi="ar-SA"/>
              </w:rPr>
              <w:t>7</w:t>
            </w:r>
            <w:r>
              <w:rPr>
                <w:rFonts w:hint="default" w:ascii="仿宋" w:hAnsi="仿宋" w:eastAsia="仿宋" w:cs="仿宋"/>
                <w:kern w:val="0"/>
                <w:sz w:val="24"/>
                <w:szCs w:val="24"/>
                <w:lang w:val="en-US" w:eastAsia="zh-CN" w:bidi="ar-SA"/>
              </w:rPr>
              <w:t>0万元，梅林桥现代农业示范园建设指挥部80万元，碧泉潭现代农业示范园建设指挥部10万元，湘潭县乌石军旅小镇建设工作指挥部</w:t>
            </w:r>
            <w:r>
              <w:rPr>
                <w:rFonts w:hint="eastAsia" w:ascii="仿宋" w:hAnsi="仿宋" w:eastAsia="仿宋" w:cs="仿宋"/>
                <w:kern w:val="0"/>
                <w:sz w:val="24"/>
                <w:szCs w:val="24"/>
                <w:lang w:val="en-US" w:eastAsia="zh-CN" w:bidi="ar-SA"/>
              </w:rPr>
              <w:t>2</w:t>
            </w:r>
            <w:r>
              <w:rPr>
                <w:rFonts w:hint="default" w:ascii="仿宋" w:hAnsi="仿宋" w:eastAsia="仿宋" w:cs="仿宋"/>
                <w:kern w:val="0"/>
                <w:sz w:val="24"/>
                <w:szCs w:val="24"/>
                <w:lang w:val="en-US" w:eastAsia="zh-CN" w:bidi="ar-SA"/>
              </w:rPr>
              <w:t>0万元，县农业农村局20万元。</w:t>
            </w:r>
            <w:r>
              <w:rPr>
                <w:rFonts w:hint="eastAsia" w:ascii="仿宋" w:hAnsi="仿宋" w:eastAsia="仿宋" w:cs="仿宋"/>
                <w:kern w:val="0"/>
                <w:sz w:val="24"/>
                <w:szCs w:val="24"/>
                <w:lang w:val="en-US" w:eastAsia="zh-CN" w:bidi="ar-SA"/>
              </w:rPr>
              <w:t>项目资金分配方案（潭县农字【2023】5号文件），报县政府领导审批同意后，项目资金于2023年1月下达我局，目前资金暂未拨付。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项目绩效目标完成情况</w:t>
            </w:r>
          </w:p>
        </w:tc>
        <w:tc>
          <w:tcPr>
            <w:tcW w:w="5700" w:type="dxa"/>
            <w:vAlign w:val="center"/>
          </w:tcPr>
          <w:p>
            <w:pPr>
              <w:pStyle w:val="13"/>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现代农业示范园及特色乡镇建设项目顺利完成了三个园区和两个特色乡镇2022年度的建设任务，取得了良好成效。各项工作的有序开展，举办了花石荷花节等节会，农民收入得到增加，园区卫生环境得到较大改观，园区及特色乡镇内新型农业经营主体负责人及群众对此都很满意。根据《项目绩效评价指标评分表》进行自我评分，得分97分，财政支出绩效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809" w:type="dxa"/>
            <w:vMerge w:val="restart"/>
            <w:vAlign w:val="center"/>
          </w:tcPr>
          <w:p>
            <w:pPr>
              <w:spacing w:line="300" w:lineRule="exact"/>
              <w:jc w:val="center"/>
              <w:rPr>
                <w:rFonts w:hint="eastAsia" w:ascii="宋体" w:hAnsi="宋体" w:eastAsia="宋体" w:cs="宋体"/>
                <w:szCs w:val="32"/>
              </w:rPr>
            </w:pPr>
            <w:r>
              <w:rPr>
                <w:rFonts w:hint="eastAsia" w:ascii="宋体" w:hAnsi="宋体" w:eastAsia="宋体" w:cs="宋体"/>
                <w:szCs w:val="21"/>
              </w:rPr>
              <w:t>存在的问题分析及改进措施</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存在的问题</w:t>
            </w:r>
          </w:p>
        </w:tc>
        <w:tc>
          <w:tcPr>
            <w:tcW w:w="5700" w:type="dxa"/>
            <w:vAlign w:val="center"/>
          </w:tcPr>
          <w:p>
            <w:pPr>
              <w:spacing w:line="300" w:lineRule="exact"/>
              <w:ind w:firstLine="480" w:firstLineChars="200"/>
              <w:jc w:val="lef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项目资金批复较迟，不利于项目的及时开展。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改进措施</w:t>
            </w:r>
          </w:p>
        </w:tc>
        <w:tc>
          <w:tcPr>
            <w:tcW w:w="5700" w:type="dxa"/>
            <w:vAlign w:val="center"/>
          </w:tcPr>
          <w:p>
            <w:pPr>
              <w:spacing w:line="300" w:lineRule="exact"/>
              <w:ind w:firstLine="640"/>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加快项目验收，及时拨付项目资金。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其他需要说明问题</w:t>
            </w:r>
          </w:p>
        </w:tc>
        <w:tc>
          <w:tcPr>
            <w:tcW w:w="5700" w:type="dxa"/>
            <w:vAlign w:val="center"/>
          </w:tcPr>
          <w:p>
            <w:pPr>
              <w:spacing w:line="300" w:lineRule="exact"/>
              <w:ind w:firstLine="480" w:firstLineChars="20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无。</w:t>
            </w:r>
          </w:p>
        </w:tc>
      </w:tr>
    </w:tbl>
    <w:p>
      <w:pPr>
        <w:pStyle w:val="2"/>
        <w:rPr>
          <w:rFonts w:hint="eastAsia"/>
          <w:lang w:val="en-US" w:eastAsia="zh-CN"/>
        </w:rPr>
      </w:pPr>
    </w:p>
    <w:p>
      <w:pPr>
        <w:rPr>
          <w:rFonts w:hint="eastAsia"/>
          <w:lang w:val="en-US" w:eastAsia="zh-CN"/>
        </w:rPr>
      </w:pPr>
    </w:p>
    <w:p>
      <w:pPr>
        <w:snapToGrid w:val="0"/>
        <w:spacing w:line="540"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lang w:val="en-US" w:eastAsia="zh-CN"/>
        </w:rPr>
        <w:t>2022年</w:t>
      </w:r>
      <w:r>
        <w:rPr>
          <w:rFonts w:hint="eastAsia" w:ascii="宋体" w:hAnsi="宋体" w:cs="仿宋_GB2312"/>
          <w:b/>
          <w:bCs/>
          <w:color w:val="000000"/>
          <w:kern w:val="0"/>
          <w:sz w:val="36"/>
          <w:szCs w:val="36"/>
        </w:rPr>
        <w:t>专项支出绩效评价自评报告公开</w:t>
      </w:r>
    </w:p>
    <w:tbl>
      <w:tblPr>
        <w:tblStyle w:val="9"/>
        <w:tblpPr w:leftFromText="180" w:rightFromText="180" w:vertAnchor="text" w:horzAnchor="margin" w:tblpXSpec="center" w:tblpY="189"/>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809"/>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项目概况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专项名称</w:t>
            </w:r>
          </w:p>
        </w:tc>
        <w:tc>
          <w:tcPr>
            <w:tcW w:w="5700" w:type="dxa"/>
            <w:vAlign w:val="center"/>
          </w:tcPr>
          <w:p>
            <w:pPr>
              <w:spacing w:line="240" w:lineRule="auto"/>
              <w:ind w:right="0" w:rightChars="0"/>
              <w:jc w:val="center"/>
              <w:rPr>
                <w:rFonts w:hint="eastAsia" w:ascii="仿宋" w:hAnsi="仿宋" w:eastAsia="仿宋" w:cs="仿宋"/>
                <w:szCs w:val="21"/>
              </w:rPr>
            </w:pPr>
            <w:r>
              <w:rPr>
                <w:rFonts w:hint="eastAsia" w:ascii="仿宋" w:hAnsi="仿宋" w:eastAsia="仿宋" w:cs="仿宋"/>
                <w:b w:val="0"/>
                <w:bCs/>
                <w:sz w:val="21"/>
                <w:szCs w:val="21"/>
              </w:rPr>
              <w:t>湘潭县</w:t>
            </w:r>
            <w:r>
              <w:rPr>
                <w:rFonts w:hint="eastAsia" w:ascii="仿宋" w:hAnsi="仿宋" w:eastAsia="仿宋" w:cs="仿宋"/>
                <w:b w:val="0"/>
                <w:bCs/>
                <w:sz w:val="21"/>
                <w:szCs w:val="21"/>
                <w:lang w:val="en-US" w:eastAsia="zh-CN"/>
              </w:rPr>
              <w:t>2022年农村宅基地管理经费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年度预算金额</w:t>
            </w:r>
          </w:p>
        </w:tc>
        <w:tc>
          <w:tcPr>
            <w:tcW w:w="5700" w:type="dxa"/>
            <w:vAlign w:val="center"/>
          </w:tcPr>
          <w:p>
            <w:pPr>
              <w:spacing w:line="240" w:lineRule="auto"/>
              <w:ind w:right="0" w:rightChars="0"/>
              <w:jc w:val="center"/>
              <w:rPr>
                <w:rFonts w:hint="eastAsia" w:ascii="仿宋" w:hAnsi="仿宋" w:eastAsia="仿宋" w:cs="仿宋"/>
                <w:szCs w:val="21"/>
                <w:lang w:val="en-US" w:eastAsia="zh-CN"/>
              </w:rPr>
            </w:pPr>
            <w:r>
              <w:rPr>
                <w:rFonts w:hint="eastAsia" w:ascii="仿宋" w:hAnsi="仿宋" w:eastAsia="仿宋" w:cs="仿宋"/>
                <w:szCs w:val="21"/>
                <w:lang w:val="en-US" w:eastAsia="zh-CN"/>
              </w:rPr>
              <w:t>36万元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项目主管部门</w:t>
            </w:r>
          </w:p>
        </w:tc>
        <w:tc>
          <w:tcPr>
            <w:tcW w:w="5700" w:type="dxa"/>
            <w:vAlign w:val="center"/>
          </w:tcPr>
          <w:p>
            <w:pPr>
              <w:spacing w:line="240" w:lineRule="auto"/>
              <w:ind w:right="0" w:rightChars="0"/>
              <w:jc w:val="center"/>
              <w:rPr>
                <w:rFonts w:hint="eastAsia" w:ascii="仿宋" w:hAnsi="仿宋" w:eastAsia="仿宋" w:cs="仿宋"/>
                <w:szCs w:val="21"/>
                <w:lang w:eastAsia="zh-CN"/>
              </w:rPr>
            </w:pPr>
            <w:r>
              <w:rPr>
                <w:rFonts w:hint="eastAsia" w:ascii="仿宋" w:hAnsi="仿宋" w:eastAsia="仿宋" w:cs="仿宋"/>
                <w:szCs w:val="21"/>
                <w:lang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项目立项目的</w:t>
            </w:r>
          </w:p>
        </w:tc>
        <w:tc>
          <w:tcPr>
            <w:tcW w:w="5700" w:type="dxa"/>
            <w:vAlign w:val="center"/>
          </w:tcPr>
          <w:p>
            <w:pPr>
              <w:spacing w:line="240" w:lineRule="auto"/>
              <w:ind w:firstLine="420" w:firstLineChars="200"/>
              <w:rPr>
                <w:rFonts w:cs="宋体" w:asciiTheme="minorEastAsia" w:hAnsiTheme="minorEastAsia" w:eastAsiaTheme="minorEastAsia"/>
                <w:color w:val="1F1F1F"/>
                <w:kern w:val="0"/>
                <w:szCs w:val="21"/>
              </w:rPr>
            </w:pPr>
            <w:r>
              <w:rPr>
                <w:rFonts w:hint="eastAsia" w:ascii="Times New Roman" w:hAnsi="Times New Roman" w:eastAsia="仿宋_GB2312" w:cs="Times New Roman"/>
                <w:sz w:val="21"/>
                <w:szCs w:val="21"/>
                <w:lang w:val="en-US" w:eastAsia="zh-CN"/>
              </w:rPr>
              <w:t>依据2020年7月3日，国务院召开的全国整治乱占耕地建房问题整治电视会议，要求对新增乱占耕地“零容忍”、2020年7月29日，自然资源部 农业农村部印发《关于农村乱占耕地建房“八不准”的通知》（自然资发〔2020〕127号）、《土地管理法》、《</w:t>
            </w:r>
            <w:r>
              <w:rPr>
                <w:rFonts w:hint="default" w:ascii="Times New Roman" w:hAnsi="Times New Roman" w:eastAsia="仿宋_GB2312" w:cs="Times New Roman"/>
                <w:sz w:val="21"/>
                <w:szCs w:val="21"/>
              </w:rPr>
              <w:t>关于2020年第四季度和2021年1月度农民建房卫片监测疑似违法问题核实及整治任务清单的函</w:t>
            </w:r>
            <w:r>
              <w:rPr>
                <w:rFonts w:hint="eastAsia" w:ascii="Times New Roman" w:hAnsi="Times New Roman" w:eastAsia="仿宋_GB2312" w:cs="Times New Roman"/>
                <w:sz w:val="21"/>
                <w:szCs w:val="21"/>
                <w:lang w:val="en-US" w:eastAsia="zh-CN"/>
              </w:rPr>
              <w:t>》</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关于切实配合做好2020年第三季度卫片发现疑似新增乱占耕地农民建房线索图斑测绘工作的通知</w:t>
            </w:r>
            <w:r>
              <w:rPr>
                <w:rFonts w:hint="eastAsia" w:ascii="Times New Roman" w:hAnsi="Times New Roman" w:eastAsia="仿宋_GB2312" w:cs="Times New Roman"/>
                <w:sz w:val="21"/>
                <w:szCs w:val="21"/>
                <w:lang w:eastAsia="zh-CN"/>
              </w:rPr>
              <w:t>》</w:t>
            </w:r>
            <w:r>
              <w:rPr>
                <w:rFonts w:hint="eastAsia" w:ascii="Times New Roman" w:hAnsi="Times New Roman" w:eastAsia="仿宋_GB2312" w:cs="Times New Roman"/>
                <w:sz w:val="21"/>
                <w:szCs w:val="21"/>
                <w:lang w:val="en-US" w:eastAsia="zh-CN"/>
              </w:rPr>
              <w:t>的</w:t>
            </w:r>
            <w:r>
              <w:rPr>
                <w:rFonts w:hint="default" w:ascii="Times New Roman" w:hAnsi="Times New Roman" w:eastAsia="仿宋_GB2312" w:cs="Times New Roman"/>
                <w:sz w:val="21"/>
                <w:szCs w:val="21"/>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绩效情况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项目支出管理和使用基本情况</w:t>
            </w:r>
          </w:p>
        </w:tc>
        <w:tc>
          <w:tcPr>
            <w:tcW w:w="5700" w:type="dxa"/>
            <w:vAlign w:val="center"/>
          </w:tcPr>
          <w:p>
            <w:pPr>
              <w:spacing w:line="240" w:lineRule="auto"/>
              <w:ind w:firstLine="420" w:firstLineChars="200"/>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2022年县级部门预算项目资金36万元。其中，项目技术服务费支出29.25万元，工作经费6.75万元。按照合同约定已支付技术服务费5万元，资金执行率14%。项目资金严格遵守“专款专用”原则，确保项目资金使用依法依规依程序，充分发挥资金使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项目绩效目标完成情况</w:t>
            </w:r>
          </w:p>
        </w:tc>
        <w:tc>
          <w:tcPr>
            <w:tcW w:w="5700" w:type="dxa"/>
            <w:vAlign w:val="center"/>
          </w:tcPr>
          <w:p>
            <w:pPr>
              <w:spacing w:line="240" w:lineRule="auto"/>
              <w:ind w:firstLine="420" w:firstLineChars="200"/>
              <w:rPr>
                <w:rFonts w:hint="eastAsia"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对湘潭县2020年三季度32个、四季度416个及2021年1季度2个</w:t>
            </w:r>
            <w:r>
              <w:rPr>
                <w:rFonts w:hint="eastAsia" w:ascii="Times New Roman" w:hAnsi="Times New Roman" w:eastAsia="仿宋_GB2312" w:cs="Times New Roman"/>
                <w:sz w:val="21"/>
                <w:szCs w:val="21"/>
                <w:lang w:val="en-US" w:eastAsia="zh-CN"/>
              </w:rPr>
              <w:t>，共计450个</w:t>
            </w:r>
            <w:r>
              <w:rPr>
                <w:rFonts w:hint="default" w:ascii="Times New Roman" w:hAnsi="Times New Roman" w:eastAsia="仿宋_GB2312" w:cs="Times New Roman"/>
                <w:sz w:val="21"/>
                <w:szCs w:val="21"/>
                <w:lang w:val="en-US" w:eastAsia="zh-CN"/>
              </w:rPr>
              <w:t>农民建房卫片监测疑似违法图斑进行入户调查</w:t>
            </w:r>
            <w:r>
              <w:rPr>
                <w:rFonts w:hint="eastAsia" w:ascii="Times New Roman" w:hAnsi="Times New Roman" w:eastAsia="仿宋_GB2312" w:cs="Times New Roman"/>
                <w:sz w:val="21"/>
                <w:szCs w:val="21"/>
                <w:lang w:val="en-US" w:eastAsia="zh-CN"/>
              </w:rPr>
              <w:t>和</w:t>
            </w:r>
            <w:r>
              <w:rPr>
                <w:rFonts w:hint="default" w:ascii="Times New Roman" w:hAnsi="Times New Roman" w:eastAsia="仿宋_GB2312" w:cs="Times New Roman"/>
                <w:sz w:val="21"/>
                <w:szCs w:val="21"/>
                <w:lang w:val="en-US" w:eastAsia="zh-CN"/>
              </w:rPr>
              <w:t>实地测量，并出具勘测结论报告，</w:t>
            </w:r>
            <w:r>
              <w:rPr>
                <w:rFonts w:hint="eastAsia" w:ascii="Times New Roman" w:hAnsi="Times New Roman" w:eastAsia="仿宋_GB2312" w:cs="Times New Roman"/>
                <w:sz w:val="21"/>
                <w:szCs w:val="21"/>
                <w:lang w:val="en-US" w:eastAsia="zh-CN"/>
              </w:rPr>
              <w:t>全年完成疑似乱占耕地图斑测量完成率100%，合格率90%，及时发现、制止乱占耕地建房行为。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809" w:type="dxa"/>
            <w:vMerge w:val="restart"/>
            <w:vAlign w:val="center"/>
          </w:tcPr>
          <w:p>
            <w:pPr>
              <w:spacing w:line="300" w:lineRule="exact"/>
              <w:jc w:val="center"/>
              <w:rPr>
                <w:rFonts w:hint="eastAsia" w:ascii="宋体" w:hAnsi="宋体" w:eastAsia="宋体" w:cs="宋体"/>
                <w:szCs w:val="32"/>
              </w:rPr>
            </w:pPr>
            <w:r>
              <w:rPr>
                <w:rFonts w:hint="eastAsia" w:ascii="宋体" w:hAnsi="宋体" w:eastAsia="宋体" w:cs="宋体"/>
                <w:szCs w:val="21"/>
              </w:rPr>
              <w:t>存在的问题分析及改进措施</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存在的问题</w:t>
            </w:r>
          </w:p>
        </w:tc>
        <w:tc>
          <w:tcPr>
            <w:tcW w:w="5700" w:type="dxa"/>
            <w:vAlign w:val="center"/>
          </w:tcPr>
          <w:p>
            <w:pPr>
              <w:spacing w:line="240" w:lineRule="auto"/>
              <w:ind w:firstLine="420" w:firstLineChars="200"/>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财政资金调度紧张，资金拨付进度较慢。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改进措施</w:t>
            </w:r>
          </w:p>
        </w:tc>
        <w:tc>
          <w:tcPr>
            <w:tcW w:w="5700" w:type="dxa"/>
            <w:vAlign w:val="center"/>
          </w:tcPr>
          <w:p>
            <w:pPr>
              <w:spacing w:line="240" w:lineRule="auto"/>
              <w:ind w:firstLine="420" w:firstLineChars="200"/>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积极与财政沟通汇报，加快资金拨付，确保年度项目任务顺利完成。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其他需要说明问题</w:t>
            </w:r>
          </w:p>
        </w:tc>
        <w:tc>
          <w:tcPr>
            <w:tcW w:w="5700" w:type="dxa"/>
            <w:vAlign w:val="center"/>
          </w:tcPr>
          <w:p>
            <w:pPr>
              <w:spacing w:line="300" w:lineRule="exact"/>
              <w:ind w:firstLine="420" w:firstLineChars="200"/>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无</w:t>
            </w:r>
          </w:p>
        </w:tc>
      </w:tr>
    </w:tbl>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snapToGrid w:val="0"/>
        <w:spacing w:line="540"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lang w:val="en-US" w:eastAsia="zh-CN"/>
        </w:rPr>
        <w:t>2022年</w:t>
      </w:r>
      <w:r>
        <w:rPr>
          <w:rFonts w:hint="eastAsia" w:ascii="宋体" w:hAnsi="宋体" w:cs="仿宋_GB2312"/>
          <w:b/>
          <w:bCs/>
          <w:color w:val="000000"/>
          <w:kern w:val="0"/>
          <w:sz w:val="36"/>
          <w:szCs w:val="36"/>
        </w:rPr>
        <w:t>专项支出绩效自评报告公开</w:t>
      </w:r>
    </w:p>
    <w:tbl>
      <w:tblPr>
        <w:tblStyle w:val="9"/>
        <w:tblpPr w:leftFromText="180" w:rightFromText="180" w:vertAnchor="text" w:horzAnchor="margin" w:tblpXSpec="center" w:tblpY="189"/>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809"/>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项目概况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专项名称</w:t>
            </w:r>
          </w:p>
        </w:tc>
        <w:tc>
          <w:tcPr>
            <w:tcW w:w="5700" w:type="dxa"/>
            <w:vAlign w:val="center"/>
          </w:tcPr>
          <w:p>
            <w:pPr>
              <w:spacing w:line="240" w:lineRule="auto"/>
              <w:jc w:val="center"/>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2022年化肥减量经费支出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年度预算金额</w:t>
            </w:r>
          </w:p>
        </w:tc>
        <w:tc>
          <w:tcPr>
            <w:tcW w:w="5700" w:type="dxa"/>
            <w:vAlign w:val="center"/>
          </w:tcPr>
          <w:p>
            <w:pPr>
              <w:spacing w:line="240" w:lineRule="auto"/>
              <w:jc w:val="center"/>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30万元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项目主管部门</w:t>
            </w:r>
          </w:p>
        </w:tc>
        <w:tc>
          <w:tcPr>
            <w:tcW w:w="5700" w:type="dxa"/>
            <w:vAlign w:val="center"/>
          </w:tcPr>
          <w:p>
            <w:pPr>
              <w:spacing w:line="240" w:lineRule="auto"/>
              <w:jc w:val="center"/>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项目立项目的</w:t>
            </w:r>
          </w:p>
        </w:tc>
        <w:tc>
          <w:tcPr>
            <w:tcW w:w="5700" w:type="dxa"/>
            <w:vAlign w:val="center"/>
          </w:tcPr>
          <w:p>
            <w:pPr>
              <w:spacing w:line="240" w:lineRule="auto"/>
              <w:ind w:firstLine="420" w:firstLineChars="200"/>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深入推进化肥减量增效，探索制定水稻、玉米、油菜等作物氮肥推荐定额用量。创建绿肥示范片2个，推广化肥减量增效等技术模式，实现化肥减量2%。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809" w:type="dxa"/>
            <w:vMerge w:val="restart"/>
            <w:vAlign w:val="center"/>
          </w:tcPr>
          <w:p>
            <w:pPr>
              <w:spacing w:line="300" w:lineRule="exact"/>
              <w:jc w:val="center"/>
              <w:rPr>
                <w:rFonts w:hint="eastAsia" w:ascii="宋体" w:hAnsi="宋体" w:eastAsia="宋体" w:cs="宋体"/>
                <w:szCs w:val="32"/>
                <w:lang w:eastAsia="zh-CN"/>
              </w:rPr>
            </w:pPr>
            <w:r>
              <w:rPr>
                <w:rFonts w:hint="eastAsia" w:ascii="宋体" w:hAnsi="宋体" w:eastAsia="宋体" w:cs="宋体"/>
                <w:szCs w:val="32"/>
                <w:lang w:eastAsia="zh-CN"/>
              </w:rPr>
              <w:t>绩效情况</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项目支出管理和使用基本情况</w:t>
            </w:r>
          </w:p>
        </w:tc>
        <w:tc>
          <w:tcPr>
            <w:tcW w:w="5700" w:type="dxa"/>
            <w:vAlign w:val="center"/>
          </w:tcPr>
          <w:p>
            <w:pPr>
              <w:spacing w:line="240" w:lineRule="auto"/>
              <w:ind w:firstLine="420" w:firstLineChars="200"/>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202</w:t>
            </w:r>
            <w:bookmarkStart w:id="0" w:name="_GoBack"/>
            <w:bookmarkEnd w:id="0"/>
            <w:r>
              <w:rPr>
                <w:rFonts w:hint="eastAsia" w:ascii="Times New Roman" w:hAnsi="Times New Roman" w:eastAsia="仿宋_GB2312" w:cs="Times New Roman"/>
                <w:sz w:val="21"/>
                <w:szCs w:val="21"/>
                <w:lang w:val="en-US" w:eastAsia="zh-CN"/>
              </w:rPr>
              <w:t>2年县财政部门预算项目资金共30万元，实际应支出30万元。主要用于创建2个绿肥示范片10万元，用于开展化肥减量专题技术培训5场3万元，用于17个乡镇开展化肥减量工作的技术宣传、培训、推广17万元，目资金暂未拨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项目绩效目标完成情况</w:t>
            </w:r>
          </w:p>
        </w:tc>
        <w:tc>
          <w:tcPr>
            <w:tcW w:w="5700" w:type="dxa"/>
            <w:vAlign w:val="center"/>
          </w:tcPr>
          <w:p>
            <w:pPr>
              <w:spacing w:line="240" w:lineRule="auto"/>
              <w:ind w:firstLine="420" w:firstLineChars="200"/>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完成2个绿肥示范片创建，推广化肥减量增效等技术模式，实现化肥减量2%。开展化肥减量增效科学施肥培训班5期，培训人员600人次，印发资料1000份，施肥信息上墙的321个行政村，现场观摩会2次，科学施肥宣传报道4次，推广化肥减量增效与科学施肥技术，指导农民科学施肥，巧施肥。2022年全县共推广测土配方施肥技术175万亩次，测土配方施肥覆盖率达到了91.8%；推广秸秆还田技术112万亩，种植绿肥9.5万亩，有机肥推广面积10.5万亩，示范推广水肥一体化技术1.5万亩。制订了《2022年湘潭县农户施肥监测调查技术方案》、《湘潭县田间肥效试验方案》、《湘潭县2022年主要农作物科学施肥指导意见》等技术方案，完成田间肥效试验5个，农户施肥调查209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809" w:type="dxa"/>
            <w:vMerge w:val="restart"/>
            <w:vAlign w:val="center"/>
          </w:tcPr>
          <w:p>
            <w:pPr>
              <w:spacing w:line="300" w:lineRule="exact"/>
              <w:jc w:val="center"/>
              <w:rPr>
                <w:rFonts w:hint="eastAsia" w:ascii="宋体" w:hAnsi="宋体" w:eastAsia="宋体" w:cs="宋体"/>
                <w:szCs w:val="32"/>
              </w:rPr>
            </w:pPr>
            <w:r>
              <w:rPr>
                <w:rFonts w:hint="eastAsia" w:ascii="宋体" w:hAnsi="宋体" w:eastAsia="宋体" w:cs="宋体"/>
                <w:szCs w:val="21"/>
              </w:rPr>
              <w:t>存在的问题分析及改进措施</w:t>
            </w: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存在的问题</w:t>
            </w:r>
          </w:p>
        </w:tc>
        <w:tc>
          <w:tcPr>
            <w:tcW w:w="5700" w:type="dxa"/>
            <w:vAlign w:val="center"/>
          </w:tcPr>
          <w:p>
            <w:pPr>
              <w:spacing w:line="240" w:lineRule="auto"/>
              <w:ind w:firstLine="420" w:firstLineChars="200"/>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项目当年未制定相应的项目资金管理制度。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改进措施</w:t>
            </w:r>
          </w:p>
        </w:tc>
        <w:tc>
          <w:tcPr>
            <w:tcW w:w="5700" w:type="dxa"/>
            <w:vAlign w:val="center"/>
          </w:tcPr>
          <w:p>
            <w:pPr>
              <w:spacing w:line="240" w:lineRule="auto"/>
              <w:ind w:firstLine="420" w:firstLineChars="200"/>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按《湘潭县农业农村局项目资金管理制度》等文件，进行资金预算和分配，确保资金分配科学、合理。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809" w:type="dxa"/>
            <w:vMerge w:val="continue"/>
            <w:vAlign w:val="center"/>
          </w:tcPr>
          <w:p>
            <w:pPr>
              <w:spacing w:line="300" w:lineRule="exact"/>
              <w:jc w:val="center"/>
              <w:rPr>
                <w:rFonts w:hint="eastAsia" w:ascii="宋体" w:hAnsi="宋体" w:eastAsia="宋体" w:cs="宋体"/>
                <w:szCs w:val="32"/>
              </w:rPr>
            </w:pPr>
          </w:p>
        </w:tc>
        <w:tc>
          <w:tcPr>
            <w:tcW w:w="1809" w:type="dxa"/>
            <w:vAlign w:val="center"/>
          </w:tcPr>
          <w:p>
            <w:pPr>
              <w:spacing w:line="300" w:lineRule="exact"/>
              <w:jc w:val="center"/>
              <w:rPr>
                <w:rFonts w:hint="eastAsia" w:ascii="宋体" w:hAnsi="宋体" w:eastAsia="宋体" w:cs="宋体"/>
                <w:szCs w:val="32"/>
              </w:rPr>
            </w:pPr>
            <w:r>
              <w:rPr>
                <w:rFonts w:hint="eastAsia" w:ascii="宋体" w:hAnsi="宋体" w:eastAsia="宋体" w:cs="宋体"/>
                <w:szCs w:val="32"/>
              </w:rPr>
              <w:t>其他需要说明问题</w:t>
            </w:r>
          </w:p>
        </w:tc>
        <w:tc>
          <w:tcPr>
            <w:tcW w:w="5700" w:type="dxa"/>
            <w:vAlign w:val="center"/>
          </w:tcPr>
          <w:p>
            <w:pPr>
              <w:spacing w:line="300" w:lineRule="exact"/>
              <w:ind w:firstLine="420" w:firstLineChars="200"/>
              <w:jc w:val="center"/>
              <w:rPr>
                <w:rFonts w:hint="eastAsia" w:asciiTheme="minorEastAsia" w:hAnsiTheme="minorEastAsia" w:eastAsiaTheme="minorEastAsia"/>
                <w:szCs w:val="21"/>
                <w:lang w:eastAsia="zh-CN"/>
              </w:rPr>
            </w:pPr>
            <w:r>
              <w:rPr>
                <w:rFonts w:hint="eastAsia" w:ascii="仿宋" w:hAnsi="仿宋" w:eastAsia="仿宋" w:cs="仿宋"/>
                <w:szCs w:val="21"/>
                <w:lang w:eastAsia="zh-CN"/>
              </w:rPr>
              <w:t>无。</w:t>
            </w:r>
          </w:p>
        </w:tc>
      </w:tr>
    </w:tbl>
    <w:p>
      <w:pPr>
        <w:spacing w:line="360" w:lineRule="exact"/>
        <w:ind w:firstLine="420" w:firstLineChars="200"/>
        <w:jc w:val="left"/>
        <w:rPr>
          <w:rFonts w:ascii="仿宋_GB2312" w:hAnsi="仿宋" w:eastAsia="仿宋_GB2312"/>
          <w:szCs w:val="21"/>
        </w:rPr>
      </w:pPr>
    </w:p>
    <w:p>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lMTQzOGVkNTE4YjQ0OTkzODVkM2Y1YmQyM2Y5MjUifQ=="/>
  </w:docVars>
  <w:rsids>
    <w:rsidRoot w:val="00A475BD"/>
    <w:rsid w:val="0002540F"/>
    <w:rsid w:val="000353DE"/>
    <w:rsid w:val="000C2DBF"/>
    <w:rsid w:val="000E66F4"/>
    <w:rsid w:val="001004FA"/>
    <w:rsid w:val="0013438E"/>
    <w:rsid w:val="001500E8"/>
    <w:rsid w:val="001B7BDA"/>
    <w:rsid w:val="00236DD1"/>
    <w:rsid w:val="00242E12"/>
    <w:rsid w:val="00296D8F"/>
    <w:rsid w:val="002F4291"/>
    <w:rsid w:val="00320A9A"/>
    <w:rsid w:val="00357EF6"/>
    <w:rsid w:val="003856F7"/>
    <w:rsid w:val="003B008C"/>
    <w:rsid w:val="003E4AE1"/>
    <w:rsid w:val="004A7D07"/>
    <w:rsid w:val="004C58C8"/>
    <w:rsid w:val="004E4B92"/>
    <w:rsid w:val="0057187B"/>
    <w:rsid w:val="005B19B1"/>
    <w:rsid w:val="005B4ECE"/>
    <w:rsid w:val="00603C78"/>
    <w:rsid w:val="007B3ED6"/>
    <w:rsid w:val="007E0D82"/>
    <w:rsid w:val="007E5C6E"/>
    <w:rsid w:val="007F32B6"/>
    <w:rsid w:val="008218DB"/>
    <w:rsid w:val="00846C15"/>
    <w:rsid w:val="008733F8"/>
    <w:rsid w:val="008C2819"/>
    <w:rsid w:val="008D7ED7"/>
    <w:rsid w:val="00906F43"/>
    <w:rsid w:val="00953779"/>
    <w:rsid w:val="00997D22"/>
    <w:rsid w:val="009C34C3"/>
    <w:rsid w:val="009F21A8"/>
    <w:rsid w:val="00A475BD"/>
    <w:rsid w:val="00A75D37"/>
    <w:rsid w:val="00AB2508"/>
    <w:rsid w:val="00B16EF2"/>
    <w:rsid w:val="00B269E9"/>
    <w:rsid w:val="00B27412"/>
    <w:rsid w:val="00BB4084"/>
    <w:rsid w:val="00BC0452"/>
    <w:rsid w:val="00BF3DDB"/>
    <w:rsid w:val="00C43E6F"/>
    <w:rsid w:val="00CB3C29"/>
    <w:rsid w:val="00CC2CCE"/>
    <w:rsid w:val="00D36999"/>
    <w:rsid w:val="00D43044"/>
    <w:rsid w:val="00D4314B"/>
    <w:rsid w:val="00D72B76"/>
    <w:rsid w:val="00DB4326"/>
    <w:rsid w:val="00E411BB"/>
    <w:rsid w:val="00E6535C"/>
    <w:rsid w:val="00EC4B7B"/>
    <w:rsid w:val="00EE4C37"/>
    <w:rsid w:val="00F76D0E"/>
    <w:rsid w:val="0753050D"/>
    <w:rsid w:val="08B17FB3"/>
    <w:rsid w:val="0A9A2EBA"/>
    <w:rsid w:val="0D0E4DD2"/>
    <w:rsid w:val="1075091F"/>
    <w:rsid w:val="224376A4"/>
    <w:rsid w:val="298B4A65"/>
    <w:rsid w:val="29937ECA"/>
    <w:rsid w:val="39786733"/>
    <w:rsid w:val="433E4BF5"/>
    <w:rsid w:val="439671DC"/>
    <w:rsid w:val="43B10992"/>
    <w:rsid w:val="5B4F068C"/>
    <w:rsid w:val="601E082E"/>
    <w:rsid w:val="64984A92"/>
    <w:rsid w:val="65C201F0"/>
    <w:rsid w:val="66B069DE"/>
    <w:rsid w:val="795E19C5"/>
    <w:rsid w:val="7B1E74DC"/>
    <w:rsid w:val="7E582D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outlineLvl w:val="2"/>
    </w:pPr>
    <w:rPr>
      <w:rFonts w:eastAsia="黑体"/>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cs="Times New Roman"/>
      <w:sz w:val="32"/>
    </w:rPr>
  </w:style>
  <w:style w:type="paragraph" w:styleId="4">
    <w:name w:val="Body Text Indent"/>
    <w:basedOn w:val="1"/>
    <w:next w:val="3"/>
    <w:qFormat/>
    <w:uiPriority w:val="0"/>
    <w:pPr>
      <w:spacing w:after="120"/>
      <w:ind w:left="42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jc w:val="left"/>
    </w:pPr>
    <w:rPr>
      <w:rFonts w:ascii="宋体" w:hAnsi="宋体" w:cs="宋体"/>
      <w:kern w:val="0"/>
      <w:sz w:val="24"/>
    </w:rPr>
  </w:style>
  <w:style w:type="paragraph" w:styleId="8">
    <w:name w:val="Body Text First Indent 2"/>
    <w:basedOn w:val="4"/>
    <w:next w:val="1"/>
    <w:unhideWhenUsed/>
    <w:qFormat/>
    <w:uiPriority w:val="99"/>
    <w:pPr>
      <w:ind w:firstLine="420" w:firstLineChars="200"/>
    </w:pPr>
    <w:rPr>
      <w:szCs w:val="24"/>
    </w:rPr>
  </w:style>
  <w:style w:type="character" w:customStyle="1" w:styleId="11">
    <w:name w:val="页眉 Char"/>
    <w:basedOn w:val="10"/>
    <w:link w:val="6"/>
    <w:semiHidden/>
    <w:qFormat/>
    <w:uiPriority w:val="99"/>
    <w:rPr>
      <w:rFonts w:ascii="Times New Roman" w:hAnsi="Times New Roman" w:eastAsia="宋体" w:cs="Times New Roman"/>
      <w:sz w:val="18"/>
      <w:szCs w:val="18"/>
    </w:rPr>
  </w:style>
  <w:style w:type="character" w:customStyle="1" w:styleId="12">
    <w:name w:val="页脚 Char"/>
    <w:basedOn w:val="10"/>
    <w:link w:val="5"/>
    <w:semiHidden/>
    <w:qFormat/>
    <w:uiPriority w:val="99"/>
    <w:rPr>
      <w:rFonts w:ascii="Times New Roman" w:hAnsi="Times New Roman" w:eastAsia="宋体" w:cs="Times New Roman"/>
      <w:sz w:val="18"/>
      <w:szCs w:val="18"/>
    </w:r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99A78B5-739D-4030-98E8-A2B49E84FAFE}">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5</Pages>
  <Words>3851</Words>
  <Characters>4174</Characters>
  <Lines>78</Lines>
  <Paragraphs>22</Paragraphs>
  <TotalTime>1</TotalTime>
  <ScaleCrop>false</ScaleCrop>
  <LinksUpToDate>false</LinksUpToDate>
  <CharactersWithSpaces>4184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2020-07-22T10:00:00Z</dcterms:created>
  <dc:creator>1D507-2</dc:creator>
  <cp:lastModifiedBy>Administrator</cp:lastModifiedBy>
  <cp:lastPrinted>2023-05-22T05:23:00Z</cp:lastPrinted>
  <dcterms:modified xsi:type="dcterms:W3CDTF">2023-05-29T00:26:39Z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39A7B41A80F346AEB7334248C0F5A0F4_13</vt:lpwstr>
  </property>
</Properties>
</file>